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268"/>
        <w:gridCol w:w="142"/>
        <w:gridCol w:w="3467"/>
        <w:gridCol w:w="5329"/>
      </w:tblGrid>
      <w:tr w:rsidR="007B6316" w:rsidRPr="00BD0F00" w14:paraId="2BA01519" w14:textId="77777777" w:rsidTr="00940C97">
        <w:trPr>
          <w:cantSplit/>
          <w:trHeight w:val="340"/>
        </w:trPr>
        <w:tc>
          <w:tcPr>
            <w:tcW w:w="1410" w:type="dxa"/>
            <w:gridSpan w:val="2"/>
            <w:tcMar>
              <w:left w:w="108" w:type="dxa"/>
              <w:right w:w="108" w:type="dxa"/>
            </w:tcMar>
          </w:tcPr>
          <w:p w14:paraId="2E630B1F" w14:textId="77777777" w:rsidR="007B6316" w:rsidRPr="00BD0F00" w:rsidRDefault="007B6316" w:rsidP="00303D62">
            <w:pPr>
              <w:tabs>
                <w:tab w:val="left" w:pos="4111"/>
              </w:tabs>
              <w:spacing w:before="10"/>
              <w:ind w:left="57"/>
              <w:rPr>
                <w:sz w:val="22"/>
                <w:lang w:val="es-ES"/>
              </w:rPr>
            </w:pPr>
            <w:r w:rsidRPr="00BD0F00">
              <w:rPr>
                <w:noProof/>
                <w:lang w:val="es-ES" w:eastAsia="zh-CN"/>
              </w:rPr>
              <w:drawing>
                <wp:inline distT="0" distB="0" distL="0" distR="0" wp14:anchorId="1D86B130" wp14:editId="534850B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tcMar>
              <w:left w:w="108" w:type="dxa"/>
              <w:right w:w="108" w:type="dxa"/>
            </w:tcMar>
            <w:vAlign w:val="center"/>
          </w:tcPr>
          <w:p w14:paraId="28AE7603" w14:textId="77777777" w:rsidR="007B6316" w:rsidRPr="00BD0F00" w:rsidRDefault="007B6316" w:rsidP="007B6316">
            <w:pPr>
              <w:spacing w:before="0"/>
              <w:rPr>
                <w:rFonts w:cs="Times New Roman Bold"/>
                <w:b/>
                <w:bCs/>
                <w:smallCaps/>
                <w:sz w:val="26"/>
                <w:szCs w:val="26"/>
                <w:lang w:val="es-ES"/>
              </w:rPr>
            </w:pPr>
            <w:r w:rsidRPr="00BD0F00">
              <w:rPr>
                <w:rFonts w:cs="Times New Roman Bold"/>
                <w:b/>
                <w:bCs/>
                <w:smallCaps/>
                <w:sz w:val="36"/>
                <w:szCs w:val="36"/>
                <w:lang w:val="es-ES"/>
              </w:rPr>
              <w:t>Unión Internacional de Telecomunicaciones</w:t>
            </w:r>
          </w:p>
          <w:p w14:paraId="47F20B16" w14:textId="77777777" w:rsidR="007B6316" w:rsidRPr="00BD0F00" w:rsidRDefault="007B6316" w:rsidP="007B6316">
            <w:pPr>
              <w:spacing w:before="0"/>
              <w:rPr>
                <w:lang w:val="es-ES"/>
              </w:rPr>
            </w:pPr>
            <w:r w:rsidRPr="00BD0F00">
              <w:rPr>
                <w:rFonts w:cs="Times New Roman Bold"/>
                <w:b/>
                <w:bCs/>
                <w:smallCaps/>
                <w:sz w:val="28"/>
                <w:szCs w:val="28"/>
                <w:lang w:val="es-ES"/>
              </w:rPr>
              <w:t>Oficina</w:t>
            </w:r>
            <w:r w:rsidRPr="00BD0F00">
              <w:rPr>
                <w:rFonts w:cs="Times New Roman Bold"/>
                <w:b/>
                <w:bCs/>
                <w:iCs/>
                <w:smallCaps/>
                <w:sz w:val="22"/>
                <w:szCs w:val="22"/>
                <w:lang w:val="es-ES"/>
              </w:rPr>
              <w:t xml:space="preserve"> </w:t>
            </w:r>
            <w:r w:rsidRPr="00BD0F00">
              <w:rPr>
                <w:rFonts w:cs="Times New Roman Bold"/>
                <w:b/>
                <w:bCs/>
                <w:iCs/>
                <w:smallCaps/>
                <w:sz w:val="28"/>
                <w:szCs w:val="28"/>
                <w:lang w:val="es-ES"/>
              </w:rPr>
              <w:t>de Normalización de las Telecomunicaciones</w:t>
            </w:r>
          </w:p>
        </w:tc>
      </w:tr>
      <w:tr w:rsidR="002035AD" w:rsidRPr="00BD0F00" w14:paraId="3A136841" w14:textId="77777777" w:rsidTr="00940C97">
        <w:trPr>
          <w:cantSplit/>
          <w:trHeight w:val="340"/>
        </w:trPr>
        <w:tc>
          <w:tcPr>
            <w:tcW w:w="4877" w:type="dxa"/>
            <w:gridSpan w:val="3"/>
            <w:tcMar>
              <w:left w:w="108" w:type="dxa"/>
              <w:right w:w="108" w:type="dxa"/>
            </w:tcMar>
          </w:tcPr>
          <w:p w14:paraId="7FEADC12" w14:textId="77777777" w:rsidR="002035AD" w:rsidRPr="00BD0F00" w:rsidRDefault="002035AD" w:rsidP="00303D62">
            <w:pPr>
              <w:tabs>
                <w:tab w:val="left" w:pos="4111"/>
              </w:tabs>
              <w:spacing w:before="0"/>
              <w:ind w:left="57"/>
              <w:rPr>
                <w:b/>
                <w:szCs w:val="24"/>
                <w:lang w:val="es-ES"/>
              </w:rPr>
            </w:pPr>
          </w:p>
        </w:tc>
        <w:tc>
          <w:tcPr>
            <w:tcW w:w="5329" w:type="dxa"/>
            <w:tcMar>
              <w:left w:w="108" w:type="dxa"/>
              <w:right w:w="108" w:type="dxa"/>
            </w:tcMar>
          </w:tcPr>
          <w:p w14:paraId="7009912D" w14:textId="7C8A8737" w:rsidR="002035AD" w:rsidRPr="00BD0F00" w:rsidRDefault="002035AD" w:rsidP="007B6316">
            <w:pPr>
              <w:tabs>
                <w:tab w:val="clear" w:pos="794"/>
                <w:tab w:val="clear" w:pos="1191"/>
                <w:tab w:val="clear" w:pos="1588"/>
                <w:tab w:val="clear" w:pos="1985"/>
                <w:tab w:val="left" w:pos="284"/>
              </w:tabs>
              <w:spacing w:after="120"/>
              <w:ind w:left="284" w:hanging="227"/>
              <w:rPr>
                <w:szCs w:val="24"/>
                <w:lang w:val="es-ES"/>
              </w:rPr>
            </w:pPr>
            <w:r w:rsidRPr="00BD0F00">
              <w:rPr>
                <w:szCs w:val="24"/>
                <w:lang w:val="es-ES"/>
              </w:rPr>
              <w:t>Ginebra, 7 de octubre de 2024</w:t>
            </w:r>
          </w:p>
        </w:tc>
      </w:tr>
      <w:tr w:rsidR="00BD0F00" w:rsidRPr="00BD0F00" w14:paraId="6714282B" w14:textId="77777777" w:rsidTr="00902C18">
        <w:trPr>
          <w:cantSplit/>
          <w:trHeight w:val="733"/>
        </w:trPr>
        <w:tc>
          <w:tcPr>
            <w:tcW w:w="1268" w:type="dxa"/>
            <w:tcMar>
              <w:left w:w="108" w:type="dxa"/>
              <w:right w:w="108" w:type="dxa"/>
            </w:tcMar>
          </w:tcPr>
          <w:p w14:paraId="5096C443" w14:textId="66983C29" w:rsidR="00BD0F00" w:rsidRPr="00BD0F00" w:rsidRDefault="00BD0F00" w:rsidP="00B91326">
            <w:pPr>
              <w:tabs>
                <w:tab w:val="left" w:pos="4111"/>
              </w:tabs>
              <w:spacing w:before="40" w:after="40"/>
              <w:ind w:left="57"/>
              <w:rPr>
                <w:szCs w:val="24"/>
                <w:lang w:val="es-ES"/>
              </w:rPr>
            </w:pPr>
            <w:r w:rsidRPr="00BD0F00">
              <w:rPr>
                <w:szCs w:val="24"/>
                <w:lang w:val="es-ES"/>
              </w:rPr>
              <w:t>Ref.:</w:t>
            </w:r>
          </w:p>
        </w:tc>
        <w:tc>
          <w:tcPr>
            <w:tcW w:w="3609" w:type="dxa"/>
            <w:gridSpan w:val="2"/>
            <w:tcMar>
              <w:left w:w="108" w:type="dxa"/>
              <w:right w:w="108" w:type="dxa"/>
            </w:tcMar>
          </w:tcPr>
          <w:p w14:paraId="42F41E53" w14:textId="0B36C60E" w:rsidR="00BD0F00" w:rsidRPr="00BD0F00" w:rsidRDefault="00BD0F00" w:rsidP="00B91326">
            <w:pPr>
              <w:tabs>
                <w:tab w:val="left" w:pos="4111"/>
              </w:tabs>
              <w:spacing w:before="40" w:after="40"/>
              <w:ind w:left="57"/>
              <w:rPr>
                <w:b/>
                <w:szCs w:val="24"/>
                <w:lang w:val="es-ES"/>
              </w:rPr>
            </w:pPr>
            <w:r w:rsidRPr="00BD0F00">
              <w:rPr>
                <w:b/>
                <w:szCs w:val="24"/>
                <w:lang w:val="es-ES"/>
              </w:rPr>
              <w:t>Circular TSB 234</w:t>
            </w:r>
          </w:p>
          <w:p w14:paraId="60356A06" w14:textId="19A339E8" w:rsidR="00BD0F00" w:rsidRPr="00BD0F00" w:rsidRDefault="00BD0F00" w:rsidP="00B91326">
            <w:pPr>
              <w:tabs>
                <w:tab w:val="left" w:pos="4111"/>
              </w:tabs>
              <w:spacing w:before="40" w:after="40"/>
              <w:ind w:left="57"/>
              <w:rPr>
                <w:szCs w:val="24"/>
                <w:lang w:val="es-ES"/>
              </w:rPr>
            </w:pPr>
            <w:r w:rsidRPr="00BD0F00">
              <w:rPr>
                <w:szCs w:val="24"/>
                <w:lang w:val="es-ES"/>
              </w:rPr>
              <w:t>CE 16/SC</w:t>
            </w:r>
          </w:p>
        </w:tc>
        <w:tc>
          <w:tcPr>
            <w:tcW w:w="5329" w:type="dxa"/>
            <w:vMerge w:val="restart"/>
            <w:tcMar>
              <w:left w:w="108" w:type="dxa"/>
              <w:right w:w="108" w:type="dxa"/>
            </w:tcMar>
          </w:tcPr>
          <w:p w14:paraId="4882FCBF" w14:textId="77777777" w:rsidR="00BD0F00" w:rsidRPr="00BD0F00" w:rsidRDefault="00BD0F00" w:rsidP="00B91326">
            <w:pPr>
              <w:spacing w:before="40" w:after="40"/>
              <w:rPr>
                <w:b/>
                <w:bCs/>
                <w:szCs w:val="24"/>
                <w:lang w:val="es-ES"/>
              </w:rPr>
            </w:pPr>
            <w:bookmarkStart w:id="0" w:name="Addressee_S"/>
            <w:bookmarkEnd w:id="0"/>
            <w:r w:rsidRPr="00BD0F00">
              <w:rPr>
                <w:b/>
                <w:bCs/>
                <w:szCs w:val="24"/>
                <w:lang w:val="es-ES"/>
              </w:rPr>
              <w:t>A:</w:t>
            </w:r>
          </w:p>
          <w:p w14:paraId="6426FE41" w14:textId="7315075C" w:rsidR="00BD0F00" w:rsidRPr="00BD0F00" w:rsidRDefault="00BD0F00" w:rsidP="00B91326">
            <w:pPr>
              <w:spacing w:before="40" w:after="40"/>
              <w:ind w:left="794" w:hanging="794"/>
              <w:rPr>
                <w:szCs w:val="24"/>
                <w:lang w:val="es-ES"/>
              </w:rPr>
            </w:pPr>
            <w:r w:rsidRPr="00BD0F00">
              <w:rPr>
                <w:szCs w:val="24"/>
                <w:lang w:val="es-ES"/>
              </w:rPr>
              <w:t>–</w:t>
            </w:r>
            <w:r w:rsidRPr="00BD0F00">
              <w:rPr>
                <w:szCs w:val="24"/>
                <w:lang w:val="es-ES"/>
              </w:rPr>
              <w:tab/>
              <w:t>las Administraciones de los Estados Miembros de la Unión;</w:t>
            </w:r>
          </w:p>
          <w:p w14:paraId="46F4FFC5" w14:textId="08ED49AB" w:rsidR="00BD0F00" w:rsidRPr="00BD0F00" w:rsidRDefault="00BD0F00" w:rsidP="00B91326">
            <w:pPr>
              <w:spacing w:before="40" w:after="40"/>
              <w:rPr>
                <w:szCs w:val="24"/>
                <w:lang w:val="es-ES"/>
              </w:rPr>
            </w:pPr>
            <w:r w:rsidRPr="00BD0F00">
              <w:rPr>
                <w:szCs w:val="24"/>
                <w:lang w:val="es-ES"/>
              </w:rPr>
              <w:t>–</w:t>
            </w:r>
            <w:r w:rsidRPr="00BD0F00">
              <w:rPr>
                <w:szCs w:val="24"/>
                <w:lang w:val="es-ES"/>
              </w:rPr>
              <w:tab/>
              <w:t>los Miembros de Sector del UIT-T;</w:t>
            </w:r>
          </w:p>
          <w:p w14:paraId="40050195" w14:textId="3B9E5D3B" w:rsidR="00BD0F00" w:rsidRPr="00BD0F00" w:rsidRDefault="00BD0F00" w:rsidP="00B91326">
            <w:pPr>
              <w:spacing w:before="40" w:after="40"/>
              <w:ind w:left="794" w:hanging="794"/>
              <w:rPr>
                <w:szCs w:val="24"/>
                <w:lang w:val="es-ES"/>
              </w:rPr>
            </w:pPr>
            <w:r w:rsidRPr="00BD0F00">
              <w:rPr>
                <w:szCs w:val="24"/>
                <w:lang w:val="es-ES"/>
              </w:rPr>
              <w:t>–</w:t>
            </w:r>
            <w:r w:rsidRPr="00BD0F00">
              <w:rPr>
                <w:szCs w:val="24"/>
                <w:lang w:val="es-ES"/>
              </w:rPr>
              <w:tab/>
              <w:t>los Asociados de la Comisión de Estudio 16 del UIT-T;</w:t>
            </w:r>
          </w:p>
          <w:p w14:paraId="19DDA51E" w14:textId="5B853002" w:rsidR="00BD0F00" w:rsidRPr="00BD0F00" w:rsidRDefault="00BD0F00" w:rsidP="00B91326">
            <w:pPr>
              <w:spacing w:before="40" w:after="40"/>
              <w:rPr>
                <w:szCs w:val="24"/>
                <w:lang w:val="es-ES"/>
              </w:rPr>
            </w:pPr>
            <w:r w:rsidRPr="00BD0F00">
              <w:rPr>
                <w:szCs w:val="24"/>
                <w:lang w:val="es-ES"/>
              </w:rPr>
              <w:t>–</w:t>
            </w:r>
            <w:r w:rsidRPr="00BD0F00">
              <w:rPr>
                <w:szCs w:val="24"/>
                <w:lang w:val="es-ES"/>
              </w:rPr>
              <w:tab/>
              <w:t>las Instituciones Académicas de la UIT;</w:t>
            </w:r>
          </w:p>
        </w:tc>
      </w:tr>
      <w:tr w:rsidR="00BD0F00" w:rsidRPr="00BD0F00" w14:paraId="2636A7B1" w14:textId="77777777" w:rsidTr="00902C18">
        <w:trPr>
          <w:cantSplit/>
          <w:trHeight w:val="601"/>
        </w:trPr>
        <w:tc>
          <w:tcPr>
            <w:tcW w:w="1268" w:type="dxa"/>
            <w:tcMar>
              <w:left w:w="108" w:type="dxa"/>
              <w:right w:w="108" w:type="dxa"/>
            </w:tcMar>
          </w:tcPr>
          <w:p w14:paraId="0B55E346" w14:textId="77777777" w:rsidR="00BD0F00" w:rsidRPr="00BD0F00" w:rsidRDefault="00BD0F00" w:rsidP="00B91326">
            <w:pPr>
              <w:tabs>
                <w:tab w:val="left" w:pos="4111"/>
              </w:tabs>
              <w:spacing w:before="40" w:after="40"/>
              <w:ind w:left="57"/>
              <w:rPr>
                <w:szCs w:val="24"/>
                <w:lang w:val="es-ES"/>
              </w:rPr>
            </w:pPr>
            <w:r w:rsidRPr="00BD0F00">
              <w:rPr>
                <w:szCs w:val="24"/>
                <w:lang w:val="es-ES"/>
              </w:rPr>
              <w:t>Tel.:</w:t>
            </w:r>
          </w:p>
        </w:tc>
        <w:tc>
          <w:tcPr>
            <w:tcW w:w="3609" w:type="dxa"/>
            <w:gridSpan w:val="2"/>
            <w:tcMar>
              <w:left w:w="108" w:type="dxa"/>
              <w:right w:w="108" w:type="dxa"/>
            </w:tcMar>
          </w:tcPr>
          <w:p w14:paraId="78FCAC40" w14:textId="0B5D3F8E" w:rsidR="00BD0F00" w:rsidRPr="00BD0F00" w:rsidRDefault="00BD0F00" w:rsidP="00B91326">
            <w:pPr>
              <w:tabs>
                <w:tab w:val="left" w:pos="4111"/>
              </w:tabs>
              <w:spacing w:before="40" w:after="40"/>
              <w:ind w:left="57"/>
              <w:rPr>
                <w:rStyle w:val="Hyperlink"/>
                <w:szCs w:val="24"/>
                <w:lang w:val="es-ES"/>
              </w:rPr>
            </w:pPr>
            <w:r w:rsidRPr="00BD0F00">
              <w:rPr>
                <w:szCs w:val="24"/>
                <w:lang w:val="es-ES"/>
              </w:rPr>
              <w:t>+41 22 730 6805</w:t>
            </w:r>
          </w:p>
        </w:tc>
        <w:tc>
          <w:tcPr>
            <w:tcW w:w="5329" w:type="dxa"/>
            <w:vMerge/>
            <w:tcMar>
              <w:left w:w="108" w:type="dxa"/>
              <w:right w:w="108" w:type="dxa"/>
            </w:tcMar>
          </w:tcPr>
          <w:p w14:paraId="1068F975" w14:textId="77777777" w:rsidR="00BD0F00" w:rsidRPr="00BD0F00" w:rsidRDefault="00BD0F00" w:rsidP="00B91326">
            <w:pPr>
              <w:tabs>
                <w:tab w:val="left" w:pos="226"/>
                <w:tab w:val="left" w:pos="510"/>
              </w:tabs>
              <w:spacing w:before="40" w:after="40"/>
              <w:ind w:left="226" w:hanging="169"/>
              <w:rPr>
                <w:b/>
                <w:szCs w:val="24"/>
                <w:lang w:val="es-ES"/>
              </w:rPr>
            </w:pPr>
          </w:p>
        </w:tc>
      </w:tr>
      <w:tr w:rsidR="00BD0F00" w:rsidRPr="00BD0F00" w14:paraId="6913C7BC" w14:textId="77777777" w:rsidTr="00BD0F00">
        <w:trPr>
          <w:cantSplit/>
          <w:trHeight w:val="990"/>
        </w:trPr>
        <w:tc>
          <w:tcPr>
            <w:tcW w:w="1268" w:type="dxa"/>
            <w:tcMar>
              <w:left w:w="108" w:type="dxa"/>
              <w:right w:w="108" w:type="dxa"/>
            </w:tcMar>
          </w:tcPr>
          <w:p w14:paraId="391D315D" w14:textId="6F78B7CA" w:rsidR="00BD0F00" w:rsidRPr="00BD0F00" w:rsidRDefault="00BD0F00" w:rsidP="00BD0F00">
            <w:pPr>
              <w:tabs>
                <w:tab w:val="left" w:pos="4111"/>
              </w:tabs>
              <w:spacing w:before="40" w:after="40"/>
              <w:ind w:left="57"/>
              <w:rPr>
                <w:szCs w:val="24"/>
                <w:lang w:val="es-ES"/>
              </w:rPr>
            </w:pPr>
            <w:r w:rsidRPr="00BD0F00">
              <w:rPr>
                <w:szCs w:val="24"/>
                <w:lang w:val="es-ES"/>
              </w:rPr>
              <w:t>Fax:</w:t>
            </w:r>
          </w:p>
        </w:tc>
        <w:tc>
          <w:tcPr>
            <w:tcW w:w="3609" w:type="dxa"/>
            <w:gridSpan w:val="2"/>
            <w:tcMar>
              <w:left w:w="108" w:type="dxa"/>
              <w:right w:w="108" w:type="dxa"/>
            </w:tcMar>
          </w:tcPr>
          <w:p w14:paraId="2FFBA0BE" w14:textId="052FA338" w:rsidR="00BD0F00" w:rsidRPr="00BD0F00" w:rsidRDefault="00BD0F00" w:rsidP="00BD0F00">
            <w:pPr>
              <w:tabs>
                <w:tab w:val="left" w:pos="4111"/>
              </w:tabs>
              <w:spacing w:before="40" w:after="40"/>
              <w:ind w:left="57"/>
              <w:rPr>
                <w:szCs w:val="24"/>
                <w:lang w:val="es-ES"/>
              </w:rPr>
            </w:pPr>
            <w:r w:rsidRPr="00BD0F00">
              <w:rPr>
                <w:szCs w:val="24"/>
                <w:lang w:val="es-ES"/>
              </w:rPr>
              <w:t>+41 22 730 5853</w:t>
            </w:r>
          </w:p>
        </w:tc>
        <w:tc>
          <w:tcPr>
            <w:tcW w:w="5329" w:type="dxa"/>
            <w:vMerge/>
            <w:tcMar>
              <w:left w:w="108" w:type="dxa"/>
              <w:right w:w="108" w:type="dxa"/>
            </w:tcMar>
          </w:tcPr>
          <w:p w14:paraId="63525856" w14:textId="77777777" w:rsidR="00BD0F00" w:rsidRPr="00BD0F00" w:rsidRDefault="00BD0F00" w:rsidP="00BD0F00">
            <w:pPr>
              <w:tabs>
                <w:tab w:val="left" w:pos="226"/>
                <w:tab w:val="left" w:pos="510"/>
              </w:tabs>
              <w:spacing w:before="40" w:after="40"/>
              <w:ind w:left="226" w:hanging="169"/>
              <w:rPr>
                <w:b/>
                <w:szCs w:val="24"/>
                <w:lang w:val="es-ES"/>
              </w:rPr>
            </w:pPr>
          </w:p>
        </w:tc>
      </w:tr>
      <w:tr w:rsidR="00BD0F00" w:rsidRPr="00BD0F00" w14:paraId="5C39927C" w14:textId="77777777" w:rsidTr="00940C97">
        <w:trPr>
          <w:cantSplit/>
        </w:trPr>
        <w:tc>
          <w:tcPr>
            <w:tcW w:w="1268" w:type="dxa"/>
            <w:tcMar>
              <w:left w:w="108" w:type="dxa"/>
              <w:right w:w="108" w:type="dxa"/>
            </w:tcMar>
          </w:tcPr>
          <w:p w14:paraId="5514D942" w14:textId="397DC589" w:rsidR="00BD0F00" w:rsidRPr="00BD0F00" w:rsidRDefault="00BD0F00" w:rsidP="00BD0F00">
            <w:pPr>
              <w:tabs>
                <w:tab w:val="left" w:pos="4111"/>
              </w:tabs>
              <w:spacing w:before="40" w:after="40"/>
              <w:ind w:left="57"/>
              <w:rPr>
                <w:szCs w:val="24"/>
                <w:lang w:val="es-ES"/>
              </w:rPr>
            </w:pPr>
            <w:r w:rsidRPr="00BD0F00">
              <w:rPr>
                <w:szCs w:val="24"/>
                <w:lang w:val="es-ES"/>
              </w:rPr>
              <w:t>Correo-e:</w:t>
            </w:r>
          </w:p>
        </w:tc>
        <w:tc>
          <w:tcPr>
            <w:tcW w:w="3609" w:type="dxa"/>
            <w:gridSpan w:val="2"/>
            <w:tcMar>
              <w:left w:w="108" w:type="dxa"/>
              <w:right w:w="108" w:type="dxa"/>
            </w:tcMar>
          </w:tcPr>
          <w:p w14:paraId="1BDFABAF" w14:textId="290FECEA" w:rsidR="00BD0F00" w:rsidRPr="00BD0F00" w:rsidRDefault="00BD0F00" w:rsidP="00BD0F00">
            <w:pPr>
              <w:tabs>
                <w:tab w:val="left" w:pos="4111"/>
              </w:tabs>
              <w:spacing w:before="40" w:after="40"/>
              <w:ind w:left="57"/>
              <w:rPr>
                <w:szCs w:val="24"/>
                <w:lang w:val="es-ES"/>
              </w:rPr>
            </w:pPr>
            <w:hyperlink r:id="rId9" w:history="1">
              <w:r w:rsidRPr="00BD0F00">
                <w:rPr>
                  <w:rStyle w:val="Hyperlink"/>
                  <w:szCs w:val="24"/>
                  <w:lang w:val="es-ES"/>
                </w:rPr>
                <w:t>tsbsg16@itu.int</w:t>
              </w:r>
            </w:hyperlink>
          </w:p>
        </w:tc>
        <w:tc>
          <w:tcPr>
            <w:tcW w:w="5329" w:type="dxa"/>
            <w:vMerge w:val="restart"/>
            <w:tcMar>
              <w:left w:w="108" w:type="dxa"/>
              <w:right w:w="108" w:type="dxa"/>
            </w:tcMar>
          </w:tcPr>
          <w:p w14:paraId="754A5F44" w14:textId="77777777" w:rsidR="00BD0F00" w:rsidRPr="00BD0F00" w:rsidRDefault="00BD0F00" w:rsidP="00BD0F00">
            <w:pPr>
              <w:spacing w:before="40" w:after="40"/>
              <w:rPr>
                <w:b/>
                <w:bCs/>
                <w:szCs w:val="24"/>
                <w:lang w:val="es-ES"/>
              </w:rPr>
            </w:pPr>
            <w:r w:rsidRPr="00BD0F00">
              <w:rPr>
                <w:b/>
                <w:bCs/>
                <w:szCs w:val="24"/>
                <w:lang w:val="es-ES"/>
              </w:rPr>
              <w:t>Copia a:</w:t>
            </w:r>
          </w:p>
          <w:p w14:paraId="4135A91E" w14:textId="3C53403A" w:rsidR="00BD0F00" w:rsidRPr="00BD0F00" w:rsidRDefault="00BD0F00" w:rsidP="00BD0F00">
            <w:pPr>
              <w:spacing w:before="40" w:after="40"/>
              <w:ind w:left="794" w:hanging="794"/>
              <w:rPr>
                <w:szCs w:val="24"/>
                <w:lang w:val="es-ES"/>
              </w:rPr>
            </w:pPr>
            <w:r w:rsidRPr="00BD0F00">
              <w:rPr>
                <w:szCs w:val="24"/>
                <w:lang w:val="es-ES"/>
              </w:rPr>
              <w:t>–</w:t>
            </w:r>
            <w:r w:rsidRPr="00BD0F00">
              <w:rPr>
                <w:szCs w:val="24"/>
                <w:lang w:val="es-ES"/>
              </w:rPr>
              <w:tab/>
              <w:t>el Presidente y los Vicepresidentes de la Comisión de Estudio 16 del UIT-T;</w:t>
            </w:r>
          </w:p>
          <w:p w14:paraId="42A5AFA7" w14:textId="00E9E05C" w:rsidR="00BD0F00" w:rsidRPr="00BD0F00" w:rsidRDefault="00BD0F00" w:rsidP="00BD0F00">
            <w:pPr>
              <w:spacing w:before="40" w:after="40"/>
              <w:ind w:left="794" w:hanging="794"/>
              <w:rPr>
                <w:szCs w:val="24"/>
                <w:lang w:val="es-ES"/>
              </w:rPr>
            </w:pPr>
            <w:r w:rsidRPr="00BD0F00">
              <w:rPr>
                <w:szCs w:val="24"/>
                <w:lang w:val="es-ES"/>
              </w:rPr>
              <w:t>–</w:t>
            </w:r>
            <w:r w:rsidRPr="00BD0F00">
              <w:rPr>
                <w:szCs w:val="24"/>
                <w:lang w:val="es-ES"/>
              </w:rPr>
              <w:tab/>
              <w:t>el Director de la Oficina de Desarrollo de las Telecomunicaciones;</w:t>
            </w:r>
          </w:p>
          <w:p w14:paraId="6ECA26A6" w14:textId="678F4924" w:rsidR="00BD0F00" w:rsidRPr="00BD0F00" w:rsidRDefault="00BD0F00" w:rsidP="00BD0F00">
            <w:pPr>
              <w:spacing w:before="40" w:after="40"/>
              <w:ind w:left="794" w:hanging="794"/>
              <w:rPr>
                <w:szCs w:val="24"/>
                <w:lang w:val="es-ES"/>
              </w:rPr>
            </w:pPr>
            <w:r w:rsidRPr="00BD0F00">
              <w:rPr>
                <w:szCs w:val="24"/>
                <w:lang w:val="es-ES"/>
              </w:rPr>
              <w:t>–</w:t>
            </w:r>
            <w:r w:rsidRPr="00BD0F00">
              <w:rPr>
                <w:szCs w:val="24"/>
                <w:lang w:val="es-ES"/>
              </w:rPr>
              <w:tab/>
              <w:t>el Director de la Oficina de Radiocomunicaciones</w:t>
            </w:r>
          </w:p>
        </w:tc>
      </w:tr>
      <w:tr w:rsidR="00BD0F00" w:rsidRPr="00BD0F00" w14:paraId="6C9A6747" w14:textId="77777777" w:rsidTr="00940C97">
        <w:trPr>
          <w:cantSplit/>
        </w:trPr>
        <w:tc>
          <w:tcPr>
            <w:tcW w:w="1268" w:type="dxa"/>
            <w:tcMar>
              <w:left w:w="108" w:type="dxa"/>
              <w:right w:w="108" w:type="dxa"/>
            </w:tcMar>
          </w:tcPr>
          <w:p w14:paraId="0503E353" w14:textId="0DF65853" w:rsidR="00BD0F00" w:rsidRPr="00BD0F00" w:rsidRDefault="00BD0F00" w:rsidP="00BD0F00">
            <w:pPr>
              <w:tabs>
                <w:tab w:val="left" w:pos="4111"/>
              </w:tabs>
              <w:spacing w:before="40" w:after="40"/>
              <w:ind w:left="57"/>
              <w:rPr>
                <w:szCs w:val="24"/>
                <w:lang w:val="es-ES"/>
              </w:rPr>
            </w:pPr>
          </w:p>
        </w:tc>
        <w:tc>
          <w:tcPr>
            <w:tcW w:w="3609" w:type="dxa"/>
            <w:gridSpan w:val="2"/>
            <w:tcMar>
              <w:left w:w="108" w:type="dxa"/>
              <w:right w:w="108" w:type="dxa"/>
            </w:tcMar>
          </w:tcPr>
          <w:p w14:paraId="01348C3F" w14:textId="77799281" w:rsidR="00BD0F00" w:rsidRPr="00BD0F00" w:rsidRDefault="00BD0F00" w:rsidP="00BD0F00">
            <w:pPr>
              <w:tabs>
                <w:tab w:val="left" w:pos="4111"/>
              </w:tabs>
              <w:spacing w:before="40" w:after="40"/>
              <w:ind w:left="57"/>
              <w:rPr>
                <w:szCs w:val="24"/>
                <w:lang w:val="es-ES"/>
              </w:rPr>
            </w:pPr>
          </w:p>
        </w:tc>
        <w:tc>
          <w:tcPr>
            <w:tcW w:w="5329" w:type="dxa"/>
            <w:vMerge/>
            <w:tcMar>
              <w:left w:w="108" w:type="dxa"/>
              <w:right w:w="108" w:type="dxa"/>
            </w:tcMar>
          </w:tcPr>
          <w:p w14:paraId="57F4FCFD" w14:textId="77777777" w:rsidR="00BD0F00" w:rsidRPr="00BD0F00" w:rsidRDefault="00BD0F00" w:rsidP="00BD0F00">
            <w:pPr>
              <w:tabs>
                <w:tab w:val="clear" w:pos="794"/>
                <w:tab w:val="clear" w:pos="1191"/>
                <w:tab w:val="clear" w:pos="1588"/>
                <w:tab w:val="clear" w:pos="1985"/>
                <w:tab w:val="left" w:pos="226"/>
                <w:tab w:val="left" w:pos="510"/>
              </w:tabs>
              <w:spacing w:before="0"/>
              <w:ind w:left="226" w:hanging="169"/>
              <w:rPr>
                <w:szCs w:val="24"/>
                <w:lang w:val="es-ES"/>
              </w:rPr>
            </w:pPr>
          </w:p>
        </w:tc>
      </w:tr>
      <w:tr w:rsidR="00BD0F00" w:rsidRPr="00BD0F00" w14:paraId="33772D84" w14:textId="77777777" w:rsidTr="00940C97">
        <w:trPr>
          <w:cantSplit/>
        </w:trPr>
        <w:tc>
          <w:tcPr>
            <w:tcW w:w="1268" w:type="dxa"/>
            <w:tcMar>
              <w:left w:w="108" w:type="dxa"/>
              <w:right w:w="108" w:type="dxa"/>
            </w:tcMar>
          </w:tcPr>
          <w:p w14:paraId="72D6DAF1" w14:textId="77777777" w:rsidR="00BD0F00" w:rsidRPr="00BD0F00" w:rsidRDefault="00BD0F00" w:rsidP="00BD0F00">
            <w:pPr>
              <w:rPr>
                <w:b/>
                <w:bCs/>
                <w:lang w:val="es-ES"/>
              </w:rPr>
            </w:pPr>
            <w:r w:rsidRPr="00BD0F00">
              <w:rPr>
                <w:b/>
                <w:bCs/>
                <w:lang w:val="es-ES"/>
              </w:rPr>
              <w:t>Asunto:</w:t>
            </w:r>
          </w:p>
        </w:tc>
        <w:tc>
          <w:tcPr>
            <w:tcW w:w="8938" w:type="dxa"/>
            <w:gridSpan w:val="3"/>
            <w:tcMar>
              <w:left w:w="108" w:type="dxa"/>
              <w:right w:w="108" w:type="dxa"/>
            </w:tcMar>
          </w:tcPr>
          <w:p w14:paraId="379A3F32" w14:textId="49B6DBE7" w:rsidR="00BD0F00" w:rsidRPr="00BD0F00" w:rsidRDefault="00BD0F00" w:rsidP="00BD0F00">
            <w:pPr>
              <w:rPr>
                <w:b/>
                <w:bCs/>
                <w:lang w:val="es-ES"/>
              </w:rPr>
            </w:pPr>
            <w:r w:rsidRPr="00BD0F00">
              <w:rPr>
                <w:b/>
                <w:bCs/>
                <w:lang w:val="es-ES"/>
              </w:rPr>
              <w:t>Consulta a los Estados Miembros sobre los proyectos de Recomendaciones determinadas UIT-T F.743.27 (ex F. F.IVSP-PGI) y UIT-T F.743.28 (ex F.RIIS-CEC), propuestos para su aprobación en la reunión de la Comisión de Estudio C del UIT-T (fusión de la CE 9 y la CE 16) (prevista en Ginebra del 13 al 24 de enero de 2025)</w:t>
            </w:r>
          </w:p>
        </w:tc>
      </w:tr>
    </w:tbl>
    <w:p w14:paraId="7E19FE4F" w14:textId="77777777" w:rsidR="00C34772" w:rsidRPr="00BD0F00" w:rsidRDefault="00C34772" w:rsidP="007B6316">
      <w:pPr>
        <w:spacing w:before="320"/>
        <w:rPr>
          <w:lang w:val="es-ES"/>
        </w:rPr>
      </w:pPr>
      <w:bookmarkStart w:id="1" w:name="StartTyping_S"/>
      <w:bookmarkStart w:id="2" w:name="suitetext"/>
      <w:bookmarkStart w:id="3" w:name="text"/>
      <w:bookmarkEnd w:id="1"/>
      <w:bookmarkEnd w:id="2"/>
      <w:bookmarkEnd w:id="3"/>
      <w:r w:rsidRPr="00BD0F00">
        <w:rPr>
          <w:lang w:val="es-ES"/>
        </w:rPr>
        <w:t>Muy Señora mía/Muy Señor mío:</w:t>
      </w:r>
    </w:p>
    <w:p w14:paraId="335E5AF4" w14:textId="77777777" w:rsidR="00130F38" w:rsidRPr="00BD0F00" w:rsidRDefault="00130F38" w:rsidP="00130F38">
      <w:pPr>
        <w:rPr>
          <w:lang w:val="es-ES"/>
        </w:rPr>
      </w:pPr>
      <w:r w:rsidRPr="00BD0F00">
        <w:rPr>
          <w:lang w:val="es-ES"/>
        </w:rPr>
        <w:t>1</w:t>
      </w:r>
      <w:r w:rsidRPr="00BD0F00">
        <w:rPr>
          <w:lang w:val="es-ES"/>
        </w:rPr>
        <w:tab/>
        <w:t>El Grupo de Trabajo 3 de la Comisión de Estudio 16 del UIT-T acordó iniciar el proceso de aprobación de los proyectos de Recomendaciones mencionados de conformidad con la Sección 9 de la Resolución 1 (Rev. Ginebra, 2022) de la AMNT. En consecuencia, se examinarán para su aprobación en la reunión de la Comisión de Estudio C del UIT-T (fusión de la CE 9 y la CE 16) que está previsto que se celebre en Ginebra del 13 al 24 de enero de 2025. El orden del día y toda la información pertinente relativa a la reunión de la Comisión de Estudio C de la UIT-T figurarán en la carta colectiva correspondiente de la Comisión de Estudio que se enviará en breve.</w:t>
      </w:r>
    </w:p>
    <w:p w14:paraId="45D421CD" w14:textId="77777777" w:rsidR="00130F38" w:rsidRPr="00BD0F00" w:rsidRDefault="00130F38" w:rsidP="00130F38">
      <w:pPr>
        <w:rPr>
          <w:rtl/>
          <w:lang w:val="es-ES"/>
        </w:rPr>
      </w:pPr>
      <w:r w:rsidRPr="00BD0F00">
        <w:rPr>
          <w:lang w:val="es-ES"/>
        </w:rPr>
        <w:t>2</w:t>
      </w:r>
      <w:r w:rsidRPr="00BD0F00">
        <w:rPr>
          <w:lang w:val="es-ES"/>
        </w:rPr>
        <w:tab/>
        <w:t xml:space="preserve">En el </w:t>
      </w:r>
      <w:r w:rsidRPr="00BD0F00">
        <w:rPr>
          <w:b/>
          <w:bCs/>
          <w:lang w:val="es-ES"/>
        </w:rPr>
        <w:t>Anexo 1</w:t>
      </w:r>
      <w:r w:rsidRPr="00BD0F00">
        <w:rPr>
          <w:lang w:val="es-ES"/>
        </w:rPr>
        <w:t xml:space="preserve"> figura la información sobre el título, el resumen y la ubicación de los proyectos de Recomendaciones UIT-T cuya aprobación se propone.</w:t>
      </w:r>
    </w:p>
    <w:p w14:paraId="7621832C" w14:textId="77777777" w:rsidR="00130F38" w:rsidRPr="00BD0F00" w:rsidRDefault="00130F38" w:rsidP="00E8422C">
      <w:pPr>
        <w:pStyle w:val="Note"/>
        <w:rPr>
          <w:lang w:val="es-ES"/>
        </w:rPr>
      </w:pPr>
      <w:r w:rsidRPr="00BD0F00">
        <w:rPr>
          <w:lang w:val="es-ES"/>
        </w:rPr>
        <w:t>NOTA 1 – Actualmente no se requiere justificación con arreglo a la Recomendación UIT-T A.5 para estos proyectos de Recomendaciones.</w:t>
      </w:r>
    </w:p>
    <w:p w14:paraId="7EB216AE" w14:textId="77777777" w:rsidR="00130F38" w:rsidRPr="00BD0F00" w:rsidRDefault="00130F38" w:rsidP="00130F38">
      <w:pPr>
        <w:rPr>
          <w:lang w:val="es-ES"/>
        </w:rPr>
      </w:pPr>
      <w:r w:rsidRPr="00BD0F00">
        <w:rPr>
          <w:lang w:val="es-ES"/>
        </w:rPr>
        <w:t>3</w:t>
      </w:r>
      <w:r w:rsidRPr="00BD0F00">
        <w:rPr>
          <w:lang w:val="es-ES"/>
        </w:rPr>
        <w:tab/>
        <w:t xml:space="preserve">Con esta Circular se inicia la consulta oficial con los Estados Miembros de la UIT sobre si estos textos pueden considerarse para su aprobación en la próxima reunión, de acuerdo con la cláusula 9.4 de la Resolución 1. Se ruega a los Estados Miembros que cumplimenten y remitan el formulario que figura en el </w:t>
      </w:r>
      <w:r w:rsidRPr="00BD0F00">
        <w:rPr>
          <w:b/>
          <w:bCs/>
          <w:lang w:val="es-ES"/>
        </w:rPr>
        <w:t>Anexo 2</w:t>
      </w:r>
      <w:r w:rsidRPr="00BD0F00">
        <w:rPr>
          <w:lang w:val="es-ES"/>
        </w:rPr>
        <w:t xml:space="preserve"> antes de las 23.59 horas UTC del </w:t>
      </w:r>
      <w:r w:rsidRPr="00BD0F00">
        <w:rPr>
          <w:b/>
          <w:bCs/>
          <w:lang w:val="es-ES"/>
        </w:rPr>
        <w:t>2 de enero de 2025</w:t>
      </w:r>
      <w:r w:rsidRPr="00BD0F00">
        <w:rPr>
          <w:lang w:val="es-ES"/>
        </w:rPr>
        <w:t>.</w:t>
      </w:r>
    </w:p>
    <w:p w14:paraId="111D2067" w14:textId="77777777" w:rsidR="00130F38" w:rsidRPr="00BD0F00" w:rsidRDefault="00130F38" w:rsidP="00E8422C">
      <w:pPr>
        <w:keepNext/>
        <w:keepLines/>
        <w:rPr>
          <w:lang w:val="es-ES"/>
        </w:rPr>
      </w:pPr>
      <w:r w:rsidRPr="00BD0F00">
        <w:rPr>
          <w:lang w:val="es-ES"/>
        </w:rPr>
        <w:lastRenderedPageBreak/>
        <w:t>4</w:t>
      </w:r>
      <w:r w:rsidRPr="00BD0F00">
        <w:rPr>
          <w:lang w:val="es-ES"/>
        </w:rPr>
        <w:tab/>
        <w:t>Si al menos el 70% de las respuestas de los Estados Miembros es favorable a que se considere la aprobación, se dedicará una sesión plenaria a la aplicación del procedimiento de aprobación. Los Estados Miembros que no otorguen autoridad para proceder deberían informar al Director de la TSB de los motivos en que se fundamenta esta opinión e indicar los cambios que podrían permitir el proseguimiento de los trabajos.</w:t>
      </w:r>
    </w:p>
    <w:p w14:paraId="6CF452F7" w14:textId="77777777" w:rsidR="007B6316" w:rsidRPr="00BD0F00" w:rsidRDefault="007B6316" w:rsidP="00130F38">
      <w:pPr>
        <w:keepNext/>
        <w:keepLines/>
        <w:rPr>
          <w:lang w:val="es-ES"/>
        </w:rPr>
      </w:pPr>
      <w:r w:rsidRPr="00BD0F00">
        <w:rPr>
          <w:lang w:val="es-ES"/>
        </w:rPr>
        <w:t>Atentamente,</w:t>
      </w:r>
    </w:p>
    <w:p w14:paraId="741FAFA9" w14:textId="77777777" w:rsidR="007B6316" w:rsidRPr="00BD0F00" w:rsidRDefault="007B6316" w:rsidP="00130F38">
      <w:pPr>
        <w:keepNext/>
        <w:keepLines/>
        <w:spacing w:before="480" w:line="480" w:lineRule="auto"/>
        <w:rPr>
          <w:sz w:val="28"/>
          <w:szCs w:val="22"/>
          <w:lang w:val="es-ES"/>
        </w:rPr>
      </w:pPr>
      <w:r w:rsidRPr="00BD0F00">
        <w:rPr>
          <w:i/>
          <w:iCs/>
          <w:szCs w:val="24"/>
          <w:lang w:val="es-ES"/>
        </w:rPr>
        <w:t>(firmado)</w:t>
      </w:r>
    </w:p>
    <w:p w14:paraId="7EA2CFD1" w14:textId="77777777" w:rsidR="007B6316" w:rsidRPr="00BD0F00" w:rsidRDefault="001350B9" w:rsidP="00130F38">
      <w:pPr>
        <w:keepNext/>
        <w:keepLines/>
        <w:spacing w:before="360"/>
        <w:rPr>
          <w:lang w:val="es-ES"/>
        </w:rPr>
      </w:pPr>
      <w:r w:rsidRPr="00BD0F00">
        <w:rPr>
          <w:rFonts w:cstheme="minorHAnsi"/>
          <w:szCs w:val="22"/>
          <w:lang w:val="es-ES"/>
        </w:rPr>
        <w:t>Seizo Onoe</w:t>
      </w:r>
      <w:r w:rsidR="007B6316" w:rsidRPr="00BD0F00">
        <w:rPr>
          <w:lang w:val="es-ES"/>
        </w:rPr>
        <w:br/>
        <w:t xml:space="preserve">Director de la Oficina de </w:t>
      </w:r>
      <w:r w:rsidR="007B6316" w:rsidRPr="00BD0F00">
        <w:rPr>
          <w:lang w:val="es-ES"/>
        </w:rPr>
        <w:br/>
        <w:t>Normalización de las Telecomunicaciones</w:t>
      </w:r>
    </w:p>
    <w:p w14:paraId="470B74A5" w14:textId="469F31B5" w:rsidR="00401C20" w:rsidRPr="00BD0F00" w:rsidRDefault="00130F38" w:rsidP="00362809">
      <w:pPr>
        <w:spacing w:before="480"/>
        <w:ind w:right="92"/>
        <w:rPr>
          <w:lang w:val="es-ES"/>
        </w:rPr>
      </w:pPr>
      <w:r w:rsidRPr="00BD0F00">
        <w:rPr>
          <w:b/>
          <w:bCs/>
          <w:lang w:val="es-ES"/>
        </w:rPr>
        <w:t>Anexos:</w:t>
      </w:r>
      <w:r w:rsidRPr="00BD0F00">
        <w:rPr>
          <w:lang w:val="es-ES"/>
        </w:rPr>
        <w:t xml:space="preserve"> 2</w:t>
      </w:r>
    </w:p>
    <w:p w14:paraId="7192BDD6" w14:textId="2589A691" w:rsidR="00130F38" w:rsidRPr="00BD0F00" w:rsidRDefault="00130F38">
      <w:pPr>
        <w:tabs>
          <w:tab w:val="clear" w:pos="794"/>
          <w:tab w:val="clear" w:pos="1191"/>
          <w:tab w:val="clear" w:pos="1588"/>
          <w:tab w:val="clear" w:pos="1985"/>
        </w:tabs>
        <w:overflowPunct/>
        <w:autoSpaceDE/>
        <w:autoSpaceDN/>
        <w:adjustRightInd/>
        <w:spacing w:before="0"/>
        <w:textAlignment w:val="auto"/>
        <w:rPr>
          <w:lang w:val="es-ES"/>
        </w:rPr>
      </w:pPr>
      <w:r w:rsidRPr="00BD0F00">
        <w:rPr>
          <w:lang w:val="es-ES"/>
        </w:rPr>
        <w:br w:type="page"/>
      </w:r>
    </w:p>
    <w:p w14:paraId="3297E4B6" w14:textId="0D4EC31A" w:rsidR="00130F38" w:rsidRPr="00BD0F00" w:rsidRDefault="00130F38" w:rsidP="00BD0F00">
      <w:pPr>
        <w:pStyle w:val="AnnexNotitle"/>
        <w:rPr>
          <w:lang w:val="es-ES"/>
        </w:rPr>
      </w:pPr>
      <w:r w:rsidRPr="00BD0F00">
        <w:rPr>
          <w:lang w:val="es-ES"/>
        </w:rPr>
        <w:lastRenderedPageBreak/>
        <w:t>Anexo 1</w:t>
      </w:r>
      <w:r w:rsidR="00BD0F00" w:rsidRPr="00BD0F00">
        <w:rPr>
          <w:lang w:val="es-ES"/>
        </w:rPr>
        <w:br/>
      </w:r>
      <w:r w:rsidRPr="00BD0F00">
        <w:rPr>
          <w:lang w:val="es-ES"/>
        </w:rPr>
        <w:t xml:space="preserve">Resumen y ubicación de los proyectos de Recomendaciones determinadas </w:t>
      </w:r>
      <w:r w:rsidR="00E8422C" w:rsidRPr="00BD0F00">
        <w:rPr>
          <w:lang w:val="es-ES"/>
        </w:rPr>
        <w:br/>
      </w:r>
      <w:r w:rsidRPr="00BD0F00">
        <w:rPr>
          <w:lang w:val="es-ES"/>
        </w:rPr>
        <w:t>UIT-T F.743.27 (ex F.IVSP-PGI) y ITU-T F.743.28 (ex F.RIIS-CEC)</w:t>
      </w:r>
    </w:p>
    <w:p w14:paraId="082DDA56" w14:textId="77777777" w:rsidR="00130F38" w:rsidRPr="00BD0F00" w:rsidRDefault="00130F38" w:rsidP="00130F38">
      <w:pPr>
        <w:pStyle w:val="Heading1"/>
        <w:rPr>
          <w:lang w:val="es-ES"/>
        </w:rPr>
      </w:pPr>
      <w:r w:rsidRPr="00BD0F00">
        <w:rPr>
          <w:lang w:val="es-ES"/>
        </w:rPr>
        <w:t>1</w:t>
      </w:r>
      <w:r w:rsidRPr="00BD0F00">
        <w:rPr>
          <w:lang w:val="es-ES"/>
        </w:rPr>
        <w:tab/>
        <w:t>Proyecto de nueva Recomendación UIT-T F.743.27 (ex F.IVSP-PGI) [CE 16-R29]</w:t>
      </w:r>
    </w:p>
    <w:p w14:paraId="621DBBE7" w14:textId="77777777" w:rsidR="00130F38" w:rsidRPr="00BD0F00" w:rsidRDefault="00130F38" w:rsidP="00130F38">
      <w:pPr>
        <w:pStyle w:val="Headingb0"/>
        <w:rPr>
          <w:lang w:val="es-ES"/>
        </w:rPr>
      </w:pPr>
      <w:r w:rsidRPr="00BD0F00">
        <w:rPr>
          <w:lang w:val="es-ES"/>
        </w:rPr>
        <w:t>Requisitos y marco de la plataforma inteligente de videovigilancia para la infraestructura eléctrica de red</w:t>
      </w:r>
    </w:p>
    <w:p w14:paraId="29BE82A2" w14:textId="77777777" w:rsidR="00130F38" w:rsidRPr="00BD0F00" w:rsidRDefault="00130F38" w:rsidP="00130F38">
      <w:pPr>
        <w:pStyle w:val="Headingb0"/>
        <w:rPr>
          <w:lang w:val="es-ES"/>
        </w:rPr>
      </w:pPr>
      <w:r w:rsidRPr="00BD0F00">
        <w:rPr>
          <w:lang w:val="es-ES"/>
        </w:rPr>
        <w:t>Resumen</w:t>
      </w:r>
    </w:p>
    <w:p w14:paraId="0CA6420B" w14:textId="77777777" w:rsidR="00130F38" w:rsidRPr="00BD0F00" w:rsidRDefault="00130F38" w:rsidP="007946CD">
      <w:pPr>
        <w:rPr>
          <w:lang w:val="es-ES"/>
        </w:rPr>
      </w:pPr>
      <w:r w:rsidRPr="00BD0F00">
        <w:rPr>
          <w:lang w:val="es-ES"/>
        </w:rPr>
        <w:t>La videovigilancia se ha utilizado ampliamente en diversos escenarios dentro del sector eléctrico, incluida la transmisión, transformación, distribución, inspección de equipos, supervisión de seguridad, actividades oficiales y centros de datos. Ahora bien, a medida que aumenta el número de dispositivos de vigilancia y escenarios de control, la videovigilancia se enfrenta a diversas dificultades, como la limitación del ancho de banda de la red de comunicaciones y la gestión del gran volumen de conexiones de dispositivos. La integración de tecnologías de inteligencia artificial en la plataforma de videovigilancia mejora significativamente la eficiencia del análisis de datos en tiempo real. Al extender la inteligencia a la periferia de la red mediante el entrenamiento y distribución de modelos, esta plataforma inteligente permite la detección anticipada de amenazas y una asignación de recursos más eficiente para la infraestructura de la red eléctrica, especialmente en zonas remotas con poblaciones dispersas, instalaciones desatendidas y malas condiciones de señal inalámbrica. Este avance garantiza una supervisión y protección exhaustivas de los activos críticos, lo que mejora así la seguridad y fiabilidad general de las infraestructuras de las redes eléctricas.</w:t>
      </w:r>
    </w:p>
    <w:p w14:paraId="61405485" w14:textId="77777777" w:rsidR="00130F38" w:rsidRPr="00BD0F00" w:rsidRDefault="00130F38" w:rsidP="007946CD">
      <w:pPr>
        <w:rPr>
          <w:lang w:val="es-ES"/>
        </w:rPr>
      </w:pPr>
      <w:r w:rsidRPr="00BD0F00">
        <w:rPr>
          <w:lang w:val="es-ES"/>
        </w:rPr>
        <w:t>En la presente Recomendación se especifican los requisitos y el marco de referencia de las plataformas inteligentes de videovigilancia para la infraestructura eléctrica de red.</w:t>
      </w:r>
    </w:p>
    <w:p w14:paraId="7BF758D1" w14:textId="77777777" w:rsidR="00130F38" w:rsidRPr="00BD0F00" w:rsidRDefault="00130F38" w:rsidP="00130F38">
      <w:pPr>
        <w:pStyle w:val="Heading1"/>
        <w:rPr>
          <w:lang w:val="es-ES"/>
        </w:rPr>
      </w:pPr>
      <w:r w:rsidRPr="00BD0F00">
        <w:rPr>
          <w:lang w:val="es-ES"/>
        </w:rPr>
        <w:t>2</w:t>
      </w:r>
      <w:r w:rsidRPr="00BD0F00">
        <w:rPr>
          <w:lang w:val="es-ES"/>
        </w:rPr>
        <w:tab/>
        <w:t>Proyecto de nueva Recomendación UIT-T F.743.28 (ex F.RIIS-CEC) [CE 16-R30]</w:t>
      </w:r>
    </w:p>
    <w:p w14:paraId="5B173658" w14:textId="77777777" w:rsidR="00130F38" w:rsidRPr="00BD0F00" w:rsidRDefault="00130F38" w:rsidP="00130F38">
      <w:pPr>
        <w:pStyle w:val="Headingb0"/>
        <w:rPr>
          <w:lang w:val="es-ES"/>
        </w:rPr>
      </w:pPr>
      <w:r w:rsidRPr="00BD0F00">
        <w:rPr>
          <w:lang w:val="es-ES"/>
        </w:rPr>
        <w:t>Requisitos y marco funcional para el sistema de inspección inteligente basado en la colaboración entre dispositivos periféricos y la nube en redes inteligentes</w:t>
      </w:r>
    </w:p>
    <w:p w14:paraId="248CC7E1" w14:textId="77777777" w:rsidR="00130F38" w:rsidRPr="00BD0F00" w:rsidRDefault="00130F38" w:rsidP="00130F38">
      <w:pPr>
        <w:pStyle w:val="Headingb0"/>
        <w:rPr>
          <w:lang w:val="es-ES"/>
        </w:rPr>
      </w:pPr>
      <w:r w:rsidRPr="00BD0F00">
        <w:rPr>
          <w:lang w:val="es-ES"/>
        </w:rPr>
        <w:t>Resumen</w:t>
      </w:r>
    </w:p>
    <w:p w14:paraId="47DCCA85" w14:textId="77777777" w:rsidR="00130F38" w:rsidRPr="00BD0F00" w:rsidRDefault="00130F38" w:rsidP="00940C97">
      <w:pPr>
        <w:rPr>
          <w:lang w:val="es-ES"/>
        </w:rPr>
      </w:pPr>
      <w:r w:rsidRPr="00BD0F00">
        <w:rPr>
          <w:lang w:val="es-ES"/>
        </w:rPr>
        <w:t>El sistema de inspección inteligente es útil para ayudar a las personas en el trabajo de inspección, ya que ofrece ventajas como una alta eficiencia y bajos costos de operación y mantenimiento. Se utiliza ampliamente en escenarios como la inspección de centrales eléctricas, subestaciones y líneas de transmisión. Con todo, los datos de inspección transmitidos a la nube entrañan dificultades, como su gran volumen, alta complejidad, largos ciclos de almacenamiento y alta frecuencia de computación. Además, muchas subestaciones y líneas de transmisión están situadas en zonas remotas, donde las conexiones de red suelen ser deficientes, y debe tenerse en cuenta la capacidad de inspección adecuada en entornos hostiles. Un sistema de inspección inteligente basado en la colaboración entre dispositivos periféricos y la nube podría solventar estas dificultades.</w:t>
      </w:r>
    </w:p>
    <w:p w14:paraId="537925B6" w14:textId="0440C520" w:rsidR="00940C97" w:rsidRPr="00BD0F00" w:rsidRDefault="00130F38" w:rsidP="00940C97">
      <w:pPr>
        <w:rPr>
          <w:lang w:val="es-ES"/>
        </w:rPr>
      </w:pPr>
      <w:r w:rsidRPr="00BD0F00">
        <w:rPr>
          <w:lang w:val="es-ES"/>
        </w:rPr>
        <w:t>En la presente Recomendación se especifican un marco funcional, requisitos y casos de uso para el sistema de inspección inteligente basado en la colaboración entre dispositivos periféricos y la nube en redes inteligentes Proporciona orientación para la utilización y selección del sistema de inspección adecuado para una aplicación específica. También puede proporcionar un nuevo paradigma de colaboración a las normas existentes en materia de redes inteligentes.</w:t>
      </w:r>
      <w:r w:rsidR="00940C97" w:rsidRPr="00BD0F00">
        <w:rPr>
          <w:lang w:val="es-ES"/>
        </w:rPr>
        <w:br w:type="page"/>
      </w:r>
    </w:p>
    <w:p w14:paraId="27792FAD" w14:textId="3A22A622" w:rsidR="00130F38" w:rsidRPr="00BD0F00" w:rsidRDefault="00130F38" w:rsidP="00362809">
      <w:pPr>
        <w:pStyle w:val="AnnexNotitle"/>
        <w:spacing w:after="240"/>
        <w:rPr>
          <w:lang w:val="es-ES"/>
        </w:rPr>
      </w:pPr>
      <w:r w:rsidRPr="00BD0F00">
        <w:rPr>
          <w:lang w:val="es-ES"/>
        </w:rPr>
        <w:lastRenderedPageBreak/>
        <w:t>Anexo 2</w:t>
      </w:r>
      <w:r w:rsidR="00940C97" w:rsidRPr="00BD0F00">
        <w:rPr>
          <w:lang w:val="es-ES"/>
        </w:rPr>
        <w:br/>
      </w:r>
      <w:r w:rsidRPr="00BD0F00">
        <w:rPr>
          <w:lang w:val="es-ES"/>
        </w:rPr>
        <w:t xml:space="preserve">Asunto: Respuesta de Estado Miembro a la Circular 234 de la TSB: </w:t>
      </w:r>
      <w:r w:rsidR="00E8422C" w:rsidRPr="00BD0F00">
        <w:rPr>
          <w:lang w:val="es-ES"/>
        </w:rPr>
        <w:br/>
      </w:r>
      <w:r w:rsidRPr="00BD0F00">
        <w:rPr>
          <w:lang w:val="es-ES"/>
        </w:rPr>
        <w:t xml:space="preserve">Consulta sobre los proyectos de Recomendaciones determinada </w:t>
      </w:r>
      <w:r w:rsidR="00E8422C" w:rsidRPr="00BD0F00">
        <w:rPr>
          <w:lang w:val="es-ES"/>
        </w:rPr>
        <w:br/>
      </w:r>
      <w:r w:rsidRPr="00BD0F00">
        <w:rPr>
          <w:lang w:val="es-ES"/>
        </w:rPr>
        <w:t>UIT-T F.743.27 (ex F.IVSP-PGI) y UIT-T F.743.28 (ex F.RIIS-CEC)</w:t>
      </w:r>
    </w:p>
    <w:tbl>
      <w:tblPr>
        <w:tblW w:w="5000" w:type="pct"/>
        <w:jc w:val="center"/>
        <w:tblLayout w:type="fixed"/>
        <w:tblLook w:val="04A0" w:firstRow="1" w:lastRow="0" w:firstColumn="1" w:lastColumn="0" w:noHBand="0" w:noVBand="1"/>
      </w:tblPr>
      <w:tblGrid>
        <w:gridCol w:w="1273"/>
        <w:gridCol w:w="4111"/>
        <w:gridCol w:w="1279"/>
        <w:gridCol w:w="2976"/>
      </w:tblGrid>
      <w:tr w:rsidR="00130F38" w:rsidRPr="00BD0F00" w14:paraId="3F3226B5" w14:textId="77777777" w:rsidTr="00E8422C">
        <w:trPr>
          <w:jc w:val="center"/>
        </w:trPr>
        <w:tc>
          <w:tcPr>
            <w:tcW w:w="1273" w:type="dxa"/>
            <w:shd w:val="clear" w:color="auto" w:fill="auto"/>
          </w:tcPr>
          <w:p w14:paraId="6F26BD83" w14:textId="77777777" w:rsidR="00130F38" w:rsidRPr="00BD0F00" w:rsidRDefault="00130F38" w:rsidP="00130F38">
            <w:pPr>
              <w:ind w:right="92"/>
              <w:rPr>
                <w:lang w:val="es-ES"/>
              </w:rPr>
            </w:pPr>
            <w:r w:rsidRPr="00BD0F00">
              <w:rPr>
                <w:b/>
                <w:bCs/>
                <w:lang w:val="es-ES"/>
              </w:rPr>
              <w:t>A</w:t>
            </w:r>
            <w:r w:rsidRPr="00BD0F00">
              <w:rPr>
                <w:lang w:val="es-ES"/>
              </w:rPr>
              <w:t>:</w:t>
            </w:r>
          </w:p>
        </w:tc>
        <w:tc>
          <w:tcPr>
            <w:tcW w:w="4111" w:type="dxa"/>
            <w:tcBorders>
              <w:right w:val="single" w:sz="8" w:space="0" w:color="auto"/>
            </w:tcBorders>
            <w:shd w:val="clear" w:color="auto" w:fill="auto"/>
          </w:tcPr>
          <w:p w14:paraId="3C41373D" w14:textId="77777777" w:rsidR="00130F38" w:rsidRPr="00BD0F00" w:rsidRDefault="00130F38" w:rsidP="00E8422C">
            <w:pPr>
              <w:ind w:right="92"/>
              <w:rPr>
                <w:lang w:val="es-ES"/>
              </w:rPr>
            </w:pPr>
            <w:r w:rsidRPr="00BD0F00">
              <w:rPr>
                <w:lang w:val="es-ES"/>
              </w:rPr>
              <w:t>Director de la Oficina de Normalización de las Telecomunicaciones</w:t>
            </w:r>
          </w:p>
          <w:p w14:paraId="2CF0E153" w14:textId="77777777" w:rsidR="00130F38" w:rsidRPr="00BD0F00" w:rsidRDefault="00130F38" w:rsidP="00940C97">
            <w:pPr>
              <w:spacing w:before="0"/>
              <w:ind w:right="92"/>
              <w:rPr>
                <w:lang w:val="es-ES"/>
              </w:rPr>
            </w:pPr>
            <w:r w:rsidRPr="00BD0F00">
              <w:rPr>
                <w:lang w:val="es-ES"/>
              </w:rPr>
              <w:t>Unión Internacional de Telecomunicaciones</w:t>
            </w:r>
          </w:p>
          <w:p w14:paraId="3000EF8A" w14:textId="77777777" w:rsidR="00130F38" w:rsidRPr="00BD0F00" w:rsidRDefault="00130F38" w:rsidP="00940C97">
            <w:pPr>
              <w:spacing w:before="0"/>
              <w:ind w:right="92"/>
              <w:rPr>
                <w:lang w:val="es-ES"/>
              </w:rPr>
            </w:pPr>
            <w:r w:rsidRPr="00BD0F00">
              <w:rPr>
                <w:lang w:val="es-ES"/>
              </w:rPr>
              <w:t>Place des Nations</w:t>
            </w:r>
          </w:p>
          <w:p w14:paraId="2EF2586D" w14:textId="77777777" w:rsidR="00130F38" w:rsidRPr="00BD0F00" w:rsidRDefault="00130F38" w:rsidP="00940C97">
            <w:pPr>
              <w:spacing w:before="0"/>
              <w:ind w:right="92"/>
              <w:rPr>
                <w:lang w:val="es-ES"/>
              </w:rPr>
            </w:pPr>
            <w:r w:rsidRPr="00BD0F00">
              <w:rPr>
                <w:lang w:val="es-ES"/>
              </w:rPr>
              <w:t>CH 1211 Ginebra 20, Suiza</w:t>
            </w:r>
          </w:p>
        </w:tc>
        <w:tc>
          <w:tcPr>
            <w:tcW w:w="1279" w:type="dxa"/>
            <w:tcBorders>
              <w:left w:val="single" w:sz="8" w:space="0" w:color="auto"/>
            </w:tcBorders>
            <w:shd w:val="clear" w:color="auto" w:fill="auto"/>
          </w:tcPr>
          <w:p w14:paraId="22371887" w14:textId="77777777" w:rsidR="00130F38" w:rsidRPr="00BD0F00" w:rsidRDefault="00130F38" w:rsidP="00130F38">
            <w:pPr>
              <w:ind w:right="92"/>
              <w:rPr>
                <w:lang w:val="es-ES"/>
              </w:rPr>
            </w:pPr>
            <w:r w:rsidRPr="00BD0F00">
              <w:rPr>
                <w:b/>
                <w:bCs/>
                <w:lang w:val="es-ES"/>
              </w:rPr>
              <w:t>De</w:t>
            </w:r>
            <w:r w:rsidRPr="00BD0F00">
              <w:rPr>
                <w:lang w:val="es-ES"/>
              </w:rPr>
              <w:t>:</w:t>
            </w:r>
          </w:p>
        </w:tc>
        <w:tc>
          <w:tcPr>
            <w:tcW w:w="2976" w:type="dxa"/>
            <w:shd w:val="clear" w:color="auto" w:fill="auto"/>
          </w:tcPr>
          <w:p w14:paraId="36B4BF19" w14:textId="77777777" w:rsidR="00130F38" w:rsidRPr="00BD0F00" w:rsidRDefault="00130F38" w:rsidP="00E8422C">
            <w:pPr>
              <w:ind w:right="92"/>
              <w:rPr>
                <w:highlight w:val="green"/>
                <w:lang w:val="es-ES"/>
              </w:rPr>
            </w:pPr>
            <w:r w:rsidRPr="00BD0F00">
              <w:rPr>
                <w:highlight w:val="green"/>
                <w:lang w:val="es-ES"/>
              </w:rPr>
              <w:t>[Nombre]</w:t>
            </w:r>
          </w:p>
          <w:p w14:paraId="4F13E392" w14:textId="77777777" w:rsidR="00130F38" w:rsidRPr="00BD0F00" w:rsidRDefault="00130F38" w:rsidP="00940C97">
            <w:pPr>
              <w:spacing w:before="0"/>
              <w:ind w:right="92"/>
              <w:rPr>
                <w:highlight w:val="green"/>
                <w:lang w:val="es-ES"/>
              </w:rPr>
            </w:pPr>
            <w:r w:rsidRPr="00BD0F00">
              <w:rPr>
                <w:highlight w:val="green"/>
                <w:lang w:val="es-ES"/>
              </w:rPr>
              <w:t>[Cargo oficial/título]</w:t>
            </w:r>
          </w:p>
          <w:p w14:paraId="490E2870" w14:textId="77777777" w:rsidR="00130F38" w:rsidRPr="00BD0F00" w:rsidRDefault="00130F38" w:rsidP="00940C97">
            <w:pPr>
              <w:spacing w:before="0"/>
              <w:ind w:right="92"/>
              <w:rPr>
                <w:highlight w:val="green"/>
                <w:lang w:val="es-ES"/>
              </w:rPr>
            </w:pPr>
            <w:r w:rsidRPr="00BD0F00">
              <w:rPr>
                <w:highlight w:val="green"/>
                <w:lang w:val="es-ES"/>
              </w:rPr>
              <w:t>[Dirección]</w:t>
            </w:r>
          </w:p>
        </w:tc>
      </w:tr>
      <w:tr w:rsidR="00130F38" w:rsidRPr="00BD0F00" w14:paraId="7BDD9C20" w14:textId="77777777" w:rsidTr="00E8422C">
        <w:trPr>
          <w:jc w:val="center"/>
        </w:trPr>
        <w:tc>
          <w:tcPr>
            <w:tcW w:w="1273" w:type="dxa"/>
            <w:shd w:val="clear" w:color="auto" w:fill="auto"/>
          </w:tcPr>
          <w:p w14:paraId="0203B551" w14:textId="77777777" w:rsidR="00130F38" w:rsidRPr="00BD0F00" w:rsidRDefault="00130F38" w:rsidP="00130F38">
            <w:pPr>
              <w:ind w:right="92"/>
              <w:rPr>
                <w:lang w:val="es-ES"/>
              </w:rPr>
            </w:pPr>
            <w:r w:rsidRPr="00BD0F00">
              <w:rPr>
                <w:b/>
                <w:bCs/>
                <w:lang w:val="es-ES"/>
              </w:rPr>
              <w:t>Fax</w:t>
            </w:r>
            <w:r w:rsidRPr="00BD0F00">
              <w:rPr>
                <w:lang w:val="es-ES"/>
              </w:rPr>
              <w:t>:</w:t>
            </w:r>
          </w:p>
        </w:tc>
        <w:tc>
          <w:tcPr>
            <w:tcW w:w="4111" w:type="dxa"/>
            <w:tcBorders>
              <w:right w:val="single" w:sz="8" w:space="0" w:color="auto"/>
            </w:tcBorders>
            <w:shd w:val="clear" w:color="auto" w:fill="auto"/>
          </w:tcPr>
          <w:p w14:paraId="634F8372" w14:textId="77777777" w:rsidR="00130F38" w:rsidRPr="00BD0F00" w:rsidRDefault="00130F38" w:rsidP="00130F38">
            <w:pPr>
              <w:ind w:right="92"/>
              <w:rPr>
                <w:lang w:val="es-ES"/>
              </w:rPr>
            </w:pPr>
            <w:r w:rsidRPr="00BD0F00">
              <w:rPr>
                <w:lang w:val="es-ES"/>
              </w:rPr>
              <w:t>+41-22-730-5853</w:t>
            </w:r>
          </w:p>
        </w:tc>
        <w:tc>
          <w:tcPr>
            <w:tcW w:w="1279" w:type="dxa"/>
            <w:tcBorders>
              <w:left w:val="single" w:sz="8" w:space="0" w:color="auto"/>
            </w:tcBorders>
            <w:shd w:val="clear" w:color="auto" w:fill="auto"/>
          </w:tcPr>
          <w:p w14:paraId="7C728DE5" w14:textId="77777777" w:rsidR="00130F38" w:rsidRPr="00BD0F00" w:rsidRDefault="00130F38" w:rsidP="00130F38">
            <w:pPr>
              <w:ind w:right="92"/>
              <w:rPr>
                <w:lang w:val="es-ES"/>
              </w:rPr>
            </w:pPr>
            <w:r w:rsidRPr="00BD0F00">
              <w:rPr>
                <w:b/>
                <w:bCs/>
                <w:lang w:val="es-ES"/>
              </w:rPr>
              <w:t>Fax</w:t>
            </w:r>
            <w:r w:rsidRPr="00BD0F00">
              <w:rPr>
                <w:lang w:val="es-ES"/>
              </w:rPr>
              <w:t>:</w:t>
            </w:r>
          </w:p>
        </w:tc>
        <w:tc>
          <w:tcPr>
            <w:tcW w:w="2976" w:type="dxa"/>
            <w:shd w:val="clear" w:color="auto" w:fill="auto"/>
          </w:tcPr>
          <w:p w14:paraId="51BA8719" w14:textId="77777777" w:rsidR="00130F38" w:rsidRPr="00BD0F00" w:rsidRDefault="00130F38" w:rsidP="00130F38">
            <w:pPr>
              <w:ind w:right="92"/>
              <w:rPr>
                <w:lang w:val="es-ES"/>
              </w:rPr>
            </w:pPr>
          </w:p>
        </w:tc>
      </w:tr>
      <w:tr w:rsidR="00130F38" w:rsidRPr="00BD0F00" w14:paraId="2FA9E284" w14:textId="77777777" w:rsidTr="00E8422C">
        <w:trPr>
          <w:jc w:val="center"/>
        </w:trPr>
        <w:tc>
          <w:tcPr>
            <w:tcW w:w="1273" w:type="dxa"/>
            <w:shd w:val="clear" w:color="auto" w:fill="auto"/>
          </w:tcPr>
          <w:p w14:paraId="7FBB73DA" w14:textId="77777777" w:rsidR="00130F38" w:rsidRPr="00BD0F00" w:rsidRDefault="00130F38" w:rsidP="00130F38">
            <w:pPr>
              <w:ind w:right="92"/>
              <w:rPr>
                <w:lang w:val="es-ES"/>
              </w:rPr>
            </w:pPr>
            <w:r w:rsidRPr="00BD0F00">
              <w:rPr>
                <w:b/>
                <w:bCs/>
                <w:lang w:val="es-ES"/>
              </w:rPr>
              <w:t>Correo-e</w:t>
            </w:r>
            <w:r w:rsidRPr="00BD0F00">
              <w:rPr>
                <w:lang w:val="es-ES"/>
              </w:rPr>
              <w:t>:</w:t>
            </w:r>
          </w:p>
        </w:tc>
        <w:tc>
          <w:tcPr>
            <w:tcW w:w="4111" w:type="dxa"/>
            <w:tcBorders>
              <w:right w:val="single" w:sz="8" w:space="0" w:color="auto"/>
            </w:tcBorders>
            <w:shd w:val="clear" w:color="auto" w:fill="auto"/>
          </w:tcPr>
          <w:p w14:paraId="555878B1" w14:textId="44141955" w:rsidR="00130F38" w:rsidRPr="00BD0F00" w:rsidRDefault="009242F1" w:rsidP="00130F38">
            <w:pPr>
              <w:ind w:right="92"/>
              <w:rPr>
                <w:lang w:val="es-ES"/>
              </w:rPr>
            </w:pPr>
            <w:hyperlink r:id="rId10" w:history="1">
              <w:r w:rsidR="00130F38" w:rsidRPr="00BD0F00">
                <w:rPr>
                  <w:rStyle w:val="Hyperlink"/>
                  <w:lang w:val="es-ES"/>
                </w:rPr>
                <w:t>tsbdir@itu.int</w:t>
              </w:r>
            </w:hyperlink>
          </w:p>
        </w:tc>
        <w:tc>
          <w:tcPr>
            <w:tcW w:w="1279" w:type="dxa"/>
            <w:tcBorders>
              <w:left w:val="single" w:sz="8" w:space="0" w:color="auto"/>
            </w:tcBorders>
            <w:shd w:val="clear" w:color="auto" w:fill="auto"/>
          </w:tcPr>
          <w:p w14:paraId="3E1AF9F0" w14:textId="77777777" w:rsidR="00130F38" w:rsidRPr="00BD0F00" w:rsidRDefault="00130F38" w:rsidP="00130F38">
            <w:pPr>
              <w:ind w:right="92"/>
              <w:rPr>
                <w:lang w:val="es-ES"/>
              </w:rPr>
            </w:pPr>
            <w:r w:rsidRPr="00BD0F00">
              <w:rPr>
                <w:b/>
                <w:bCs/>
                <w:lang w:val="es-ES"/>
              </w:rPr>
              <w:t>Correo-e</w:t>
            </w:r>
            <w:r w:rsidRPr="00BD0F00">
              <w:rPr>
                <w:lang w:val="es-ES"/>
              </w:rPr>
              <w:t>:</w:t>
            </w:r>
          </w:p>
        </w:tc>
        <w:tc>
          <w:tcPr>
            <w:tcW w:w="2976" w:type="dxa"/>
            <w:shd w:val="clear" w:color="auto" w:fill="auto"/>
          </w:tcPr>
          <w:p w14:paraId="2BF34BA6" w14:textId="77777777" w:rsidR="00130F38" w:rsidRPr="00BD0F00" w:rsidRDefault="00130F38" w:rsidP="00130F38">
            <w:pPr>
              <w:ind w:right="92"/>
              <w:rPr>
                <w:lang w:val="es-ES"/>
              </w:rPr>
            </w:pPr>
          </w:p>
        </w:tc>
      </w:tr>
      <w:tr w:rsidR="00130F38" w:rsidRPr="00BD0F00" w14:paraId="2431DA84" w14:textId="77777777" w:rsidTr="00E8422C">
        <w:trPr>
          <w:jc w:val="center"/>
        </w:trPr>
        <w:tc>
          <w:tcPr>
            <w:tcW w:w="1273" w:type="dxa"/>
            <w:shd w:val="clear" w:color="auto" w:fill="auto"/>
          </w:tcPr>
          <w:p w14:paraId="2363B92C" w14:textId="77777777" w:rsidR="00130F38" w:rsidRPr="00BD0F00" w:rsidRDefault="00130F38" w:rsidP="00130F38">
            <w:pPr>
              <w:ind w:right="92"/>
              <w:rPr>
                <w:lang w:val="es-ES"/>
              </w:rPr>
            </w:pPr>
          </w:p>
        </w:tc>
        <w:tc>
          <w:tcPr>
            <w:tcW w:w="4111" w:type="dxa"/>
            <w:tcBorders>
              <w:right w:val="single" w:sz="8" w:space="0" w:color="auto"/>
            </w:tcBorders>
            <w:shd w:val="clear" w:color="auto" w:fill="auto"/>
          </w:tcPr>
          <w:p w14:paraId="43C390F2" w14:textId="77777777" w:rsidR="00130F38" w:rsidRPr="00BD0F00" w:rsidRDefault="00130F38" w:rsidP="00130F38">
            <w:pPr>
              <w:ind w:right="92"/>
              <w:rPr>
                <w:lang w:val="es-ES"/>
              </w:rPr>
            </w:pPr>
          </w:p>
        </w:tc>
        <w:tc>
          <w:tcPr>
            <w:tcW w:w="1279" w:type="dxa"/>
            <w:tcBorders>
              <w:left w:val="single" w:sz="8" w:space="0" w:color="auto"/>
            </w:tcBorders>
            <w:shd w:val="clear" w:color="auto" w:fill="auto"/>
          </w:tcPr>
          <w:p w14:paraId="409C6416" w14:textId="77777777" w:rsidR="00130F38" w:rsidRPr="00BD0F00" w:rsidRDefault="00130F38" w:rsidP="00130F38">
            <w:pPr>
              <w:ind w:right="92"/>
              <w:rPr>
                <w:lang w:val="es-ES"/>
              </w:rPr>
            </w:pPr>
            <w:r w:rsidRPr="00BD0F00">
              <w:rPr>
                <w:b/>
                <w:bCs/>
                <w:lang w:val="es-ES"/>
              </w:rPr>
              <w:t>Fecha</w:t>
            </w:r>
            <w:r w:rsidRPr="00BD0F00">
              <w:rPr>
                <w:lang w:val="es-ES"/>
              </w:rPr>
              <w:t>:</w:t>
            </w:r>
          </w:p>
        </w:tc>
        <w:tc>
          <w:tcPr>
            <w:tcW w:w="2976" w:type="dxa"/>
            <w:shd w:val="clear" w:color="auto" w:fill="auto"/>
          </w:tcPr>
          <w:p w14:paraId="4AB88778" w14:textId="77777777" w:rsidR="00130F38" w:rsidRPr="00BD0F00" w:rsidRDefault="00130F38" w:rsidP="00130F38">
            <w:pPr>
              <w:ind w:right="92"/>
              <w:rPr>
                <w:lang w:val="es-ES"/>
              </w:rPr>
            </w:pPr>
            <w:r w:rsidRPr="00BD0F00">
              <w:rPr>
                <w:highlight w:val="green"/>
                <w:lang w:val="es-ES"/>
              </w:rPr>
              <w:t>[Lugar,] [Fecha]</w:t>
            </w:r>
          </w:p>
        </w:tc>
      </w:tr>
    </w:tbl>
    <w:p w14:paraId="2798BE37" w14:textId="77777777" w:rsidR="00130F38" w:rsidRPr="00BD0F00" w:rsidRDefault="00130F38" w:rsidP="00940C97">
      <w:pPr>
        <w:rPr>
          <w:lang w:val="es-ES"/>
        </w:rPr>
      </w:pPr>
      <w:r w:rsidRPr="00BD0F00">
        <w:rPr>
          <w:lang w:val="es-ES"/>
        </w:rPr>
        <w:t>Estimado Señor/Estimada Señora:</w:t>
      </w:r>
    </w:p>
    <w:p w14:paraId="29C609AA" w14:textId="77777777" w:rsidR="00130F38" w:rsidRPr="00BD0F00" w:rsidRDefault="00130F38" w:rsidP="00940C97">
      <w:pPr>
        <w:spacing w:after="120"/>
        <w:rPr>
          <w:lang w:val="es-ES"/>
        </w:rPr>
      </w:pPr>
      <w:r w:rsidRPr="00BD0F00">
        <w:rPr>
          <w:lang w:val="es-ES"/>
        </w:rPr>
        <w:t>En lo que respecta a la consulta a los Estados Miembros sobre los proyectos de textos determinados que se enumeran en la Circular 234 de la TSB, tengo a bien informarle de la opinión de esta Administración, que se refleja en el siguiente cuadro.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224"/>
      </w:tblGrid>
      <w:tr w:rsidR="00130F38" w:rsidRPr="00BD0F00" w14:paraId="633D9A28" w14:textId="77777777" w:rsidTr="00362809">
        <w:trPr>
          <w:tblHeader/>
          <w:jc w:val="center"/>
        </w:trPr>
        <w:tc>
          <w:tcPr>
            <w:tcW w:w="2405" w:type="dxa"/>
            <w:shd w:val="clear" w:color="auto" w:fill="auto"/>
            <w:vAlign w:val="center"/>
          </w:tcPr>
          <w:p w14:paraId="2D6D95C0" w14:textId="77777777" w:rsidR="00130F38" w:rsidRPr="00BD0F00" w:rsidRDefault="00130F38" w:rsidP="00362809">
            <w:pPr>
              <w:pStyle w:val="Tablehead0"/>
              <w:rPr>
                <w:lang w:val="es-ES"/>
              </w:rPr>
            </w:pPr>
          </w:p>
        </w:tc>
        <w:tc>
          <w:tcPr>
            <w:tcW w:w="7224" w:type="dxa"/>
            <w:shd w:val="clear" w:color="auto" w:fill="auto"/>
            <w:vAlign w:val="center"/>
          </w:tcPr>
          <w:p w14:paraId="6016BC2B" w14:textId="77777777" w:rsidR="00130F38" w:rsidRPr="00BD0F00" w:rsidRDefault="00130F38" w:rsidP="00362809">
            <w:pPr>
              <w:pStyle w:val="Tablehead0"/>
              <w:rPr>
                <w:lang w:val="es-ES"/>
              </w:rPr>
            </w:pPr>
            <w:r w:rsidRPr="00BD0F00">
              <w:rPr>
                <w:lang w:val="es-ES"/>
              </w:rPr>
              <w:t>Seleccione una de las dos casillas</w:t>
            </w:r>
          </w:p>
        </w:tc>
      </w:tr>
      <w:tr w:rsidR="00130F38" w:rsidRPr="00BD0F00" w14:paraId="0F313DE2" w14:textId="77777777" w:rsidTr="00362809">
        <w:trPr>
          <w:trHeight w:val="748"/>
          <w:jc w:val="center"/>
        </w:trPr>
        <w:tc>
          <w:tcPr>
            <w:tcW w:w="2405" w:type="dxa"/>
            <w:vMerge w:val="restart"/>
            <w:shd w:val="clear" w:color="auto" w:fill="auto"/>
            <w:vAlign w:val="center"/>
          </w:tcPr>
          <w:p w14:paraId="4D4FD6E2" w14:textId="77777777" w:rsidR="00130F38" w:rsidRPr="00BD0F00" w:rsidRDefault="00130F38" w:rsidP="00362809">
            <w:pPr>
              <w:pStyle w:val="Tabletext0"/>
              <w:rPr>
                <w:b/>
                <w:bCs/>
                <w:lang w:val="es-ES"/>
              </w:rPr>
            </w:pPr>
            <w:r w:rsidRPr="00BD0F00">
              <w:rPr>
                <w:b/>
                <w:bCs/>
                <w:lang w:val="es-ES"/>
              </w:rPr>
              <w:t>Proyecto de nueva Recomendación UIT-T F.743.27 (ex F.IVSP-PGI)</w:t>
            </w:r>
          </w:p>
        </w:tc>
        <w:tc>
          <w:tcPr>
            <w:tcW w:w="7224" w:type="dxa"/>
            <w:shd w:val="clear" w:color="auto" w:fill="auto"/>
            <w:vAlign w:val="center"/>
          </w:tcPr>
          <w:p w14:paraId="0AF37A97" w14:textId="5C374E46" w:rsidR="00130F38" w:rsidRPr="00BD0F00" w:rsidRDefault="00362809" w:rsidP="00362809">
            <w:pPr>
              <w:pStyle w:val="Tabletext0"/>
              <w:ind w:left="567" w:hanging="567"/>
              <w:rPr>
                <w:lang w:val="es-ES"/>
              </w:rPr>
            </w:pPr>
            <w:r w:rsidRPr="00BD0F00">
              <w:rPr>
                <w:rFonts w:cstheme="minorHAnsi"/>
                <w:szCs w:val="22"/>
                <w:lang w:val="es-ES"/>
              </w:rPr>
              <w:fldChar w:fldCharType="begin">
                <w:ffData>
                  <w:name w:val="Check1"/>
                  <w:enabled/>
                  <w:calcOnExit w:val="0"/>
                  <w:checkBox>
                    <w:sizeAuto/>
                    <w:default w:val="0"/>
                  </w:checkBox>
                </w:ffData>
              </w:fldChar>
            </w:r>
            <w:r w:rsidRPr="00BD0F00">
              <w:rPr>
                <w:rFonts w:cstheme="minorHAnsi"/>
                <w:szCs w:val="22"/>
                <w:lang w:val="es-ES"/>
              </w:rPr>
              <w:instrText xml:space="preserve"> FORMCHECKBOX </w:instrText>
            </w:r>
            <w:r w:rsidR="009242F1" w:rsidRPr="00BD0F00">
              <w:rPr>
                <w:rFonts w:cstheme="minorHAnsi"/>
                <w:szCs w:val="22"/>
                <w:lang w:val="es-ES"/>
              </w:rPr>
            </w:r>
            <w:r w:rsidR="009242F1" w:rsidRPr="00BD0F00">
              <w:rPr>
                <w:rFonts w:cstheme="minorHAnsi"/>
                <w:szCs w:val="22"/>
                <w:lang w:val="es-ES"/>
              </w:rPr>
              <w:fldChar w:fldCharType="separate"/>
            </w:r>
            <w:r w:rsidRPr="00BD0F00">
              <w:rPr>
                <w:rFonts w:cstheme="minorHAnsi"/>
                <w:szCs w:val="22"/>
                <w:lang w:val="es-ES"/>
              </w:rPr>
              <w:fldChar w:fldCharType="end"/>
            </w:r>
            <w:r w:rsidRPr="00BD0F00">
              <w:rPr>
                <w:rFonts w:cstheme="minorHAnsi"/>
                <w:szCs w:val="22"/>
                <w:lang w:val="es-ES"/>
              </w:rPr>
              <w:tab/>
            </w:r>
            <w:r w:rsidR="00130F38" w:rsidRPr="00BD0F00">
              <w:rPr>
                <w:lang w:val="es-ES"/>
              </w:rPr>
              <w:tab/>
            </w:r>
            <w:r w:rsidR="00130F38" w:rsidRPr="00BD0F00">
              <w:rPr>
                <w:b/>
                <w:bCs/>
                <w:lang w:val="es-ES"/>
              </w:rPr>
              <w:t>Otorga autoridad</w:t>
            </w:r>
            <w:r w:rsidR="00130F38" w:rsidRPr="00BD0F00">
              <w:rPr>
                <w:lang w:val="es-ES"/>
              </w:rPr>
              <w:t xml:space="preserve"> a la Comisión de Estudio C (fusión de la CE 9 y la CE</w:t>
            </w:r>
            <w:r w:rsidR="00902C18">
              <w:rPr>
                <w:lang w:val="es-ES"/>
              </w:rPr>
              <w:t> </w:t>
            </w:r>
            <w:r w:rsidR="00130F38" w:rsidRPr="00BD0F00">
              <w:rPr>
                <w:lang w:val="es-ES"/>
              </w:rPr>
              <w:t>16 del UIT-T) a fin de examinar este texto para su aprobación (en cuyo caso se seleccionará una de las dos opciones):</w:t>
            </w:r>
          </w:p>
          <w:p w14:paraId="39B2A835" w14:textId="649C1117" w:rsidR="00130F38" w:rsidRPr="00BD0F00" w:rsidRDefault="00362809" w:rsidP="00362809">
            <w:pPr>
              <w:pStyle w:val="Tabletext0"/>
              <w:ind w:left="567"/>
              <w:rPr>
                <w:lang w:val="es-ES"/>
              </w:rPr>
            </w:pPr>
            <w:r w:rsidRPr="00BD0F00">
              <w:rPr>
                <w:rFonts w:cstheme="minorHAnsi"/>
                <w:szCs w:val="22"/>
                <w:lang w:val="es-ES"/>
              </w:rPr>
              <w:fldChar w:fldCharType="begin">
                <w:ffData>
                  <w:name w:val="Check1"/>
                  <w:enabled/>
                  <w:calcOnExit w:val="0"/>
                  <w:checkBox>
                    <w:sizeAuto/>
                    <w:default w:val="0"/>
                  </w:checkBox>
                </w:ffData>
              </w:fldChar>
            </w:r>
            <w:r w:rsidRPr="00BD0F00">
              <w:rPr>
                <w:rFonts w:cstheme="minorHAnsi"/>
                <w:szCs w:val="22"/>
                <w:lang w:val="es-ES"/>
              </w:rPr>
              <w:instrText xml:space="preserve"> FORMCHECKBOX </w:instrText>
            </w:r>
            <w:r w:rsidR="009242F1" w:rsidRPr="00BD0F00">
              <w:rPr>
                <w:rFonts w:cstheme="minorHAnsi"/>
                <w:szCs w:val="22"/>
                <w:lang w:val="es-ES"/>
              </w:rPr>
            </w:r>
            <w:r w:rsidR="009242F1" w:rsidRPr="00BD0F00">
              <w:rPr>
                <w:rFonts w:cstheme="minorHAnsi"/>
                <w:szCs w:val="22"/>
                <w:lang w:val="es-ES"/>
              </w:rPr>
              <w:fldChar w:fldCharType="separate"/>
            </w:r>
            <w:r w:rsidRPr="00BD0F00">
              <w:rPr>
                <w:rFonts w:cstheme="minorHAnsi"/>
                <w:szCs w:val="22"/>
                <w:lang w:val="es-ES"/>
              </w:rPr>
              <w:fldChar w:fldCharType="end"/>
            </w:r>
            <w:r w:rsidR="00130F38" w:rsidRPr="00BD0F00">
              <w:rPr>
                <w:lang w:val="es-ES"/>
              </w:rPr>
              <w:tab/>
            </w:r>
            <w:r w:rsidRPr="00BD0F00">
              <w:rPr>
                <w:lang w:val="es-ES"/>
              </w:rPr>
              <w:tab/>
            </w:r>
            <w:r w:rsidR="00130F38" w:rsidRPr="00BD0F00">
              <w:rPr>
                <w:lang w:val="es-ES"/>
              </w:rPr>
              <w:t>sin comentarios o cambios sugeridos</w:t>
            </w:r>
          </w:p>
          <w:p w14:paraId="15EBB952" w14:textId="52489B96" w:rsidR="00130F38" w:rsidRPr="00BD0F00" w:rsidRDefault="00362809" w:rsidP="00362809">
            <w:pPr>
              <w:pStyle w:val="Tabletext0"/>
              <w:ind w:left="567"/>
              <w:rPr>
                <w:lang w:val="es-ES"/>
              </w:rPr>
            </w:pPr>
            <w:r w:rsidRPr="00BD0F00">
              <w:rPr>
                <w:rFonts w:cstheme="minorHAnsi"/>
                <w:szCs w:val="22"/>
                <w:lang w:val="es-ES"/>
              </w:rPr>
              <w:fldChar w:fldCharType="begin">
                <w:ffData>
                  <w:name w:val="Check1"/>
                  <w:enabled/>
                  <w:calcOnExit w:val="0"/>
                  <w:checkBox>
                    <w:sizeAuto/>
                    <w:default w:val="0"/>
                  </w:checkBox>
                </w:ffData>
              </w:fldChar>
            </w:r>
            <w:r w:rsidRPr="00BD0F00">
              <w:rPr>
                <w:rFonts w:cstheme="minorHAnsi"/>
                <w:szCs w:val="22"/>
                <w:lang w:val="es-ES"/>
              </w:rPr>
              <w:instrText xml:space="preserve"> FORMCHECKBOX </w:instrText>
            </w:r>
            <w:r w:rsidR="009242F1" w:rsidRPr="00BD0F00">
              <w:rPr>
                <w:rFonts w:cstheme="minorHAnsi"/>
                <w:szCs w:val="22"/>
                <w:lang w:val="es-ES"/>
              </w:rPr>
            </w:r>
            <w:r w:rsidR="009242F1" w:rsidRPr="00BD0F00">
              <w:rPr>
                <w:rFonts w:cstheme="minorHAnsi"/>
                <w:szCs w:val="22"/>
                <w:lang w:val="es-ES"/>
              </w:rPr>
              <w:fldChar w:fldCharType="separate"/>
            </w:r>
            <w:r w:rsidRPr="00BD0F00">
              <w:rPr>
                <w:rFonts w:cstheme="minorHAnsi"/>
                <w:szCs w:val="22"/>
                <w:lang w:val="es-ES"/>
              </w:rPr>
              <w:fldChar w:fldCharType="end"/>
            </w:r>
            <w:r w:rsidR="00130F38" w:rsidRPr="00BD0F00">
              <w:rPr>
                <w:lang w:val="es-ES"/>
              </w:rPr>
              <w:tab/>
            </w:r>
            <w:r w:rsidRPr="00BD0F00">
              <w:rPr>
                <w:lang w:val="es-ES"/>
              </w:rPr>
              <w:tab/>
            </w:r>
            <w:r w:rsidR="00130F38" w:rsidRPr="00BD0F00">
              <w:rPr>
                <w:lang w:val="es-ES"/>
              </w:rPr>
              <w:t>se adjuntan los comentarios o cambios sugeridos</w:t>
            </w:r>
          </w:p>
        </w:tc>
      </w:tr>
      <w:tr w:rsidR="00130F38" w:rsidRPr="00BD0F00" w14:paraId="2EA8E65C" w14:textId="77777777" w:rsidTr="00362809">
        <w:trPr>
          <w:trHeight w:val="747"/>
          <w:jc w:val="center"/>
        </w:trPr>
        <w:tc>
          <w:tcPr>
            <w:tcW w:w="2405" w:type="dxa"/>
            <w:vMerge/>
            <w:shd w:val="clear" w:color="auto" w:fill="auto"/>
            <w:vAlign w:val="center"/>
          </w:tcPr>
          <w:p w14:paraId="6F1FB854" w14:textId="77777777" w:rsidR="00130F38" w:rsidRPr="00BD0F00" w:rsidRDefault="00130F38" w:rsidP="00362809">
            <w:pPr>
              <w:pStyle w:val="Tabletext0"/>
              <w:rPr>
                <w:b/>
                <w:bCs/>
                <w:lang w:val="es-ES"/>
              </w:rPr>
            </w:pPr>
          </w:p>
        </w:tc>
        <w:tc>
          <w:tcPr>
            <w:tcW w:w="7224" w:type="dxa"/>
            <w:shd w:val="clear" w:color="auto" w:fill="auto"/>
            <w:vAlign w:val="center"/>
          </w:tcPr>
          <w:p w14:paraId="2EEF5552" w14:textId="7BA6B175" w:rsidR="00130F38" w:rsidRPr="00BD0F00" w:rsidRDefault="00362809" w:rsidP="00362809">
            <w:pPr>
              <w:pStyle w:val="Tabletext0"/>
              <w:ind w:left="567" w:hanging="567"/>
              <w:rPr>
                <w:lang w:val="es-ES"/>
              </w:rPr>
            </w:pPr>
            <w:r w:rsidRPr="00BD0F00">
              <w:rPr>
                <w:rFonts w:cstheme="minorHAnsi"/>
                <w:szCs w:val="22"/>
                <w:lang w:val="es-ES"/>
              </w:rPr>
              <w:fldChar w:fldCharType="begin">
                <w:ffData>
                  <w:name w:val="Check1"/>
                  <w:enabled/>
                  <w:calcOnExit w:val="0"/>
                  <w:checkBox>
                    <w:sizeAuto/>
                    <w:default w:val="0"/>
                  </w:checkBox>
                </w:ffData>
              </w:fldChar>
            </w:r>
            <w:r w:rsidRPr="00BD0F00">
              <w:rPr>
                <w:rFonts w:cstheme="minorHAnsi"/>
                <w:szCs w:val="22"/>
                <w:lang w:val="es-ES"/>
              </w:rPr>
              <w:instrText xml:space="preserve"> FORMCHECKBOX </w:instrText>
            </w:r>
            <w:r w:rsidR="009242F1" w:rsidRPr="00BD0F00">
              <w:rPr>
                <w:rFonts w:cstheme="minorHAnsi"/>
                <w:szCs w:val="22"/>
                <w:lang w:val="es-ES"/>
              </w:rPr>
            </w:r>
            <w:r w:rsidR="009242F1" w:rsidRPr="00BD0F00">
              <w:rPr>
                <w:rFonts w:cstheme="minorHAnsi"/>
                <w:szCs w:val="22"/>
                <w:lang w:val="es-ES"/>
              </w:rPr>
              <w:fldChar w:fldCharType="separate"/>
            </w:r>
            <w:r w:rsidRPr="00BD0F00">
              <w:rPr>
                <w:rFonts w:cstheme="minorHAnsi"/>
                <w:szCs w:val="22"/>
                <w:lang w:val="es-ES"/>
              </w:rPr>
              <w:fldChar w:fldCharType="end"/>
            </w:r>
            <w:r w:rsidR="00130F38" w:rsidRPr="00BD0F00">
              <w:rPr>
                <w:lang w:val="es-ES"/>
              </w:rPr>
              <w:tab/>
            </w:r>
            <w:r w:rsidRPr="00BD0F00">
              <w:rPr>
                <w:lang w:val="es-ES"/>
              </w:rPr>
              <w:tab/>
            </w:r>
            <w:r w:rsidR="00130F38" w:rsidRPr="00BD0F00">
              <w:rPr>
                <w:b/>
                <w:bCs/>
                <w:lang w:val="es-ES"/>
              </w:rPr>
              <w:t>No otorga autoridad</w:t>
            </w:r>
            <w:r w:rsidR="00130F38" w:rsidRPr="00BD0F00">
              <w:rPr>
                <w:lang w:val="es-ES"/>
              </w:rPr>
              <w:t xml:space="preserve"> a la Comisión de Estudio C a fin de examinar este texto para aprobación (se adjuntan los motivos en que se fundamenta esta opinión y las modificaciones que podrían permitir el proseguimiento de los trabajos)</w:t>
            </w:r>
          </w:p>
        </w:tc>
      </w:tr>
      <w:tr w:rsidR="00130F38" w:rsidRPr="00BD0F00" w14:paraId="7447E3ED" w14:textId="77777777" w:rsidTr="00362809">
        <w:trPr>
          <w:trHeight w:val="748"/>
          <w:jc w:val="center"/>
        </w:trPr>
        <w:tc>
          <w:tcPr>
            <w:tcW w:w="2405" w:type="dxa"/>
            <w:vMerge w:val="restart"/>
            <w:shd w:val="clear" w:color="auto" w:fill="auto"/>
            <w:vAlign w:val="center"/>
          </w:tcPr>
          <w:p w14:paraId="209A1A69" w14:textId="77777777" w:rsidR="00130F38" w:rsidRPr="00BD0F00" w:rsidRDefault="00130F38" w:rsidP="00362809">
            <w:pPr>
              <w:pStyle w:val="Tabletext0"/>
              <w:rPr>
                <w:b/>
                <w:bCs/>
                <w:lang w:val="es-ES"/>
              </w:rPr>
            </w:pPr>
            <w:r w:rsidRPr="00BD0F00">
              <w:rPr>
                <w:b/>
                <w:bCs/>
                <w:lang w:val="es-ES"/>
              </w:rPr>
              <w:t>Proyecto de nueva Recomendación UIT-T F.743.28 (ex F.RIIS-CEC)</w:t>
            </w:r>
          </w:p>
        </w:tc>
        <w:tc>
          <w:tcPr>
            <w:tcW w:w="7224" w:type="dxa"/>
            <w:shd w:val="clear" w:color="auto" w:fill="auto"/>
            <w:vAlign w:val="center"/>
          </w:tcPr>
          <w:p w14:paraId="52F3F075" w14:textId="45A59089" w:rsidR="00130F38" w:rsidRPr="00BD0F00" w:rsidRDefault="00362809" w:rsidP="00362809">
            <w:pPr>
              <w:pStyle w:val="Tabletext0"/>
              <w:ind w:left="567" w:hanging="567"/>
              <w:rPr>
                <w:lang w:val="es-ES"/>
              </w:rPr>
            </w:pPr>
            <w:r w:rsidRPr="00BD0F00">
              <w:rPr>
                <w:rFonts w:cstheme="minorHAnsi"/>
                <w:szCs w:val="22"/>
                <w:lang w:val="es-ES"/>
              </w:rPr>
              <w:fldChar w:fldCharType="begin">
                <w:ffData>
                  <w:name w:val="Check1"/>
                  <w:enabled/>
                  <w:calcOnExit w:val="0"/>
                  <w:checkBox>
                    <w:sizeAuto/>
                    <w:default w:val="0"/>
                  </w:checkBox>
                </w:ffData>
              </w:fldChar>
            </w:r>
            <w:r w:rsidRPr="00BD0F00">
              <w:rPr>
                <w:rFonts w:cstheme="minorHAnsi"/>
                <w:szCs w:val="22"/>
                <w:lang w:val="es-ES"/>
              </w:rPr>
              <w:instrText xml:space="preserve"> FORMCHECKBOX </w:instrText>
            </w:r>
            <w:r w:rsidR="009242F1" w:rsidRPr="00BD0F00">
              <w:rPr>
                <w:rFonts w:cstheme="minorHAnsi"/>
                <w:szCs w:val="22"/>
                <w:lang w:val="es-ES"/>
              </w:rPr>
            </w:r>
            <w:r w:rsidR="009242F1" w:rsidRPr="00BD0F00">
              <w:rPr>
                <w:rFonts w:cstheme="minorHAnsi"/>
                <w:szCs w:val="22"/>
                <w:lang w:val="es-ES"/>
              </w:rPr>
              <w:fldChar w:fldCharType="separate"/>
            </w:r>
            <w:r w:rsidRPr="00BD0F00">
              <w:rPr>
                <w:rFonts w:cstheme="minorHAnsi"/>
                <w:szCs w:val="22"/>
                <w:lang w:val="es-ES"/>
              </w:rPr>
              <w:fldChar w:fldCharType="end"/>
            </w:r>
            <w:r w:rsidR="00130F38" w:rsidRPr="00BD0F00">
              <w:rPr>
                <w:lang w:val="es-ES"/>
              </w:rPr>
              <w:tab/>
            </w:r>
            <w:r w:rsidRPr="00BD0F00">
              <w:rPr>
                <w:lang w:val="es-ES"/>
              </w:rPr>
              <w:tab/>
            </w:r>
            <w:r w:rsidR="00130F38" w:rsidRPr="00BD0F00">
              <w:rPr>
                <w:lang w:val="es-ES"/>
              </w:rPr>
              <w:t>Otorga autoridad a la Comisión de Estudio C (fusión de la CE 9 y la CE 16 del UIT</w:t>
            </w:r>
            <w:r w:rsidR="00130F38" w:rsidRPr="00BD0F00">
              <w:rPr>
                <w:lang w:val="es-ES"/>
              </w:rPr>
              <w:noBreakHyphen/>
              <w:t>T) a fin de examinar este texto para su aprobación (en cuyo caso se seleccionará una de las dos opciones):</w:t>
            </w:r>
          </w:p>
          <w:p w14:paraId="735C88D3" w14:textId="71AE454D" w:rsidR="00130F38" w:rsidRPr="00BD0F00" w:rsidRDefault="00362809" w:rsidP="00362809">
            <w:pPr>
              <w:pStyle w:val="Tabletext0"/>
              <w:ind w:left="567"/>
              <w:rPr>
                <w:lang w:val="es-ES"/>
              </w:rPr>
            </w:pPr>
            <w:r w:rsidRPr="00BD0F00">
              <w:rPr>
                <w:rFonts w:cstheme="minorHAnsi"/>
                <w:szCs w:val="22"/>
                <w:lang w:val="es-ES"/>
              </w:rPr>
              <w:fldChar w:fldCharType="begin">
                <w:ffData>
                  <w:name w:val="Check1"/>
                  <w:enabled/>
                  <w:calcOnExit w:val="0"/>
                  <w:checkBox>
                    <w:sizeAuto/>
                    <w:default w:val="0"/>
                  </w:checkBox>
                </w:ffData>
              </w:fldChar>
            </w:r>
            <w:r w:rsidRPr="00BD0F00">
              <w:rPr>
                <w:rFonts w:cstheme="minorHAnsi"/>
                <w:szCs w:val="22"/>
                <w:lang w:val="es-ES"/>
              </w:rPr>
              <w:instrText xml:space="preserve"> FORMCHECKBOX </w:instrText>
            </w:r>
            <w:r w:rsidR="009242F1" w:rsidRPr="00BD0F00">
              <w:rPr>
                <w:rFonts w:cstheme="minorHAnsi"/>
                <w:szCs w:val="22"/>
                <w:lang w:val="es-ES"/>
              </w:rPr>
            </w:r>
            <w:r w:rsidR="009242F1" w:rsidRPr="00BD0F00">
              <w:rPr>
                <w:rFonts w:cstheme="minorHAnsi"/>
                <w:szCs w:val="22"/>
                <w:lang w:val="es-ES"/>
              </w:rPr>
              <w:fldChar w:fldCharType="separate"/>
            </w:r>
            <w:r w:rsidRPr="00BD0F00">
              <w:rPr>
                <w:rFonts w:cstheme="minorHAnsi"/>
                <w:szCs w:val="22"/>
                <w:lang w:val="es-ES"/>
              </w:rPr>
              <w:fldChar w:fldCharType="end"/>
            </w:r>
            <w:r w:rsidRPr="00BD0F00">
              <w:rPr>
                <w:rFonts w:cstheme="minorHAnsi"/>
                <w:szCs w:val="22"/>
                <w:lang w:val="es-ES"/>
              </w:rPr>
              <w:tab/>
            </w:r>
            <w:r w:rsidR="00130F38" w:rsidRPr="00BD0F00">
              <w:rPr>
                <w:lang w:val="es-ES"/>
              </w:rPr>
              <w:tab/>
              <w:t>sin comentarios o cambios sugeridos</w:t>
            </w:r>
          </w:p>
          <w:p w14:paraId="3FF9FC11" w14:textId="42708515" w:rsidR="00130F38" w:rsidRPr="00BD0F00" w:rsidRDefault="00362809" w:rsidP="00362809">
            <w:pPr>
              <w:pStyle w:val="Tabletext0"/>
              <w:ind w:left="567"/>
              <w:rPr>
                <w:lang w:val="es-ES"/>
              </w:rPr>
            </w:pPr>
            <w:r w:rsidRPr="00BD0F00">
              <w:rPr>
                <w:rFonts w:cstheme="minorHAnsi"/>
                <w:szCs w:val="22"/>
                <w:lang w:val="es-ES"/>
              </w:rPr>
              <w:fldChar w:fldCharType="begin">
                <w:ffData>
                  <w:name w:val="Check1"/>
                  <w:enabled/>
                  <w:calcOnExit w:val="0"/>
                  <w:checkBox>
                    <w:sizeAuto/>
                    <w:default w:val="0"/>
                  </w:checkBox>
                </w:ffData>
              </w:fldChar>
            </w:r>
            <w:r w:rsidRPr="00BD0F00">
              <w:rPr>
                <w:rFonts w:cstheme="minorHAnsi"/>
                <w:szCs w:val="22"/>
                <w:lang w:val="es-ES"/>
              </w:rPr>
              <w:instrText xml:space="preserve"> FORMCHECKBOX </w:instrText>
            </w:r>
            <w:r w:rsidR="009242F1" w:rsidRPr="00BD0F00">
              <w:rPr>
                <w:rFonts w:cstheme="minorHAnsi"/>
                <w:szCs w:val="22"/>
                <w:lang w:val="es-ES"/>
              </w:rPr>
            </w:r>
            <w:r w:rsidR="009242F1" w:rsidRPr="00BD0F00">
              <w:rPr>
                <w:rFonts w:cstheme="minorHAnsi"/>
                <w:szCs w:val="22"/>
                <w:lang w:val="es-ES"/>
              </w:rPr>
              <w:fldChar w:fldCharType="separate"/>
            </w:r>
            <w:r w:rsidRPr="00BD0F00">
              <w:rPr>
                <w:rFonts w:cstheme="minorHAnsi"/>
                <w:szCs w:val="22"/>
                <w:lang w:val="es-ES"/>
              </w:rPr>
              <w:fldChar w:fldCharType="end"/>
            </w:r>
            <w:r w:rsidR="00130F38" w:rsidRPr="00BD0F00">
              <w:rPr>
                <w:lang w:val="es-ES"/>
              </w:rPr>
              <w:tab/>
            </w:r>
            <w:r w:rsidRPr="00BD0F00">
              <w:rPr>
                <w:lang w:val="es-ES"/>
              </w:rPr>
              <w:tab/>
            </w:r>
            <w:r w:rsidR="00130F38" w:rsidRPr="00BD0F00">
              <w:rPr>
                <w:lang w:val="es-ES"/>
              </w:rPr>
              <w:t>se adjuntan los comentarios o cambios sugeridos</w:t>
            </w:r>
          </w:p>
        </w:tc>
      </w:tr>
      <w:tr w:rsidR="00130F38" w:rsidRPr="00BD0F00" w14:paraId="0DEEEF4E" w14:textId="77777777" w:rsidTr="00362809">
        <w:trPr>
          <w:trHeight w:val="747"/>
          <w:jc w:val="center"/>
        </w:trPr>
        <w:tc>
          <w:tcPr>
            <w:tcW w:w="2405" w:type="dxa"/>
            <w:vMerge/>
            <w:shd w:val="clear" w:color="auto" w:fill="auto"/>
            <w:vAlign w:val="center"/>
          </w:tcPr>
          <w:p w14:paraId="04FFED71" w14:textId="77777777" w:rsidR="00130F38" w:rsidRPr="00BD0F00" w:rsidRDefault="00130F38" w:rsidP="00130F38">
            <w:pPr>
              <w:ind w:right="92"/>
              <w:rPr>
                <w:b/>
                <w:bCs/>
                <w:lang w:val="es-ES"/>
              </w:rPr>
            </w:pPr>
          </w:p>
        </w:tc>
        <w:tc>
          <w:tcPr>
            <w:tcW w:w="7224" w:type="dxa"/>
            <w:shd w:val="clear" w:color="auto" w:fill="auto"/>
            <w:vAlign w:val="center"/>
          </w:tcPr>
          <w:p w14:paraId="6944C2B8" w14:textId="5A27C2FF" w:rsidR="00130F38" w:rsidRPr="00BD0F00" w:rsidRDefault="00362809" w:rsidP="00362809">
            <w:pPr>
              <w:pStyle w:val="Tabletext0"/>
              <w:ind w:left="567" w:hanging="567"/>
              <w:rPr>
                <w:lang w:val="es-ES"/>
              </w:rPr>
            </w:pPr>
            <w:r w:rsidRPr="00BD0F00">
              <w:rPr>
                <w:rFonts w:cstheme="minorHAnsi"/>
                <w:szCs w:val="22"/>
                <w:lang w:val="es-ES"/>
              </w:rPr>
              <w:fldChar w:fldCharType="begin">
                <w:ffData>
                  <w:name w:val="Check1"/>
                  <w:enabled/>
                  <w:calcOnExit w:val="0"/>
                  <w:checkBox>
                    <w:sizeAuto/>
                    <w:default w:val="0"/>
                  </w:checkBox>
                </w:ffData>
              </w:fldChar>
            </w:r>
            <w:r w:rsidRPr="00BD0F00">
              <w:rPr>
                <w:rFonts w:cstheme="minorHAnsi"/>
                <w:szCs w:val="22"/>
                <w:lang w:val="es-ES"/>
              </w:rPr>
              <w:instrText xml:space="preserve"> FORMCHECKBOX </w:instrText>
            </w:r>
            <w:r w:rsidR="009242F1" w:rsidRPr="00BD0F00">
              <w:rPr>
                <w:rFonts w:cstheme="minorHAnsi"/>
                <w:szCs w:val="22"/>
                <w:lang w:val="es-ES"/>
              </w:rPr>
            </w:r>
            <w:r w:rsidR="009242F1" w:rsidRPr="00BD0F00">
              <w:rPr>
                <w:rFonts w:cstheme="minorHAnsi"/>
                <w:szCs w:val="22"/>
                <w:lang w:val="es-ES"/>
              </w:rPr>
              <w:fldChar w:fldCharType="separate"/>
            </w:r>
            <w:r w:rsidRPr="00BD0F00">
              <w:rPr>
                <w:rFonts w:cstheme="minorHAnsi"/>
                <w:szCs w:val="22"/>
                <w:lang w:val="es-ES"/>
              </w:rPr>
              <w:fldChar w:fldCharType="end"/>
            </w:r>
            <w:r w:rsidRPr="00BD0F00">
              <w:rPr>
                <w:rFonts w:cstheme="minorHAnsi"/>
                <w:szCs w:val="22"/>
                <w:lang w:val="es-ES"/>
              </w:rPr>
              <w:tab/>
            </w:r>
            <w:r w:rsidR="00130F38" w:rsidRPr="00BD0F00">
              <w:rPr>
                <w:lang w:val="es-ES"/>
              </w:rPr>
              <w:tab/>
            </w:r>
            <w:r w:rsidR="00130F38" w:rsidRPr="00BD0F00">
              <w:rPr>
                <w:b/>
                <w:bCs/>
                <w:lang w:val="es-ES"/>
              </w:rPr>
              <w:t>No otorga autoridad</w:t>
            </w:r>
            <w:r w:rsidR="00130F38" w:rsidRPr="00BD0F00">
              <w:rPr>
                <w:lang w:val="es-ES"/>
              </w:rPr>
              <w:t xml:space="preserve"> a la Comisión de Estudio C a fin de examinar este texto para aprobación (se adjuntan los motivos en que se fundamenta esta opinión y las modificaciones que podrían permitir el proseguimiento de los trabajos)</w:t>
            </w:r>
          </w:p>
        </w:tc>
      </w:tr>
    </w:tbl>
    <w:p w14:paraId="37E970B4" w14:textId="77777777" w:rsidR="00130F38" w:rsidRPr="00BD0F00" w:rsidRDefault="00130F38" w:rsidP="00362809">
      <w:pPr>
        <w:pStyle w:val="Normalaftertitle"/>
        <w:spacing w:before="240" w:after="480"/>
        <w:rPr>
          <w:lang w:val="es-ES"/>
        </w:rPr>
      </w:pPr>
      <w:r w:rsidRPr="00BD0F00">
        <w:rPr>
          <w:lang w:val="es-ES"/>
        </w:rPr>
        <w:t>Le saluda atentamente,</w:t>
      </w:r>
    </w:p>
    <w:p w14:paraId="74D21741" w14:textId="11EAE4D8" w:rsidR="00130F38" w:rsidRPr="00BD0F00" w:rsidRDefault="00130F38" w:rsidP="00940C97">
      <w:pPr>
        <w:keepNext/>
        <w:keepLines/>
        <w:rPr>
          <w:lang w:val="es-ES"/>
        </w:rPr>
      </w:pPr>
      <w:r w:rsidRPr="00BD0F00">
        <w:rPr>
          <w:highlight w:val="green"/>
          <w:lang w:val="es-ES"/>
        </w:rPr>
        <w:t>[Nombre]</w:t>
      </w:r>
      <w:r w:rsidR="00362809" w:rsidRPr="00BD0F00">
        <w:rPr>
          <w:highlight w:val="green"/>
          <w:lang w:val="es-ES"/>
        </w:rPr>
        <w:br/>
      </w:r>
      <w:r w:rsidRPr="00BD0F00">
        <w:rPr>
          <w:highlight w:val="green"/>
          <w:lang w:val="es-ES"/>
        </w:rPr>
        <w:t>[Cargo oficial/título]</w:t>
      </w:r>
      <w:r w:rsidR="00362809" w:rsidRPr="00BD0F00">
        <w:rPr>
          <w:lang w:val="es-ES"/>
        </w:rPr>
        <w:br/>
      </w:r>
      <w:r w:rsidRPr="00BD0F00">
        <w:rPr>
          <w:lang w:val="es-ES"/>
        </w:rPr>
        <w:t xml:space="preserve">Administración de </w:t>
      </w:r>
      <w:r w:rsidRPr="00BD0F00">
        <w:rPr>
          <w:highlight w:val="green"/>
          <w:lang w:val="es-ES"/>
        </w:rPr>
        <w:t>[Estado Miembro]</w:t>
      </w:r>
    </w:p>
    <w:sectPr w:rsidR="00130F38" w:rsidRPr="00BD0F00" w:rsidSect="00B87E9E">
      <w:headerReference w:type="default" r:id="rId11"/>
      <w:footerReference w:type="first" r:id="rId12"/>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FADD" w14:textId="77777777" w:rsidR="006F56F7" w:rsidRDefault="006F56F7">
      <w:r>
        <w:separator/>
      </w:r>
    </w:p>
  </w:endnote>
  <w:endnote w:type="continuationSeparator" w:id="0">
    <w:p w14:paraId="79BD3B87" w14:textId="77777777" w:rsidR="006F56F7" w:rsidRDefault="006F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A53C"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C882" w14:textId="77777777" w:rsidR="006F56F7" w:rsidRDefault="006F56F7">
      <w:r>
        <w:t>____________________</w:t>
      </w:r>
    </w:p>
  </w:footnote>
  <w:footnote w:type="continuationSeparator" w:id="0">
    <w:p w14:paraId="0F136D30" w14:textId="77777777" w:rsidR="006F56F7" w:rsidRDefault="006F5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71C5" w14:textId="0F8F1D9D" w:rsidR="006969B4" w:rsidRPr="00D11CF8" w:rsidRDefault="00902C18" w:rsidP="00902C18">
    <w:pPr>
      <w:pStyle w:val="Header"/>
      <w:rPr>
        <w:sz w:val="18"/>
        <w:szCs w:val="18"/>
        <w:lang w:val="es-ES"/>
      </w:rPr>
    </w:pPr>
    <w:r w:rsidRPr="00902C18">
      <w:rPr>
        <w:rFonts w:ascii="Calibri" w:hAnsi="Calibri"/>
        <w:sz w:val="18"/>
        <w:szCs w:val="18"/>
        <w:lang w:val="en-GB"/>
      </w:rPr>
      <w:t xml:space="preserve">- </w:t>
    </w:r>
    <w:r w:rsidRPr="00902C18">
      <w:rPr>
        <w:rFonts w:ascii="Calibri" w:hAnsi="Calibri"/>
        <w:sz w:val="18"/>
        <w:szCs w:val="18"/>
        <w:lang w:val="en-GB"/>
      </w:rPr>
      <w:fldChar w:fldCharType="begin"/>
    </w:r>
    <w:r w:rsidRPr="00902C18">
      <w:rPr>
        <w:rFonts w:ascii="Calibri" w:hAnsi="Calibri"/>
        <w:sz w:val="18"/>
        <w:szCs w:val="18"/>
        <w:lang w:val="en-GB"/>
      </w:rPr>
      <w:instrText xml:space="preserve"> PAGE   \* MERGEFORMAT </w:instrText>
    </w:r>
    <w:r w:rsidRPr="00902C18">
      <w:rPr>
        <w:rFonts w:ascii="Calibri" w:hAnsi="Calibri"/>
        <w:sz w:val="18"/>
        <w:szCs w:val="18"/>
        <w:lang w:val="en-GB"/>
      </w:rPr>
      <w:fldChar w:fldCharType="separate"/>
    </w:r>
    <w:r w:rsidRPr="00902C18">
      <w:rPr>
        <w:rFonts w:ascii="Calibri" w:hAnsi="Calibri"/>
        <w:sz w:val="18"/>
        <w:szCs w:val="18"/>
        <w:lang w:val="en-GB"/>
      </w:rPr>
      <w:t>3</w:t>
    </w:r>
    <w:r w:rsidRPr="00902C18">
      <w:rPr>
        <w:rFonts w:ascii="Calibri" w:hAnsi="Calibri"/>
        <w:noProof/>
        <w:sz w:val="18"/>
        <w:szCs w:val="18"/>
        <w:lang w:val="en-GB"/>
      </w:rPr>
      <w:fldChar w:fldCharType="end"/>
    </w:r>
    <w:r w:rsidRPr="00902C18">
      <w:rPr>
        <w:rFonts w:ascii="Calibri" w:hAnsi="Calibri"/>
        <w:noProof/>
        <w:sz w:val="18"/>
        <w:szCs w:val="18"/>
        <w:lang w:val="en-GB"/>
      </w:rPr>
      <w:t xml:space="preserve"> -</w:t>
    </w:r>
    <w:r w:rsidRPr="00902C18">
      <w:rPr>
        <w:rFonts w:ascii="Calibri" w:hAnsi="Calibri"/>
        <w:noProof/>
        <w:sz w:val="18"/>
        <w:szCs w:val="18"/>
        <w:lang w:val="en-GB"/>
      </w:rPr>
      <w:br/>
    </w:r>
    <w:r w:rsidR="00D11CF8">
      <w:rPr>
        <w:sz w:val="18"/>
        <w:szCs w:val="18"/>
        <w:lang w:val="es-ES"/>
      </w:rPr>
      <w:t>TSB Circular 234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68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082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A0A9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E058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F4BB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8EB7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6A05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7C86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24A7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FAED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F7"/>
    <w:rsid w:val="00002529"/>
    <w:rsid w:val="00085662"/>
    <w:rsid w:val="000C382F"/>
    <w:rsid w:val="001173CC"/>
    <w:rsid w:val="00130F38"/>
    <w:rsid w:val="001350B9"/>
    <w:rsid w:val="0014464D"/>
    <w:rsid w:val="001A54CC"/>
    <w:rsid w:val="002035AD"/>
    <w:rsid w:val="00257FB4"/>
    <w:rsid w:val="002E496E"/>
    <w:rsid w:val="00303D62"/>
    <w:rsid w:val="00312945"/>
    <w:rsid w:val="00335367"/>
    <w:rsid w:val="00362809"/>
    <w:rsid w:val="00370C2D"/>
    <w:rsid w:val="003D1E8D"/>
    <w:rsid w:val="003D673B"/>
    <w:rsid w:val="003F2855"/>
    <w:rsid w:val="00401C20"/>
    <w:rsid w:val="004A7957"/>
    <w:rsid w:val="004C4144"/>
    <w:rsid w:val="0055719E"/>
    <w:rsid w:val="006159F6"/>
    <w:rsid w:val="006969B4"/>
    <w:rsid w:val="006E3B35"/>
    <w:rsid w:val="006E4F7B"/>
    <w:rsid w:val="006F56F7"/>
    <w:rsid w:val="00781E2A"/>
    <w:rsid w:val="007933A2"/>
    <w:rsid w:val="007946CD"/>
    <w:rsid w:val="007B6316"/>
    <w:rsid w:val="00814503"/>
    <w:rsid w:val="008258C2"/>
    <w:rsid w:val="008505BD"/>
    <w:rsid w:val="00850C78"/>
    <w:rsid w:val="00876165"/>
    <w:rsid w:val="00884D12"/>
    <w:rsid w:val="008C17AD"/>
    <w:rsid w:val="008D02CD"/>
    <w:rsid w:val="00902C18"/>
    <w:rsid w:val="0091370C"/>
    <w:rsid w:val="00940C97"/>
    <w:rsid w:val="0095172A"/>
    <w:rsid w:val="009854F8"/>
    <w:rsid w:val="009A0BA0"/>
    <w:rsid w:val="00A54E47"/>
    <w:rsid w:val="00AB6E3A"/>
    <w:rsid w:val="00AE7093"/>
    <w:rsid w:val="00B422BC"/>
    <w:rsid w:val="00B43F77"/>
    <w:rsid w:val="00B55A3E"/>
    <w:rsid w:val="00B87E9E"/>
    <w:rsid w:val="00B91326"/>
    <w:rsid w:val="00B95F0A"/>
    <w:rsid w:val="00B96180"/>
    <w:rsid w:val="00BD0F00"/>
    <w:rsid w:val="00C116FE"/>
    <w:rsid w:val="00C17AC0"/>
    <w:rsid w:val="00C34772"/>
    <w:rsid w:val="00C407BB"/>
    <w:rsid w:val="00C5465A"/>
    <w:rsid w:val="00D11CF8"/>
    <w:rsid w:val="00D54642"/>
    <w:rsid w:val="00D834E7"/>
    <w:rsid w:val="00DD77C9"/>
    <w:rsid w:val="00DF3538"/>
    <w:rsid w:val="00E839B0"/>
    <w:rsid w:val="00E8422C"/>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4A3D2"/>
  <w15:docId w15:val="{D071A231-3A42-457F-9C4A-70CAEFEE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6F5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7" ma:contentTypeDescription="Crée un document." ma:contentTypeScope="" ma:versionID="b4ae8d6b4aeba9bf6891e02590edaab4">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98de74a19e42075fc439ad4eb5a733f2"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customXml/itemProps2.xml><?xml version="1.0" encoding="utf-8"?>
<ds:datastoreItem xmlns:ds="http://schemas.openxmlformats.org/officeDocument/2006/customXml" ds:itemID="{EDA5686E-BA3F-4A62-8A7D-7DA6CE7CBE05}"/>
</file>

<file path=customXml/itemProps3.xml><?xml version="1.0" encoding="utf-8"?>
<ds:datastoreItem xmlns:ds="http://schemas.openxmlformats.org/officeDocument/2006/customXml" ds:itemID="{13B3A9B1-6EF2-4F78-9121-F3A58ED94FA9}"/>
</file>

<file path=customXml/itemProps4.xml><?xml version="1.0" encoding="utf-8"?>
<ds:datastoreItem xmlns:ds="http://schemas.openxmlformats.org/officeDocument/2006/customXml" ds:itemID="{C1AFFB7C-8F05-44A6-866D-F21B16608804}"/>
</file>

<file path=docProps/app.xml><?xml version="1.0" encoding="utf-8"?>
<Properties xmlns="http://schemas.openxmlformats.org/officeDocument/2006/extended-properties" xmlns:vt="http://schemas.openxmlformats.org/officeDocument/2006/docPropsVTypes">
  <Template>PS_TSB_Circular_Letter.dotx</Template>
  <TotalTime>1</TotalTime>
  <Pages>4</Pages>
  <Words>1292</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8457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Spanish</cp:lastModifiedBy>
  <cp:revision>2</cp:revision>
  <cp:lastPrinted>2024-10-11T12:13:00Z</cp:lastPrinted>
  <dcterms:created xsi:type="dcterms:W3CDTF">2024-10-11T12:26:00Z</dcterms:created>
  <dcterms:modified xsi:type="dcterms:W3CDTF">2024-10-11T12:26:00Z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