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EAE0EA0" w14:textId="77777777" w:rsidTr="00D517B2">
        <w:trPr>
          <w:cantSplit/>
          <w:trHeight w:val="1134"/>
        </w:trPr>
        <w:tc>
          <w:tcPr>
            <w:tcW w:w="798" w:type="pct"/>
          </w:tcPr>
          <w:p w14:paraId="7A47D5B1" w14:textId="77777777" w:rsidR="00D517B2" w:rsidRPr="00D517B2" w:rsidRDefault="00D517B2" w:rsidP="00D517B2">
            <w:pPr>
              <w:spacing w:before="0" w:line="240" w:lineRule="auto"/>
              <w:rPr>
                <w:b/>
                <w:bCs/>
                <w:rtl/>
                <w:lang w:bidi="ar-EG"/>
              </w:rPr>
            </w:pPr>
            <w:r w:rsidRPr="00D517B2">
              <w:rPr>
                <w:noProof/>
              </w:rPr>
              <w:drawing>
                <wp:inline distT="0" distB="0" distL="0" distR="0" wp14:anchorId="66CAA5C0" wp14:editId="07459B3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0DDE45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B8E57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66"/>
        <w:gridCol w:w="4538"/>
      </w:tblGrid>
      <w:tr w:rsidR="00D517B2" w:rsidRPr="00D517B2" w14:paraId="669B3043" w14:textId="77777777" w:rsidTr="00FF0D7B">
        <w:trPr>
          <w:cantSplit/>
          <w:trHeight w:val="142"/>
          <w:jc w:val="center"/>
        </w:trPr>
        <w:tc>
          <w:tcPr>
            <w:tcW w:w="796" w:type="pct"/>
          </w:tcPr>
          <w:p w14:paraId="6673CA7E" w14:textId="77777777" w:rsidR="00D517B2" w:rsidRPr="00D517B2" w:rsidRDefault="00D517B2" w:rsidP="00BB0F08">
            <w:pPr>
              <w:spacing w:line="300" w:lineRule="exact"/>
              <w:jc w:val="left"/>
              <w:rPr>
                <w:position w:val="2"/>
              </w:rPr>
            </w:pPr>
          </w:p>
        </w:tc>
        <w:tc>
          <w:tcPr>
            <w:tcW w:w="1850" w:type="pct"/>
          </w:tcPr>
          <w:p w14:paraId="032C30B9" w14:textId="77777777" w:rsidR="00D517B2" w:rsidRPr="00D517B2" w:rsidRDefault="00D517B2" w:rsidP="00BB0F08">
            <w:pPr>
              <w:spacing w:line="300" w:lineRule="exact"/>
              <w:jc w:val="left"/>
              <w:rPr>
                <w:position w:val="2"/>
              </w:rPr>
            </w:pPr>
          </w:p>
        </w:tc>
        <w:tc>
          <w:tcPr>
            <w:tcW w:w="2353" w:type="pct"/>
          </w:tcPr>
          <w:p w14:paraId="5155E0BA" w14:textId="77777777" w:rsidR="00D517B2" w:rsidRPr="00873469" w:rsidRDefault="00D517B2" w:rsidP="00BB0F08">
            <w:pPr>
              <w:spacing w:line="300" w:lineRule="exact"/>
              <w:jc w:val="left"/>
              <w:rPr>
                <w:position w:val="2"/>
                <w:lang w:bidi="ar-EG"/>
              </w:rPr>
            </w:pPr>
          </w:p>
        </w:tc>
      </w:tr>
      <w:tr w:rsidR="00D517B2" w:rsidRPr="00D517B2" w14:paraId="5FF21236" w14:textId="77777777" w:rsidTr="00FF0D7B">
        <w:trPr>
          <w:cantSplit/>
          <w:trHeight w:val="148"/>
          <w:jc w:val="center"/>
        </w:trPr>
        <w:tc>
          <w:tcPr>
            <w:tcW w:w="796" w:type="pct"/>
          </w:tcPr>
          <w:p w14:paraId="6A97725F" w14:textId="77777777" w:rsidR="00D517B2" w:rsidRPr="00D517B2" w:rsidRDefault="00D517B2" w:rsidP="00D517B2">
            <w:pPr>
              <w:spacing w:before="80" w:after="60" w:line="300" w:lineRule="exact"/>
              <w:jc w:val="left"/>
              <w:rPr>
                <w:position w:val="2"/>
              </w:rPr>
            </w:pPr>
          </w:p>
        </w:tc>
        <w:tc>
          <w:tcPr>
            <w:tcW w:w="1850" w:type="pct"/>
          </w:tcPr>
          <w:p w14:paraId="4F0BA644" w14:textId="77777777" w:rsidR="00D517B2" w:rsidRPr="00D517B2" w:rsidRDefault="00D517B2" w:rsidP="00D517B2">
            <w:pPr>
              <w:spacing w:before="80" w:after="60" w:line="300" w:lineRule="exact"/>
              <w:jc w:val="left"/>
              <w:rPr>
                <w:position w:val="2"/>
                <w:lang w:bidi="ar-EG"/>
              </w:rPr>
            </w:pPr>
          </w:p>
        </w:tc>
        <w:tc>
          <w:tcPr>
            <w:tcW w:w="2353" w:type="pct"/>
          </w:tcPr>
          <w:p w14:paraId="0CF64CEF" w14:textId="7659608F" w:rsidR="00D517B2" w:rsidRPr="00D517B2" w:rsidRDefault="00873469" w:rsidP="00006C34">
            <w:pPr>
              <w:spacing w:before="80" w:after="60" w:line="300" w:lineRule="exact"/>
              <w:jc w:val="left"/>
              <w:rPr>
                <w:position w:val="2"/>
                <w:rtl/>
                <w:lang w:bidi="ar-EG"/>
              </w:rPr>
            </w:pPr>
            <w:r w:rsidRPr="00D517B2">
              <w:rPr>
                <w:rFonts w:hint="cs"/>
                <w:position w:val="2"/>
                <w:rtl/>
              </w:rPr>
              <w:t xml:space="preserve">جنيف، </w:t>
            </w:r>
            <w:r w:rsidR="00006C34" w:rsidRPr="00006C34">
              <w:rPr>
                <w:position w:val="2"/>
                <w:rtl/>
              </w:rPr>
              <w:t>7 أكتوبر 2024</w:t>
            </w:r>
          </w:p>
        </w:tc>
      </w:tr>
      <w:tr w:rsidR="00E84438" w:rsidRPr="00D517B2" w14:paraId="3A1E4ADC" w14:textId="77777777" w:rsidTr="00FF0D7B">
        <w:trPr>
          <w:cantSplit/>
          <w:trHeight w:val="831"/>
          <w:jc w:val="center"/>
        </w:trPr>
        <w:tc>
          <w:tcPr>
            <w:tcW w:w="796" w:type="pct"/>
          </w:tcPr>
          <w:p w14:paraId="64B193F5" w14:textId="77777777" w:rsidR="00E84438" w:rsidRPr="001F2ADD" w:rsidRDefault="00E84438" w:rsidP="00D517B2">
            <w:pPr>
              <w:spacing w:before="80" w:after="60" w:line="300" w:lineRule="exact"/>
              <w:jc w:val="left"/>
              <w:rPr>
                <w:b/>
                <w:bCs/>
                <w:position w:val="2"/>
              </w:rPr>
            </w:pPr>
            <w:r w:rsidRPr="001F2ADD">
              <w:rPr>
                <w:rFonts w:hint="cs"/>
                <w:b/>
                <w:bCs/>
                <w:position w:val="2"/>
                <w:rtl/>
              </w:rPr>
              <w:t>المرجع:</w:t>
            </w:r>
          </w:p>
        </w:tc>
        <w:tc>
          <w:tcPr>
            <w:tcW w:w="1850" w:type="pct"/>
          </w:tcPr>
          <w:p w14:paraId="519308C5" w14:textId="77777777" w:rsidR="00431CCC" w:rsidRDefault="00431CCC" w:rsidP="00431CCC">
            <w:pPr>
              <w:spacing w:before="80" w:after="60" w:line="300" w:lineRule="exact"/>
              <w:jc w:val="left"/>
              <w:rPr>
                <w:b/>
                <w:bCs/>
                <w:position w:val="2"/>
              </w:rPr>
            </w:pPr>
            <w:r w:rsidRPr="00431CCC">
              <w:rPr>
                <w:b/>
                <w:bCs/>
                <w:position w:val="2"/>
                <w:lang w:val="en-GB"/>
              </w:rPr>
              <w:t>TSB Circular 234</w:t>
            </w:r>
          </w:p>
          <w:p w14:paraId="0B85FEE4" w14:textId="5075C853" w:rsidR="00E84438" w:rsidRPr="001F2ADD" w:rsidRDefault="00006C34" w:rsidP="00431CCC">
            <w:pPr>
              <w:spacing w:before="80" w:after="60" w:line="300" w:lineRule="exact"/>
              <w:jc w:val="left"/>
              <w:rPr>
                <w:b/>
                <w:bCs/>
                <w:position w:val="2"/>
              </w:rPr>
            </w:pPr>
            <w:r w:rsidRPr="001F2ADD">
              <w:rPr>
                <w:position w:val="2"/>
                <w:rtl/>
              </w:rPr>
              <w:t>SG16/SC</w:t>
            </w:r>
          </w:p>
        </w:tc>
        <w:tc>
          <w:tcPr>
            <w:tcW w:w="2353" w:type="pct"/>
            <w:vMerge w:val="restart"/>
          </w:tcPr>
          <w:p w14:paraId="2E901EFC" w14:textId="77777777" w:rsidR="00E84438" w:rsidRPr="00006C34" w:rsidRDefault="00E84438" w:rsidP="00D517B2">
            <w:pPr>
              <w:tabs>
                <w:tab w:val="clear" w:pos="794"/>
                <w:tab w:val="left" w:pos="284"/>
              </w:tabs>
              <w:spacing w:before="80" w:after="60" w:line="300" w:lineRule="exact"/>
              <w:ind w:left="284" w:hanging="284"/>
              <w:jc w:val="left"/>
              <w:rPr>
                <w:b/>
                <w:bCs/>
                <w:position w:val="2"/>
                <w:rtl/>
                <w:lang w:bidi="ar-EG"/>
              </w:rPr>
            </w:pPr>
            <w:r w:rsidRPr="00006C34">
              <w:rPr>
                <w:rFonts w:hint="cs"/>
                <w:b/>
                <w:bCs/>
                <w:position w:val="2"/>
                <w:rtl/>
              </w:rPr>
              <w:t>إلى:</w:t>
            </w:r>
          </w:p>
          <w:p w14:paraId="6A017F30" w14:textId="77777777" w:rsidR="00E84438" w:rsidRPr="00006C34" w:rsidRDefault="00E84438" w:rsidP="00D517B2">
            <w:pPr>
              <w:tabs>
                <w:tab w:val="clear" w:pos="794"/>
                <w:tab w:val="left" w:pos="284"/>
              </w:tabs>
              <w:spacing w:before="80" w:after="60" w:line="300" w:lineRule="exact"/>
              <w:ind w:left="284" w:hanging="284"/>
              <w:jc w:val="left"/>
              <w:rPr>
                <w:position w:val="2"/>
                <w:rtl/>
              </w:rPr>
            </w:pPr>
            <w:r w:rsidRPr="00006C34">
              <w:rPr>
                <w:rFonts w:hint="cs"/>
                <w:position w:val="2"/>
                <w:rtl/>
              </w:rPr>
              <w:t>-</w:t>
            </w:r>
            <w:r w:rsidRPr="00006C34">
              <w:rPr>
                <w:position w:val="2"/>
                <w:rtl/>
              </w:rPr>
              <w:tab/>
            </w:r>
            <w:r w:rsidRPr="00006C34">
              <w:rPr>
                <w:rFonts w:hint="cs"/>
                <w:position w:val="2"/>
                <w:rtl/>
              </w:rPr>
              <w:t>إدارات الدول الأعضاء في الاتحاد؛</w:t>
            </w:r>
          </w:p>
          <w:p w14:paraId="567945E1" w14:textId="77777777" w:rsidR="00002A63" w:rsidRPr="00006C34" w:rsidRDefault="00002A63" w:rsidP="00002A63">
            <w:pPr>
              <w:tabs>
                <w:tab w:val="left" w:pos="284"/>
                <w:tab w:val="left" w:pos="4111"/>
              </w:tabs>
              <w:spacing w:before="20" w:line="340" w:lineRule="exact"/>
              <w:ind w:left="284" w:hanging="284"/>
              <w:rPr>
                <w:position w:val="2"/>
                <w:rtl/>
                <w:lang w:bidi="ar-EG"/>
              </w:rPr>
            </w:pPr>
            <w:r w:rsidRPr="00006C34">
              <w:rPr>
                <w:rFonts w:hint="cs"/>
                <w:position w:val="2"/>
                <w:rtl/>
              </w:rPr>
              <w:t>-</w:t>
            </w:r>
            <w:r w:rsidRPr="00006C34">
              <w:rPr>
                <w:position w:val="2"/>
                <w:rtl/>
              </w:rPr>
              <w:tab/>
            </w:r>
            <w:r w:rsidRPr="00006C34">
              <w:rPr>
                <w:rFonts w:hint="cs"/>
                <w:position w:val="2"/>
                <w:rtl/>
                <w:lang w:bidi="ar-EG"/>
              </w:rPr>
              <w:t>أعضاء قطاع تقييس الاتصالات بالاتحاد؛</w:t>
            </w:r>
          </w:p>
          <w:p w14:paraId="057AA2BB" w14:textId="32F69713" w:rsidR="00002A63" w:rsidRPr="00DC2031" w:rsidRDefault="00002A63" w:rsidP="00002A63">
            <w:pPr>
              <w:tabs>
                <w:tab w:val="left" w:pos="284"/>
                <w:tab w:val="left" w:pos="4111"/>
              </w:tabs>
              <w:spacing w:before="20" w:line="340" w:lineRule="exact"/>
              <w:ind w:left="284" w:hanging="284"/>
              <w:rPr>
                <w:spacing w:val="-6"/>
                <w:position w:val="2"/>
                <w:rtl/>
                <w:lang w:bidi="ar-EG"/>
              </w:rPr>
            </w:pPr>
            <w:r w:rsidRPr="00DC2031">
              <w:rPr>
                <w:rFonts w:hint="cs"/>
                <w:spacing w:val="-6"/>
                <w:position w:val="2"/>
                <w:rtl/>
              </w:rPr>
              <w:t>-</w:t>
            </w:r>
            <w:r w:rsidRPr="00DC2031">
              <w:rPr>
                <w:spacing w:val="-6"/>
                <w:position w:val="2"/>
                <w:rtl/>
              </w:rPr>
              <w:tab/>
            </w:r>
            <w:r w:rsidR="000C7252" w:rsidRPr="00DC2031">
              <w:rPr>
                <w:rFonts w:hint="cs"/>
                <w:spacing w:val="-6"/>
                <w:position w:val="2"/>
                <w:rtl/>
              </w:rPr>
              <w:t>المنتسب</w:t>
            </w:r>
            <w:r w:rsidR="00982E70" w:rsidRPr="00DC2031">
              <w:rPr>
                <w:rFonts w:hint="cs"/>
                <w:spacing w:val="-6"/>
                <w:position w:val="2"/>
                <w:rtl/>
              </w:rPr>
              <w:t>ي</w:t>
            </w:r>
            <w:r w:rsidR="000C7252" w:rsidRPr="00DC2031">
              <w:rPr>
                <w:rFonts w:hint="cs"/>
                <w:spacing w:val="-6"/>
                <w:position w:val="2"/>
                <w:rtl/>
              </w:rPr>
              <w:t xml:space="preserve">ن إلى </w:t>
            </w:r>
            <w:r w:rsidR="000420DD" w:rsidRPr="00DC2031">
              <w:rPr>
                <w:rFonts w:hint="cs"/>
                <w:spacing w:val="-6"/>
                <w:position w:val="2"/>
                <w:rtl/>
              </w:rPr>
              <w:t>لجنة الدراسات 16 بقطاع تقييس الاتصالات</w:t>
            </w:r>
            <w:r w:rsidRPr="00DC2031">
              <w:rPr>
                <w:rFonts w:hint="cs"/>
                <w:spacing w:val="-6"/>
                <w:position w:val="2"/>
                <w:rtl/>
              </w:rPr>
              <w:t>؛</w:t>
            </w:r>
          </w:p>
          <w:p w14:paraId="4CC1992E" w14:textId="77777777" w:rsidR="00E84438" w:rsidRPr="00006C34" w:rsidRDefault="00002A63" w:rsidP="00CE1C08">
            <w:pPr>
              <w:tabs>
                <w:tab w:val="clear" w:pos="794"/>
                <w:tab w:val="left" w:pos="284"/>
              </w:tabs>
              <w:spacing w:before="80" w:after="60" w:line="300" w:lineRule="exact"/>
              <w:ind w:left="284" w:hanging="284"/>
              <w:jc w:val="left"/>
              <w:rPr>
                <w:position w:val="2"/>
                <w:rtl/>
              </w:rPr>
            </w:pPr>
            <w:r w:rsidRPr="00006C34">
              <w:rPr>
                <w:rFonts w:hint="cs"/>
                <w:position w:val="2"/>
                <w:rtl/>
              </w:rPr>
              <w:t>-</w:t>
            </w:r>
            <w:r w:rsidRPr="00006C34">
              <w:rPr>
                <w:position w:val="2"/>
                <w:rtl/>
              </w:rPr>
              <w:tab/>
            </w:r>
            <w:r w:rsidRPr="00006C34">
              <w:rPr>
                <w:rFonts w:hint="cs"/>
                <w:position w:val="2"/>
                <w:rtl/>
              </w:rPr>
              <w:t>الهيئات الأكاديمية المنضمة إلى</w:t>
            </w:r>
            <w:r w:rsidRPr="00006C34">
              <w:rPr>
                <w:rFonts w:hint="cs"/>
                <w:position w:val="2"/>
                <w:rtl/>
                <w:lang w:bidi="ar-EG"/>
              </w:rPr>
              <w:t xml:space="preserve"> الاتحاد</w:t>
            </w:r>
          </w:p>
        </w:tc>
      </w:tr>
      <w:tr w:rsidR="00D517B2" w:rsidRPr="00D517B2" w14:paraId="35F2A902" w14:textId="77777777" w:rsidTr="00FF0D7B">
        <w:trPr>
          <w:cantSplit/>
          <w:trHeight w:val="340"/>
          <w:jc w:val="center"/>
        </w:trPr>
        <w:tc>
          <w:tcPr>
            <w:tcW w:w="796" w:type="pct"/>
          </w:tcPr>
          <w:p w14:paraId="372AA8E6"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850" w:type="pct"/>
          </w:tcPr>
          <w:p w14:paraId="7A9E4443" w14:textId="6BD9F370" w:rsidR="00D517B2" w:rsidRPr="00006C34" w:rsidRDefault="00D517B2" w:rsidP="00D517B2">
            <w:pPr>
              <w:spacing w:before="80" w:after="60" w:line="300" w:lineRule="exact"/>
              <w:jc w:val="left"/>
              <w:rPr>
                <w:b/>
                <w:position w:val="2"/>
              </w:rPr>
            </w:pPr>
            <w:r w:rsidRPr="00006C34">
              <w:rPr>
                <w:position w:val="2"/>
              </w:rPr>
              <w:t>+41 22 730 </w:t>
            </w:r>
            <w:r w:rsidR="00006C34" w:rsidRPr="00006C34">
              <w:rPr>
                <w:position w:val="2"/>
              </w:rPr>
              <w:t>6805</w:t>
            </w:r>
          </w:p>
        </w:tc>
        <w:tc>
          <w:tcPr>
            <w:tcW w:w="2353" w:type="pct"/>
            <w:vMerge/>
          </w:tcPr>
          <w:p w14:paraId="24ADADD6" w14:textId="77777777" w:rsidR="00D517B2" w:rsidRPr="00006C34" w:rsidRDefault="00D517B2" w:rsidP="00D517B2">
            <w:pPr>
              <w:spacing w:before="80" w:after="60" w:line="300" w:lineRule="exact"/>
              <w:jc w:val="left"/>
              <w:rPr>
                <w:position w:val="2"/>
                <w:rtl/>
              </w:rPr>
            </w:pPr>
          </w:p>
        </w:tc>
      </w:tr>
      <w:tr w:rsidR="00CE1C08" w:rsidRPr="00D517B2" w14:paraId="2689278E" w14:textId="77777777" w:rsidTr="00FF0D7B">
        <w:trPr>
          <w:cantSplit/>
          <w:trHeight w:val="737"/>
          <w:jc w:val="center"/>
        </w:trPr>
        <w:tc>
          <w:tcPr>
            <w:tcW w:w="796" w:type="pct"/>
          </w:tcPr>
          <w:p w14:paraId="394A8965"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850" w:type="pct"/>
          </w:tcPr>
          <w:p w14:paraId="7B85AF18" w14:textId="77777777" w:rsidR="00CE1C08" w:rsidRPr="00006C34" w:rsidRDefault="00CE1C08" w:rsidP="00D517B2">
            <w:pPr>
              <w:spacing w:before="80" w:after="60" w:line="300" w:lineRule="exact"/>
              <w:jc w:val="left"/>
              <w:rPr>
                <w:position w:val="2"/>
              </w:rPr>
            </w:pPr>
            <w:r w:rsidRPr="00006C34">
              <w:rPr>
                <w:position w:val="2"/>
              </w:rPr>
              <w:t>+41 22 730 5853</w:t>
            </w:r>
          </w:p>
        </w:tc>
        <w:tc>
          <w:tcPr>
            <w:tcW w:w="2353" w:type="pct"/>
            <w:vMerge/>
          </w:tcPr>
          <w:p w14:paraId="529B2FE4" w14:textId="77777777" w:rsidR="00CE1C08" w:rsidRPr="00006C34" w:rsidRDefault="00CE1C08" w:rsidP="00D517B2">
            <w:pPr>
              <w:spacing w:before="80" w:after="60" w:line="300" w:lineRule="exact"/>
              <w:jc w:val="left"/>
              <w:rPr>
                <w:position w:val="2"/>
                <w:rtl/>
              </w:rPr>
            </w:pPr>
          </w:p>
        </w:tc>
      </w:tr>
      <w:tr w:rsidR="00CE1C08" w:rsidRPr="00D517B2" w14:paraId="3998EE80" w14:textId="77777777" w:rsidTr="00FF0D7B">
        <w:trPr>
          <w:cantSplit/>
          <w:jc w:val="center"/>
        </w:trPr>
        <w:tc>
          <w:tcPr>
            <w:tcW w:w="796" w:type="pct"/>
          </w:tcPr>
          <w:p w14:paraId="76BF315F"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850" w:type="pct"/>
          </w:tcPr>
          <w:p w14:paraId="1FD611F5" w14:textId="5EFE854C" w:rsidR="00CE1C08" w:rsidRPr="00006C34" w:rsidRDefault="00B358E4" w:rsidP="00CE1C08">
            <w:pPr>
              <w:spacing w:before="80" w:after="60" w:line="300" w:lineRule="exact"/>
              <w:jc w:val="left"/>
              <w:rPr>
                <w:position w:val="2"/>
                <w:rtl/>
                <w:lang w:bidi="ar-EG"/>
              </w:rPr>
            </w:pPr>
            <w:hyperlink r:id="rId9" w:history="1">
              <w:r w:rsidR="00893DA3" w:rsidRPr="007F751C">
                <w:rPr>
                  <w:rStyle w:val="Hyperlink"/>
                  <w:szCs w:val="18"/>
                </w:rPr>
                <w:t>tsbsg16@itu.int</w:t>
              </w:r>
            </w:hyperlink>
          </w:p>
        </w:tc>
        <w:tc>
          <w:tcPr>
            <w:tcW w:w="2353" w:type="pct"/>
          </w:tcPr>
          <w:p w14:paraId="727BB500" w14:textId="77777777" w:rsidR="00CE1C08" w:rsidRPr="00006C34" w:rsidRDefault="00CE1C08" w:rsidP="00CE1C08">
            <w:pPr>
              <w:tabs>
                <w:tab w:val="clear" w:pos="794"/>
                <w:tab w:val="left" w:pos="284"/>
              </w:tabs>
              <w:spacing w:before="80" w:after="60" w:line="300" w:lineRule="exact"/>
              <w:ind w:left="284" w:hanging="284"/>
              <w:jc w:val="left"/>
              <w:rPr>
                <w:b/>
                <w:bCs/>
                <w:position w:val="2"/>
                <w:rtl/>
              </w:rPr>
            </w:pPr>
            <w:r w:rsidRPr="00006C34">
              <w:rPr>
                <w:rFonts w:hint="cs"/>
                <w:b/>
                <w:bCs/>
                <w:position w:val="2"/>
                <w:rtl/>
              </w:rPr>
              <w:t>نسخة إلى:</w:t>
            </w:r>
          </w:p>
          <w:p w14:paraId="0EDBA868" w14:textId="15D96563" w:rsidR="00CE1C08" w:rsidRPr="00006C34" w:rsidRDefault="00CE1C08" w:rsidP="00FF0D7B">
            <w:pPr>
              <w:tabs>
                <w:tab w:val="left" w:pos="284"/>
                <w:tab w:val="left" w:pos="4111"/>
              </w:tabs>
              <w:spacing w:before="0" w:line="340" w:lineRule="exact"/>
              <w:ind w:left="284" w:hanging="284"/>
              <w:rPr>
                <w:rFonts w:eastAsia="Times New Roman"/>
                <w:position w:val="2"/>
                <w:rtl/>
                <w:lang w:eastAsia="en-US"/>
              </w:rPr>
            </w:pPr>
            <w:r w:rsidRPr="00006C34">
              <w:rPr>
                <w:rFonts w:hint="cs"/>
                <w:position w:val="2"/>
                <w:rtl/>
              </w:rPr>
              <w:t>-</w:t>
            </w:r>
            <w:r w:rsidRPr="00006C34">
              <w:rPr>
                <w:position w:val="2"/>
                <w:rtl/>
              </w:rPr>
              <w:tab/>
            </w:r>
            <w:r w:rsidR="00006C34" w:rsidRPr="00006C34">
              <w:rPr>
                <w:rFonts w:eastAsia="Times New Roman"/>
                <w:spacing w:val="-6"/>
                <w:position w:val="2"/>
                <w:rtl/>
                <w:lang w:eastAsia="en-US"/>
              </w:rPr>
              <w:t>رئيس لجنة الدراسات 16 بقطاع تقييس الاتصالات</w:t>
            </w:r>
            <w:r w:rsidR="00006C34" w:rsidRPr="00006C34">
              <w:rPr>
                <w:rFonts w:eastAsia="Times New Roman" w:hint="eastAsia"/>
                <w:spacing w:val="-6"/>
                <w:position w:val="2"/>
                <w:rtl/>
                <w:lang w:val="en-GB" w:eastAsia="en-US"/>
              </w:rPr>
              <w:t> </w:t>
            </w:r>
            <w:r w:rsidR="00006C34" w:rsidRPr="00006C34">
              <w:rPr>
                <w:rFonts w:eastAsia="Times New Roman"/>
                <w:spacing w:val="-6"/>
                <w:position w:val="2"/>
                <w:rtl/>
                <w:lang w:eastAsia="en-US"/>
              </w:rPr>
              <w:t>ونوابه</w:t>
            </w:r>
            <w:r w:rsidRPr="00006C34">
              <w:rPr>
                <w:rFonts w:eastAsia="Times New Roman" w:hint="cs"/>
                <w:spacing w:val="-6"/>
                <w:position w:val="2"/>
                <w:rtl/>
                <w:lang w:eastAsia="en-US"/>
              </w:rPr>
              <w:t>؛</w:t>
            </w:r>
          </w:p>
          <w:p w14:paraId="1BD8445F" w14:textId="77777777" w:rsidR="00CE1C08" w:rsidRPr="00006C34" w:rsidRDefault="00CE1C08" w:rsidP="00CE1C08">
            <w:pPr>
              <w:tabs>
                <w:tab w:val="left" w:pos="284"/>
                <w:tab w:val="left" w:pos="4111"/>
              </w:tabs>
              <w:spacing w:before="0" w:line="340" w:lineRule="exact"/>
              <w:ind w:left="284" w:hanging="284"/>
              <w:rPr>
                <w:rFonts w:eastAsia="Times New Roman"/>
                <w:position w:val="2"/>
                <w:rtl/>
                <w:lang w:eastAsia="en-US"/>
              </w:rPr>
            </w:pPr>
            <w:r w:rsidRPr="00006C34">
              <w:rPr>
                <w:rFonts w:eastAsia="Times New Roman" w:hint="cs"/>
                <w:position w:val="2"/>
                <w:rtl/>
                <w:lang w:eastAsia="en-US"/>
              </w:rPr>
              <w:t>-</w:t>
            </w:r>
            <w:r w:rsidRPr="00006C34">
              <w:rPr>
                <w:rFonts w:eastAsia="Times New Roman"/>
                <w:position w:val="2"/>
                <w:rtl/>
                <w:lang w:eastAsia="en-US"/>
              </w:rPr>
              <w:tab/>
              <w:t>مدير مكتب تنمية الاتصالات</w:t>
            </w:r>
            <w:r w:rsidRPr="00006C34">
              <w:rPr>
                <w:rFonts w:eastAsia="Times New Roman" w:hint="cs"/>
                <w:position w:val="2"/>
                <w:rtl/>
                <w:lang w:eastAsia="en-US"/>
              </w:rPr>
              <w:t>؛</w:t>
            </w:r>
          </w:p>
          <w:p w14:paraId="52C3B8E4" w14:textId="77777777" w:rsidR="00CE1C08" w:rsidRPr="00006C34" w:rsidRDefault="00CE1C08" w:rsidP="00CE1C08">
            <w:pPr>
              <w:tabs>
                <w:tab w:val="left" w:pos="284"/>
                <w:tab w:val="left" w:pos="4111"/>
              </w:tabs>
              <w:spacing w:before="0" w:line="340" w:lineRule="exact"/>
              <w:ind w:left="284" w:hanging="284"/>
              <w:rPr>
                <w:position w:val="2"/>
                <w:rtl/>
              </w:rPr>
            </w:pPr>
            <w:r w:rsidRPr="00006C34">
              <w:rPr>
                <w:rFonts w:eastAsia="Times New Roman" w:hint="cs"/>
                <w:position w:val="2"/>
                <w:rtl/>
                <w:lang w:eastAsia="en-US"/>
              </w:rPr>
              <w:t>-</w:t>
            </w:r>
            <w:r w:rsidRPr="00006C34">
              <w:rPr>
                <w:rFonts w:eastAsia="Times New Roman"/>
                <w:position w:val="2"/>
                <w:rtl/>
                <w:lang w:eastAsia="en-US"/>
              </w:rPr>
              <w:tab/>
              <w:t>مدير مكتب الاتصالات الراديوية</w:t>
            </w:r>
          </w:p>
        </w:tc>
      </w:tr>
      <w:tr w:rsidR="00CE1C08" w:rsidRPr="00D517B2" w14:paraId="43517D20" w14:textId="77777777" w:rsidTr="00FF0D7B">
        <w:trPr>
          <w:cantSplit/>
          <w:jc w:val="center"/>
        </w:trPr>
        <w:tc>
          <w:tcPr>
            <w:tcW w:w="796" w:type="pct"/>
          </w:tcPr>
          <w:p w14:paraId="3B027F04" w14:textId="77777777" w:rsidR="00CE1C08" w:rsidRPr="00A9156F" w:rsidRDefault="00CE1C08" w:rsidP="00CE1C08">
            <w:pPr>
              <w:spacing w:before="80" w:after="60" w:line="300" w:lineRule="exact"/>
              <w:jc w:val="left"/>
              <w:rPr>
                <w:b/>
                <w:bCs/>
                <w:position w:val="2"/>
                <w:rtl/>
                <w:lang w:bidi="ar-EG"/>
              </w:rPr>
            </w:pPr>
          </w:p>
        </w:tc>
        <w:tc>
          <w:tcPr>
            <w:tcW w:w="1850" w:type="pct"/>
          </w:tcPr>
          <w:p w14:paraId="69CF801C" w14:textId="77777777" w:rsidR="00CE1C08" w:rsidRPr="00D517B2" w:rsidRDefault="00CE1C08" w:rsidP="00CE1C08">
            <w:pPr>
              <w:spacing w:before="80" w:after="60" w:line="300" w:lineRule="exact"/>
              <w:jc w:val="left"/>
              <w:rPr>
                <w:position w:val="2"/>
              </w:rPr>
            </w:pPr>
          </w:p>
        </w:tc>
        <w:tc>
          <w:tcPr>
            <w:tcW w:w="2353" w:type="pct"/>
          </w:tcPr>
          <w:p w14:paraId="5872B332" w14:textId="77777777" w:rsidR="00CE1C08" w:rsidRPr="00D517B2" w:rsidRDefault="00CE1C08" w:rsidP="00CE1C08">
            <w:pPr>
              <w:spacing w:before="80" w:after="60" w:line="300" w:lineRule="exact"/>
              <w:jc w:val="left"/>
              <w:rPr>
                <w:position w:val="2"/>
                <w:rtl/>
              </w:rPr>
            </w:pPr>
          </w:p>
        </w:tc>
      </w:tr>
      <w:tr w:rsidR="00CE1C08" w:rsidRPr="00D517B2" w14:paraId="40A5D022" w14:textId="77777777" w:rsidTr="00D517B2">
        <w:trPr>
          <w:cantSplit/>
          <w:jc w:val="center"/>
        </w:trPr>
        <w:tc>
          <w:tcPr>
            <w:tcW w:w="796" w:type="pct"/>
          </w:tcPr>
          <w:p w14:paraId="283A070C"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552D29B4" w14:textId="7D0188CC" w:rsidR="00A47D23" w:rsidRPr="00A47D23" w:rsidRDefault="00006C34" w:rsidP="008B1463">
            <w:pPr>
              <w:spacing w:before="80" w:after="60" w:line="300" w:lineRule="exact"/>
              <w:rPr>
                <w:b/>
                <w:bCs/>
                <w:spacing w:val="-6"/>
                <w:position w:val="2"/>
              </w:rPr>
            </w:pPr>
            <w:r w:rsidRPr="000420DD">
              <w:rPr>
                <w:b/>
                <w:bCs/>
                <w:spacing w:val="-6"/>
                <w:position w:val="2"/>
                <w:rtl/>
              </w:rPr>
              <w:t>مشاورة الدول الأعضاء بشأن مشروعي التوصيتين المحددتين</w:t>
            </w:r>
            <w:r w:rsidR="00A47D23">
              <w:rPr>
                <w:rFonts w:hint="cs"/>
                <w:b/>
                <w:bCs/>
                <w:spacing w:val="-6"/>
                <w:position w:val="2"/>
                <w:rtl/>
              </w:rPr>
              <w:t xml:space="preserve"> </w:t>
            </w:r>
            <w:r w:rsidR="00A47D23" w:rsidRPr="00A47D23">
              <w:rPr>
                <w:b/>
                <w:bCs/>
                <w:spacing w:val="-6"/>
                <w:position w:val="2"/>
              </w:rPr>
              <w:t>ITU-T</w:t>
            </w:r>
            <w:r w:rsidR="00F90F2D">
              <w:rPr>
                <w:b/>
                <w:bCs/>
                <w:spacing w:val="-6"/>
                <w:position w:val="2"/>
              </w:rPr>
              <w:t> </w:t>
            </w:r>
            <w:r w:rsidR="00A47D23" w:rsidRPr="00A47D23">
              <w:rPr>
                <w:b/>
                <w:bCs/>
                <w:spacing w:val="-6"/>
                <w:position w:val="2"/>
              </w:rPr>
              <w:t>F.743.27</w:t>
            </w:r>
            <w:r w:rsidR="00A47D23">
              <w:rPr>
                <w:rFonts w:hint="cs"/>
                <w:b/>
                <w:bCs/>
                <w:spacing w:val="-6"/>
                <w:position w:val="2"/>
                <w:rtl/>
              </w:rPr>
              <w:t xml:space="preserve"> </w:t>
            </w:r>
            <w:r w:rsidRPr="000420DD">
              <w:rPr>
                <w:b/>
                <w:bCs/>
                <w:spacing w:val="-6"/>
                <w:position w:val="2"/>
                <w:rtl/>
              </w:rPr>
              <w:t>(</w:t>
            </w:r>
            <w:proofErr w:type="gramStart"/>
            <w:r w:rsidRPr="000420DD">
              <w:rPr>
                <w:b/>
                <w:bCs/>
                <w:spacing w:val="-6"/>
                <w:position w:val="2"/>
                <w:rtl/>
              </w:rPr>
              <w:t>F.IVSP</w:t>
            </w:r>
            <w:proofErr w:type="gramEnd"/>
            <w:r w:rsidRPr="000420DD">
              <w:rPr>
                <w:b/>
                <w:bCs/>
                <w:spacing w:val="-6"/>
                <w:position w:val="2"/>
                <w:rtl/>
              </w:rPr>
              <w:t xml:space="preserve">-PGI سابقاً) </w:t>
            </w:r>
            <w:r w:rsidR="00A47D23">
              <w:rPr>
                <w:rFonts w:hint="cs"/>
                <w:b/>
                <w:bCs/>
                <w:spacing w:val="-6"/>
                <w:position w:val="2"/>
                <w:rtl/>
              </w:rPr>
              <w:t>و</w:t>
            </w:r>
            <w:r w:rsidR="00A47D23">
              <w:rPr>
                <w:b/>
                <w:bCs/>
                <w:spacing w:val="-6"/>
                <w:position w:val="2"/>
              </w:rPr>
              <w:t>ITU</w:t>
            </w:r>
            <w:r w:rsidR="008B1463">
              <w:rPr>
                <w:b/>
                <w:bCs/>
                <w:spacing w:val="-6"/>
                <w:position w:val="2"/>
              </w:rPr>
              <w:noBreakHyphen/>
            </w:r>
            <w:r w:rsidR="00A47D23">
              <w:rPr>
                <w:b/>
                <w:bCs/>
                <w:spacing w:val="-6"/>
                <w:position w:val="2"/>
              </w:rPr>
              <w:t>T</w:t>
            </w:r>
            <w:r w:rsidR="00F90F2D">
              <w:rPr>
                <w:b/>
                <w:bCs/>
                <w:spacing w:val="-6"/>
                <w:position w:val="2"/>
              </w:rPr>
              <w:t> </w:t>
            </w:r>
            <w:r w:rsidR="00A47D23">
              <w:rPr>
                <w:b/>
                <w:bCs/>
                <w:spacing w:val="-6"/>
                <w:position w:val="2"/>
              </w:rPr>
              <w:t>F.743.28</w:t>
            </w:r>
            <w:r w:rsidRPr="000420DD">
              <w:rPr>
                <w:b/>
                <w:bCs/>
                <w:spacing w:val="-6"/>
                <w:position w:val="2"/>
                <w:rtl/>
              </w:rPr>
              <w:t xml:space="preserve"> (F.RIIS-CEC سابقاً) اللتين تُقترح الموافقة عليهما في اجتماع لجنة الدراسات </w:t>
            </w:r>
            <w:r w:rsidRPr="000420DD">
              <w:rPr>
                <w:b/>
                <w:bCs/>
                <w:spacing w:val="-6"/>
                <w:position w:val="2"/>
                <w:lang w:val="en-GB"/>
              </w:rPr>
              <w:t>C</w:t>
            </w:r>
            <w:r w:rsidRPr="000420DD">
              <w:rPr>
                <w:b/>
                <w:bCs/>
                <w:spacing w:val="-6"/>
                <w:position w:val="2"/>
                <w:rtl/>
              </w:rPr>
              <w:t xml:space="preserve"> بقطاع تقييس الاتصالات (الناتجة عن دمج لجنتي الدراسات 9 و16)</w:t>
            </w:r>
            <w:r w:rsidR="00A17A02">
              <w:rPr>
                <w:b/>
                <w:bCs/>
                <w:spacing w:val="-6"/>
                <w:position w:val="2"/>
              </w:rPr>
              <w:tab/>
            </w:r>
            <w:r w:rsidRPr="000420DD">
              <w:rPr>
                <w:b/>
                <w:bCs/>
                <w:spacing w:val="-6"/>
                <w:position w:val="2"/>
                <w:rtl/>
              </w:rPr>
              <w:br/>
              <w:t>(المقرر عقده في جنيف، في الفترة من 13 إلى 24 يناير 2025)</w:t>
            </w:r>
          </w:p>
        </w:tc>
      </w:tr>
    </w:tbl>
    <w:p w14:paraId="342E77DA" w14:textId="77777777" w:rsidR="00D517B2" w:rsidRPr="00D517B2" w:rsidRDefault="00D517B2" w:rsidP="006635B2">
      <w:pPr>
        <w:spacing w:before="600"/>
        <w:rPr>
          <w:lang w:bidi="ar-SY"/>
        </w:rPr>
      </w:pPr>
      <w:r w:rsidRPr="00D517B2">
        <w:rPr>
          <w:rFonts w:hint="cs"/>
          <w:rtl/>
          <w:lang w:bidi="ar-SY"/>
        </w:rPr>
        <w:t>حضرات السادة والسيدات،</w:t>
      </w:r>
    </w:p>
    <w:p w14:paraId="75B8B551" w14:textId="77777777" w:rsidR="00D517B2" w:rsidRPr="00D517B2" w:rsidRDefault="00D517B2" w:rsidP="00D517B2">
      <w:pPr>
        <w:rPr>
          <w:rtl/>
          <w:lang w:bidi="ar-EG"/>
        </w:rPr>
      </w:pPr>
      <w:r w:rsidRPr="00D517B2">
        <w:rPr>
          <w:rFonts w:hint="cs"/>
          <w:rtl/>
        </w:rPr>
        <w:t>تحية طيبة وبعد،</w:t>
      </w:r>
    </w:p>
    <w:p w14:paraId="08096262" w14:textId="699B0C19" w:rsidR="00006C34" w:rsidRPr="00A644D0" w:rsidRDefault="00006C34" w:rsidP="00006C34">
      <w:pPr>
        <w:rPr>
          <w:lang w:val="ar-SA" w:bidi="ar-SY"/>
        </w:rPr>
      </w:pPr>
      <w:r w:rsidRPr="00A644D0">
        <w:rPr>
          <w:rtl/>
        </w:rPr>
        <w:t>1</w:t>
      </w:r>
      <w:r w:rsidRPr="00A644D0">
        <w:rPr>
          <w:rtl/>
        </w:rPr>
        <w:tab/>
        <w:t>وافقت فرقة العمل 3 التابعة للجنة الدراسات 16 بقطاع تقييس الاتصالات على بدء عملية الموافقة على مشروعي التوصيتين الجديدتين المذكورتين أعلاه وفقاً للقسم 9 من القرار 1 (المراج</w:t>
      </w:r>
      <w:r w:rsidR="00644969" w:rsidRPr="00A644D0">
        <w:rPr>
          <w:rFonts w:hint="cs"/>
          <w:rtl/>
        </w:rPr>
        <w:t>َ</w:t>
      </w:r>
      <w:r w:rsidRPr="00A644D0">
        <w:rPr>
          <w:rtl/>
        </w:rPr>
        <w:t>ع في جنيف، 2022) للجمعية العالمية لتقييس الاتصالات. وبناء</w:t>
      </w:r>
      <w:r w:rsidR="00644969" w:rsidRPr="00A644D0">
        <w:rPr>
          <w:rFonts w:hint="cs"/>
          <w:rtl/>
        </w:rPr>
        <w:t>ً</w:t>
      </w:r>
      <w:r w:rsidRPr="00A644D0">
        <w:rPr>
          <w:rtl/>
        </w:rPr>
        <w:t xml:space="preserve"> على ذلك، سيُنظر في الموافقة عليهما في اجتماع لجنة الدراسات </w:t>
      </w:r>
      <w:r w:rsidRPr="00A644D0">
        <w:rPr>
          <w:lang w:val="en-GB" w:bidi="ar-SY"/>
        </w:rPr>
        <w:t>C</w:t>
      </w:r>
      <w:r w:rsidRPr="00A644D0">
        <w:rPr>
          <w:rtl/>
        </w:rPr>
        <w:t xml:space="preserve"> بقطاع تقييس الاتصالات (الناتجة عن دمج لجنتي الدراسات</w:t>
      </w:r>
      <w:r w:rsidR="00EC1562" w:rsidRPr="00A644D0">
        <w:rPr>
          <w:rFonts w:hint="cs"/>
          <w:rtl/>
        </w:rPr>
        <w:t> </w:t>
      </w:r>
      <w:r w:rsidRPr="00A644D0">
        <w:rPr>
          <w:rtl/>
        </w:rPr>
        <w:t>9 و16) المقرر عقده في جنيف في الفترة من 13 إلى 24 يناير 2025. وسي</w:t>
      </w:r>
      <w:r w:rsidR="00644969" w:rsidRPr="00A644D0">
        <w:rPr>
          <w:rFonts w:hint="cs"/>
          <w:rtl/>
        </w:rPr>
        <w:t>ُ</w:t>
      </w:r>
      <w:r w:rsidRPr="00A644D0">
        <w:rPr>
          <w:rtl/>
        </w:rPr>
        <w:t xml:space="preserve">تاح جدول الأعمال وجميع المعلومات ذات الصلة المتعلقة باجتماع لجنة الدراسات </w:t>
      </w:r>
      <w:r w:rsidRPr="00A644D0">
        <w:rPr>
          <w:lang w:val="en-GB" w:bidi="ar-SY"/>
        </w:rPr>
        <w:t>C</w:t>
      </w:r>
      <w:r w:rsidRPr="00A644D0">
        <w:rPr>
          <w:rtl/>
        </w:rPr>
        <w:t xml:space="preserve"> بقطاع تقييس الاتصالات في الرسالة الجماعية للجنة الدراسات المعنية التي ستصدر قريباً.</w:t>
      </w:r>
    </w:p>
    <w:p w14:paraId="6B0FF9DA" w14:textId="77777777" w:rsidR="00006C34" w:rsidRPr="00006C34" w:rsidRDefault="00006C34" w:rsidP="00006C34">
      <w:pPr>
        <w:rPr>
          <w:lang w:val="ar-SA" w:bidi="ar-SY"/>
        </w:rPr>
      </w:pPr>
      <w:r w:rsidRPr="00006C34">
        <w:rPr>
          <w:rtl/>
        </w:rPr>
        <w:t>2</w:t>
      </w:r>
      <w:r w:rsidRPr="00006C34">
        <w:rPr>
          <w:rtl/>
        </w:rPr>
        <w:tab/>
        <w:t xml:space="preserve">ويمكن الاطلاع في </w:t>
      </w:r>
      <w:r w:rsidRPr="00644969">
        <w:rPr>
          <w:b/>
          <w:bCs/>
          <w:rtl/>
        </w:rPr>
        <w:t>الملحق 1</w:t>
      </w:r>
      <w:r w:rsidRPr="00006C34">
        <w:rPr>
          <w:rtl/>
        </w:rPr>
        <w:t xml:space="preserve"> على عنواني مشروعي التوصيتين اللتين تُقترح الموافقة عليهما، وملخصهما ومكانهما.</w:t>
      </w:r>
    </w:p>
    <w:p w14:paraId="5EF11F7F" w14:textId="77777777" w:rsidR="00006C34" w:rsidRPr="00006C34" w:rsidRDefault="00006C34" w:rsidP="00EC1562">
      <w:pPr>
        <w:pStyle w:val="Note"/>
        <w:rPr>
          <w:lang w:val="ar-SA" w:bidi="ar-SY"/>
        </w:rPr>
      </w:pPr>
      <w:r w:rsidRPr="00006C34">
        <w:rPr>
          <w:b/>
          <w:bCs/>
          <w:rtl/>
        </w:rPr>
        <w:t>الملاحظة</w:t>
      </w:r>
      <w:r w:rsidRPr="00EC1562">
        <w:rPr>
          <w:b/>
          <w:bCs/>
          <w:rtl/>
        </w:rPr>
        <w:t xml:space="preserve"> 1</w:t>
      </w:r>
      <w:r w:rsidRPr="00006C34">
        <w:rPr>
          <w:rtl/>
        </w:rPr>
        <w:t xml:space="preserve"> - لا حاجة حالياً إلى تبرير وفق التوصية ITU-T A.5 لأي من مشروعي التوصيتين هاتين.</w:t>
      </w:r>
    </w:p>
    <w:p w14:paraId="63523C5A" w14:textId="6FD7C751" w:rsidR="00006C34" w:rsidRPr="00006C34" w:rsidRDefault="00006C34" w:rsidP="00006C34">
      <w:pPr>
        <w:rPr>
          <w:lang w:val="ar-SA" w:bidi="ar-SY"/>
        </w:rPr>
      </w:pPr>
      <w:r w:rsidRPr="00006C34">
        <w:rPr>
          <w:rtl/>
        </w:rPr>
        <w:t>3</w:t>
      </w:r>
      <w:r w:rsidRPr="00006C34">
        <w:rPr>
          <w:rtl/>
        </w:rPr>
        <w:tab/>
      </w:r>
      <w:r w:rsidRPr="00006C34">
        <w:rPr>
          <w:spacing w:val="-4"/>
          <w:rtl/>
        </w:rPr>
        <w:t>وتستهل هذه الرسالة المعممة المشاورة الرسمية مع الدول الأعضاء في الاتحاد بشأن ما إذا كان يمكن النظر في</w:t>
      </w:r>
      <w:r w:rsidR="005A560B">
        <w:rPr>
          <w:rFonts w:hint="cs"/>
          <w:spacing w:val="-4"/>
          <w:rtl/>
        </w:rPr>
        <w:t> </w:t>
      </w:r>
      <w:r w:rsidRPr="00006C34">
        <w:rPr>
          <w:spacing w:val="-4"/>
          <w:rtl/>
        </w:rPr>
        <w:t xml:space="preserve">هذه النصوص للموافقة عليها في الاجتماع المقبل، وفقاً للفقرة </w:t>
      </w:r>
      <w:r w:rsidR="00644969">
        <w:rPr>
          <w:spacing w:val="-4"/>
        </w:rPr>
        <w:t>4.9</w:t>
      </w:r>
      <w:r w:rsidRPr="00006C34">
        <w:rPr>
          <w:spacing w:val="-4"/>
          <w:rtl/>
        </w:rPr>
        <w:t xml:space="preserve"> من القرار 1. ويرجى من الدول الأعضاء ملء الاستمارة الواردة في</w:t>
      </w:r>
      <w:r w:rsidR="005A560B">
        <w:rPr>
          <w:rFonts w:hint="cs"/>
          <w:spacing w:val="-4"/>
          <w:rtl/>
        </w:rPr>
        <w:t> </w:t>
      </w:r>
      <w:r w:rsidRPr="00644969">
        <w:rPr>
          <w:b/>
          <w:bCs/>
          <w:spacing w:val="-4"/>
          <w:rtl/>
        </w:rPr>
        <w:t>الملحق</w:t>
      </w:r>
      <w:r w:rsidR="00644969" w:rsidRPr="00644969">
        <w:rPr>
          <w:rFonts w:hint="cs"/>
          <w:b/>
          <w:bCs/>
          <w:spacing w:val="-4"/>
          <w:rtl/>
        </w:rPr>
        <w:t> </w:t>
      </w:r>
      <w:r w:rsidRPr="00644969">
        <w:rPr>
          <w:b/>
          <w:bCs/>
          <w:spacing w:val="-4"/>
          <w:rtl/>
        </w:rPr>
        <w:t>2</w:t>
      </w:r>
      <w:r w:rsidRPr="00006C34">
        <w:rPr>
          <w:spacing w:val="-4"/>
          <w:rtl/>
        </w:rPr>
        <w:t xml:space="preserve"> وإعادتها في موعد أقصاه </w:t>
      </w:r>
      <w:r w:rsidRPr="00644969">
        <w:rPr>
          <w:b/>
          <w:bCs/>
          <w:spacing w:val="-4"/>
          <w:rtl/>
        </w:rPr>
        <w:t>2 يناير 2025</w:t>
      </w:r>
      <w:r w:rsidRPr="00006C34">
        <w:rPr>
          <w:spacing w:val="-4"/>
          <w:rtl/>
        </w:rPr>
        <w:t>، الساعة 2359 بالتوقيت العالمي المنسق.</w:t>
      </w:r>
    </w:p>
    <w:p w14:paraId="4A10DD6F" w14:textId="19B436F4" w:rsidR="00D517B2" w:rsidRPr="00006C34" w:rsidRDefault="00006C34" w:rsidP="00006C34">
      <w:pPr>
        <w:keepNext/>
        <w:rPr>
          <w:rtl/>
          <w:lang w:val="ar-SA" w:bidi="ar-SY"/>
        </w:rPr>
      </w:pPr>
      <w:r w:rsidRPr="00006C34">
        <w:rPr>
          <w:rtl/>
        </w:rPr>
        <w:lastRenderedPageBreak/>
        <w:t>4</w:t>
      </w:r>
      <w:r w:rsidRPr="00006C34">
        <w:rPr>
          <w:rtl/>
        </w:rPr>
        <w:tab/>
        <w:t xml:space="preserve">وإذا أيد 70 في </w:t>
      </w:r>
      <w:proofErr w:type="gramStart"/>
      <w:r w:rsidRPr="00006C34">
        <w:rPr>
          <w:rtl/>
        </w:rPr>
        <w:t>المائة</w:t>
      </w:r>
      <w:proofErr w:type="gramEnd"/>
      <w:r w:rsidRPr="00006C34">
        <w:rPr>
          <w:rtl/>
        </w:rPr>
        <w:t xml:space="preserve"> أو أكثر من الردود الواردة من الدول الأعضاء النظر في الموافقة، تخصص جلسة عامة واحدة لتطبيق إجراء الموافقة. وينبغي للدول الأعضاء التي لا تفوض سلطة المضي قدماً أن تبلغ مدير مكتب تقييس الاتصالات بأسباب هذا الرأي وأن ت</w:t>
      </w:r>
      <w:r w:rsidR="00644969">
        <w:rPr>
          <w:rFonts w:hint="cs"/>
          <w:rtl/>
        </w:rPr>
        <w:t>ُ</w:t>
      </w:r>
      <w:r w:rsidRPr="00006C34">
        <w:rPr>
          <w:rtl/>
        </w:rPr>
        <w:t>شير إلى التغييرات الممكنة التي من شأنها أن تمك</w:t>
      </w:r>
      <w:r w:rsidR="00644969">
        <w:rPr>
          <w:rFonts w:hint="cs"/>
          <w:rtl/>
        </w:rPr>
        <w:t>ّ</w:t>
      </w:r>
      <w:r w:rsidRPr="00006C34">
        <w:rPr>
          <w:rtl/>
        </w:rPr>
        <w:t>ن من إحراز تقدم في العمل.</w:t>
      </w:r>
    </w:p>
    <w:p w14:paraId="040BD2A8" w14:textId="77777777" w:rsidR="00E84438" w:rsidRPr="00D517B2" w:rsidRDefault="00E84438" w:rsidP="00006C34">
      <w:pPr>
        <w:keepNext/>
        <w:spacing w:before="240"/>
        <w:jc w:val="left"/>
        <w:rPr>
          <w:rtl/>
          <w:lang w:bidi="ar-EG"/>
        </w:rPr>
      </w:pPr>
      <w:r w:rsidRPr="00D517B2">
        <w:rPr>
          <w:rFonts w:hint="cs"/>
          <w:rtl/>
          <w:lang w:bidi="ar-EG"/>
        </w:rPr>
        <w:t>وتفضلوا بقبول فائق التقدير والاحترام.</w:t>
      </w:r>
    </w:p>
    <w:p w14:paraId="549D16A6" w14:textId="77777777" w:rsidR="00E84438" w:rsidRPr="00D517B2" w:rsidRDefault="00E84438" w:rsidP="00006C34">
      <w:pPr>
        <w:keepNext/>
        <w:spacing w:before="720" w:after="720"/>
        <w:jc w:val="left"/>
        <w:rPr>
          <w:i/>
          <w:iCs/>
          <w:rtl/>
          <w:lang w:bidi="ar-SY"/>
        </w:rPr>
      </w:pPr>
      <w:r w:rsidRPr="00D517B2">
        <w:rPr>
          <w:rFonts w:hint="cs"/>
          <w:i/>
          <w:iCs/>
          <w:rtl/>
          <w:lang w:bidi="ar-SY"/>
        </w:rPr>
        <w:t>(توقيع)</w:t>
      </w:r>
    </w:p>
    <w:p w14:paraId="297AD12C" w14:textId="77777777" w:rsidR="00E84438" w:rsidRDefault="00807031" w:rsidP="00006C34">
      <w:pPr>
        <w:keepNext/>
        <w:spacing w:before="640"/>
        <w:jc w:val="left"/>
        <w:rPr>
          <w:rtl/>
          <w:lang w:bidi="ar-SY"/>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4D3523ED" w14:textId="79013B61" w:rsidR="00006C34" w:rsidRPr="00D517B2" w:rsidRDefault="00006C34" w:rsidP="005A560B">
      <w:pPr>
        <w:keepNext/>
        <w:spacing w:before="1440"/>
        <w:jc w:val="left"/>
        <w:rPr>
          <w:rtl/>
        </w:rPr>
      </w:pPr>
      <w:r w:rsidRPr="000C7252">
        <w:rPr>
          <w:b/>
          <w:bCs/>
          <w:rtl/>
        </w:rPr>
        <w:t>الملحقا</w:t>
      </w:r>
      <w:r w:rsidR="00644969" w:rsidRPr="000C7252">
        <w:rPr>
          <w:rFonts w:hint="cs"/>
          <w:b/>
          <w:bCs/>
          <w:rtl/>
        </w:rPr>
        <w:t>ت</w:t>
      </w:r>
      <w:r w:rsidR="00771464">
        <w:rPr>
          <w:b/>
          <w:bCs/>
        </w:rPr>
        <w:tab/>
      </w:r>
      <w:r w:rsidR="000C7252">
        <w:rPr>
          <w:rFonts w:hint="cs"/>
          <w:b/>
          <w:bCs/>
          <w:rtl/>
        </w:rPr>
        <w:t>:</w:t>
      </w:r>
      <w:r w:rsidRPr="00006C34">
        <w:rPr>
          <w:rtl/>
        </w:rPr>
        <w:tab/>
        <w:t>2</w:t>
      </w:r>
    </w:p>
    <w:p w14:paraId="67B749EB" w14:textId="77777777" w:rsidR="00596808" w:rsidRDefault="00596808" w:rsidP="00E84438">
      <w:pPr>
        <w:rPr>
          <w:rtl/>
          <w:lang w:bidi="ar-EG"/>
        </w:rPr>
      </w:pPr>
      <w:r>
        <w:rPr>
          <w:rtl/>
          <w:lang w:bidi="ar-EG"/>
        </w:rPr>
        <w:br w:type="page"/>
      </w:r>
    </w:p>
    <w:p w14:paraId="7FFBCB4A" w14:textId="77777777" w:rsidR="00006C34" w:rsidRPr="009B64FE" w:rsidRDefault="00006C34" w:rsidP="009B64FE">
      <w:pPr>
        <w:pStyle w:val="AnnexNo"/>
        <w:rPr>
          <w:b/>
          <w:bCs/>
          <w:lang w:val="ar-SA" w:bidi="ar-EG"/>
        </w:rPr>
      </w:pPr>
      <w:r w:rsidRPr="009B64FE">
        <w:rPr>
          <w:b/>
          <w:bCs/>
          <w:rtl/>
        </w:rPr>
        <w:lastRenderedPageBreak/>
        <w:t>الملحق 1</w:t>
      </w:r>
    </w:p>
    <w:p w14:paraId="79B2DABA" w14:textId="0F5A8E9A" w:rsidR="00006C34" w:rsidRPr="00A47D23" w:rsidRDefault="00006C34" w:rsidP="00A47D23">
      <w:pPr>
        <w:pStyle w:val="Annextitle"/>
      </w:pPr>
      <w:r w:rsidRPr="00A47D23">
        <w:rPr>
          <w:rtl/>
        </w:rPr>
        <w:t xml:space="preserve">ملخص ومكان مشروعي التوصيتين المحددتين </w:t>
      </w:r>
      <w:r w:rsidR="00A47D23" w:rsidRPr="00A47D23">
        <w:t>ITU-T</w:t>
      </w:r>
      <w:r w:rsidR="00F90F2D">
        <w:t> </w:t>
      </w:r>
      <w:r w:rsidR="00A47D23" w:rsidRPr="00A47D23">
        <w:t>F.743.27</w:t>
      </w:r>
      <w:r w:rsidR="00A47D23" w:rsidRPr="00A47D23">
        <w:rPr>
          <w:rtl/>
        </w:rPr>
        <w:t xml:space="preserve"> </w:t>
      </w:r>
      <w:r w:rsidRPr="00A47D23">
        <w:rPr>
          <w:rtl/>
        </w:rPr>
        <w:t>(</w:t>
      </w:r>
      <w:proofErr w:type="gramStart"/>
      <w:r w:rsidRPr="00A47D23">
        <w:rPr>
          <w:rtl/>
        </w:rPr>
        <w:t>F.IVSP</w:t>
      </w:r>
      <w:proofErr w:type="gramEnd"/>
      <w:r w:rsidRPr="00A47D23">
        <w:rPr>
          <w:rtl/>
        </w:rPr>
        <w:t xml:space="preserve">-PGI سابقاً) </w:t>
      </w:r>
      <w:r w:rsidR="00644969" w:rsidRPr="00A47D23">
        <w:rPr>
          <w:rtl/>
        </w:rPr>
        <w:br/>
      </w:r>
      <w:r w:rsidR="00A47D23" w:rsidRPr="00A47D23">
        <w:rPr>
          <w:rFonts w:hint="cs"/>
          <w:rtl/>
        </w:rPr>
        <w:t>و</w:t>
      </w:r>
      <w:r w:rsidR="00A47D23" w:rsidRPr="00A47D23">
        <w:t>ITU-T</w:t>
      </w:r>
      <w:r w:rsidR="00F90F2D">
        <w:t> </w:t>
      </w:r>
      <w:r w:rsidR="00A47D23" w:rsidRPr="00A47D23">
        <w:t>F.743.28</w:t>
      </w:r>
      <w:r w:rsidRPr="00A47D23">
        <w:rPr>
          <w:rtl/>
        </w:rPr>
        <w:t xml:space="preserve"> (F.RIIS-CEC سابقاً)</w:t>
      </w:r>
    </w:p>
    <w:p w14:paraId="5D7E13B8" w14:textId="179AE377" w:rsidR="00006C34" w:rsidRPr="00A47D23" w:rsidRDefault="00006C34" w:rsidP="00A47D23">
      <w:pPr>
        <w:pStyle w:val="Heading1"/>
      </w:pPr>
      <w:r w:rsidRPr="00A47D23">
        <w:rPr>
          <w:rtl/>
        </w:rPr>
        <w:t>1</w:t>
      </w:r>
      <w:r w:rsidRPr="00A47D23">
        <w:rPr>
          <w:rtl/>
        </w:rPr>
        <w:tab/>
        <w:t xml:space="preserve">مشروع التوصية الجديدة </w:t>
      </w:r>
      <w:r w:rsidR="00A47D23" w:rsidRPr="00A47D23">
        <w:t>ITU-T</w:t>
      </w:r>
      <w:r w:rsidR="00F90F2D">
        <w:t> </w:t>
      </w:r>
      <w:r w:rsidR="00A47D23" w:rsidRPr="00A47D23">
        <w:t>F.743.27</w:t>
      </w:r>
      <w:r w:rsidR="00A47D23" w:rsidRPr="00A47D23">
        <w:rPr>
          <w:rtl/>
        </w:rPr>
        <w:t xml:space="preserve"> </w:t>
      </w:r>
      <w:r w:rsidRPr="00A47D23">
        <w:rPr>
          <w:rtl/>
        </w:rPr>
        <w:t>(</w:t>
      </w:r>
      <w:proofErr w:type="gramStart"/>
      <w:r w:rsidRPr="00A47D23">
        <w:rPr>
          <w:rtl/>
        </w:rPr>
        <w:t>F.IVSP</w:t>
      </w:r>
      <w:proofErr w:type="gramEnd"/>
      <w:r w:rsidRPr="00A47D23">
        <w:rPr>
          <w:rtl/>
        </w:rPr>
        <w:t>-PGI سابقاً) [</w:t>
      </w:r>
      <w:hyperlink r:id="rId10" w:history="1">
        <w:r w:rsidR="00B20D91" w:rsidRPr="00B20D91">
          <w:rPr>
            <w:rStyle w:val="Hyperlink"/>
            <w:lang w:val="fr-CH"/>
          </w:rPr>
          <w:t>SG16-R29</w:t>
        </w:r>
      </w:hyperlink>
      <w:r w:rsidRPr="00A47D23">
        <w:rPr>
          <w:rtl/>
        </w:rPr>
        <w:t>]</w:t>
      </w:r>
    </w:p>
    <w:p w14:paraId="48C76750" w14:textId="77777777" w:rsidR="00006C34" w:rsidRPr="00A47D23" w:rsidRDefault="00006C34" w:rsidP="00A47D23">
      <w:pPr>
        <w:rPr>
          <w:b/>
          <w:bCs/>
          <w:lang w:val="ar-SA" w:bidi="ar-EG"/>
        </w:rPr>
      </w:pPr>
      <w:r w:rsidRPr="00A47D23">
        <w:rPr>
          <w:b/>
          <w:bCs/>
          <w:rtl/>
        </w:rPr>
        <w:t>متطلبات وإطار منصة المراقبة الذكية بالفيديو للبنية التحتية لشبكة القدرة الكهربائية</w:t>
      </w:r>
    </w:p>
    <w:p w14:paraId="24D3505D" w14:textId="77777777" w:rsidR="00006C34" w:rsidRPr="00006C34" w:rsidRDefault="00006C34" w:rsidP="00006C34">
      <w:pPr>
        <w:pStyle w:val="Headingb"/>
        <w:rPr>
          <w:lang w:val="ar-SA" w:bidi="ar-EG"/>
        </w:rPr>
      </w:pPr>
      <w:r w:rsidRPr="00006C34">
        <w:rPr>
          <w:rtl/>
        </w:rPr>
        <w:t>ملخص</w:t>
      </w:r>
    </w:p>
    <w:p w14:paraId="59BED3A1" w14:textId="5524D218" w:rsidR="00006C34" w:rsidRPr="00006C34" w:rsidRDefault="00006C34" w:rsidP="00006C34">
      <w:pPr>
        <w:rPr>
          <w:spacing w:val="-4"/>
          <w:lang w:val="ar-SA" w:bidi="ar-EG"/>
        </w:rPr>
      </w:pPr>
      <w:r w:rsidRPr="00006C34">
        <w:rPr>
          <w:spacing w:val="-4"/>
          <w:rtl/>
        </w:rPr>
        <w:t xml:space="preserve">استُخدمت المراقبة بالفيديو على نطاق واسع في سيناريوهات مختلفة ضمن قطاع القدرة الكهربائية، بما في ذلك الإرسال والتحويل والتوزيع ومعاينة المعدات والإشراف على السلامة والأعمال الرسمية ومراكز البيانات. ولكن مع زيادة عدد أجهزة المراقبة وسيناريوهات </w:t>
      </w:r>
      <w:r w:rsidR="009B64FE" w:rsidRPr="009B64FE">
        <w:rPr>
          <w:rFonts w:hint="cs"/>
          <w:spacing w:val="-4"/>
          <w:rtl/>
        </w:rPr>
        <w:t>المراقبة،</w:t>
      </w:r>
      <w:r w:rsidRPr="00006C34">
        <w:rPr>
          <w:spacing w:val="-4"/>
          <w:rtl/>
        </w:rPr>
        <w:t xml:space="preserve"> تواجه المراقبة بالفيديو تحديات مثل محدودية عرض </w:t>
      </w:r>
      <w:r w:rsidR="009B64FE" w:rsidRPr="00006C34">
        <w:rPr>
          <w:rFonts w:hint="cs"/>
          <w:spacing w:val="-4"/>
          <w:rtl/>
        </w:rPr>
        <w:t>النطاق شبكة</w:t>
      </w:r>
      <w:r w:rsidRPr="00006C34">
        <w:rPr>
          <w:spacing w:val="-4"/>
          <w:rtl/>
        </w:rPr>
        <w:t xml:space="preserve"> الاتصالات والصعوبات في إدارة الحجم الكبير لتوصيلات الأجهزة. ويعزز دمج تكنولوجيات الذكاء الاصطناعي في منصة المراقبة بالفيديو كثيراً من كفاءة تحليل البيانات في الوقت الفعلي. وبتوسيع نطاق الذكاء إلى حافة الشبكة من خلال التدريب والتوزيع </w:t>
      </w:r>
      <w:r w:rsidR="009B64FE" w:rsidRPr="009B64FE">
        <w:rPr>
          <w:rFonts w:hint="cs"/>
          <w:spacing w:val="-4"/>
          <w:rtl/>
        </w:rPr>
        <w:t>النموذجي،</w:t>
      </w:r>
      <w:r w:rsidRPr="00006C34">
        <w:rPr>
          <w:spacing w:val="-4"/>
          <w:rtl/>
        </w:rPr>
        <w:t xml:space="preserve"> تتيح هذه المنصة الذكية الكشف الاستباقي للتهديدات وتوزيع الموارد بمزيد من الكفاءة للبنية التحتية لشبكة القدرة الكهربائية، لا سيما في المناطق النائية ذات الكثافة السكانية المتناثرة والمرافق غير المأهولة وظروف ضعف الإشارة اللاسلكية. ويضمن هذا التقدم إشرافاً شاملاً وحماية للأصول الحيوية، وبالتالي تعزيز الأمن والموثوقية الشاملة للبنى التحتية لشبكة القدرة الكهربائية.</w:t>
      </w:r>
    </w:p>
    <w:p w14:paraId="08C9AB26" w14:textId="77777777" w:rsidR="00006C34" w:rsidRPr="00006C34" w:rsidRDefault="00006C34" w:rsidP="00006C34">
      <w:pPr>
        <w:rPr>
          <w:lang w:val="ar-SA" w:bidi="ar-EG"/>
        </w:rPr>
      </w:pPr>
      <w:r w:rsidRPr="00006C34">
        <w:rPr>
          <w:rtl/>
        </w:rPr>
        <w:t>وتحدد هذه التوصية المتطلبات والإطار المرجعي لمنصات المراقبة الذكية بالفيديو للبنية التحتية لشبكة الكهرباء.</w:t>
      </w:r>
    </w:p>
    <w:p w14:paraId="3BB7743F" w14:textId="197FD147" w:rsidR="00006C34" w:rsidRPr="00A47D23" w:rsidRDefault="00006C34" w:rsidP="00A47D23">
      <w:pPr>
        <w:pStyle w:val="Heading1"/>
      </w:pPr>
      <w:r w:rsidRPr="00A47D23">
        <w:rPr>
          <w:rtl/>
        </w:rPr>
        <w:t>2</w:t>
      </w:r>
      <w:r w:rsidRPr="00A47D23">
        <w:rPr>
          <w:rtl/>
        </w:rPr>
        <w:tab/>
        <w:t xml:space="preserve">مشروع التوصية الجديدة </w:t>
      </w:r>
      <w:r w:rsidR="00A47D23" w:rsidRPr="00A47D23">
        <w:t>ITU-T</w:t>
      </w:r>
      <w:r w:rsidR="00F90F2D">
        <w:t> </w:t>
      </w:r>
      <w:r w:rsidR="00A47D23" w:rsidRPr="00A47D23">
        <w:t>F.743.28</w:t>
      </w:r>
      <w:r w:rsidR="00A47D23" w:rsidRPr="00A47D23">
        <w:rPr>
          <w:rtl/>
        </w:rPr>
        <w:t xml:space="preserve"> </w:t>
      </w:r>
      <w:r w:rsidRPr="00A47D23">
        <w:rPr>
          <w:rtl/>
        </w:rPr>
        <w:t>(</w:t>
      </w:r>
      <w:r w:rsidR="00A47D23">
        <w:t>F</w:t>
      </w:r>
      <w:r w:rsidR="00F90F2D">
        <w:t>.RII-CEC</w:t>
      </w:r>
      <w:r w:rsidRPr="00A47D23">
        <w:rPr>
          <w:rtl/>
        </w:rPr>
        <w:t xml:space="preserve"> سابقاً) [</w:t>
      </w:r>
      <w:hyperlink r:id="rId11" w:history="1">
        <w:r w:rsidRPr="00F90F2D">
          <w:rPr>
            <w:rStyle w:val="Hyperlink"/>
            <w:rtl/>
          </w:rPr>
          <w:t>SG16-R30</w:t>
        </w:r>
      </w:hyperlink>
      <w:r w:rsidRPr="00A47D23">
        <w:rPr>
          <w:rtl/>
        </w:rPr>
        <w:t>]</w:t>
      </w:r>
    </w:p>
    <w:p w14:paraId="07F36B82" w14:textId="174016B2" w:rsidR="00006C34" w:rsidRPr="0011242B" w:rsidRDefault="00006C34" w:rsidP="00F90F2D">
      <w:pPr>
        <w:rPr>
          <w:b/>
          <w:bCs/>
          <w:spacing w:val="-2"/>
          <w:lang w:val="ar-SA" w:bidi="ar-EG"/>
        </w:rPr>
      </w:pPr>
      <w:r w:rsidRPr="0011242B">
        <w:rPr>
          <w:b/>
          <w:bCs/>
          <w:spacing w:val="-2"/>
          <w:rtl/>
        </w:rPr>
        <w:t>الإطار الوظيفي ومتطلبات نظام التفحص الذكي القائم على التعاون بين أجهزة المنصات السحابية وأجهزة الحافة في</w:t>
      </w:r>
      <w:r w:rsidR="00F90F2D" w:rsidRPr="0011242B">
        <w:rPr>
          <w:rFonts w:hint="cs"/>
          <w:b/>
          <w:bCs/>
          <w:spacing w:val="-2"/>
          <w:rtl/>
        </w:rPr>
        <w:t> </w:t>
      </w:r>
      <w:r w:rsidRPr="0011242B">
        <w:rPr>
          <w:b/>
          <w:bCs/>
          <w:spacing w:val="-2"/>
          <w:rtl/>
        </w:rPr>
        <w:t>شبكات الكهرباء الذكية</w:t>
      </w:r>
    </w:p>
    <w:p w14:paraId="20700CCE" w14:textId="77777777" w:rsidR="00006C34" w:rsidRPr="00006C34" w:rsidRDefault="00006C34" w:rsidP="00006C34">
      <w:pPr>
        <w:pStyle w:val="Headingb"/>
        <w:rPr>
          <w:lang w:val="ar-SA" w:bidi="ar-EG"/>
        </w:rPr>
      </w:pPr>
      <w:r w:rsidRPr="00006C34">
        <w:rPr>
          <w:rtl/>
        </w:rPr>
        <w:t>ملخص</w:t>
      </w:r>
    </w:p>
    <w:p w14:paraId="05A8059E" w14:textId="23696608" w:rsidR="00006C34" w:rsidRPr="00006C34" w:rsidRDefault="00006C34" w:rsidP="00006C34">
      <w:pPr>
        <w:rPr>
          <w:lang w:val="ar-SA" w:bidi="ar-EG"/>
        </w:rPr>
      </w:pPr>
      <w:r w:rsidRPr="00006C34">
        <w:rPr>
          <w:rtl/>
        </w:rPr>
        <w:t xml:space="preserve">يساعد نظام التفحص الذكي في مساعدة البشر في أعمال </w:t>
      </w:r>
      <w:r w:rsidR="009B64FE" w:rsidRPr="00006C34">
        <w:rPr>
          <w:rFonts w:hint="cs"/>
          <w:rtl/>
        </w:rPr>
        <w:t>التفحص،</w:t>
      </w:r>
      <w:r w:rsidRPr="00006C34">
        <w:rPr>
          <w:rtl/>
        </w:rPr>
        <w:t xml:space="preserve"> حيث يقدم مزايا مثل الكفاءة العالية وقلة تكاليف التشغيل والصيانة. وهو يُستخدم على نطاق واسع في سيناريوهات مثل تفحص محطات القدرة</w:t>
      </w:r>
      <w:r w:rsidR="009B64FE">
        <w:rPr>
          <w:rFonts w:hint="cs"/>
          <w:rtl/>
        </w:rPr>
        <w:t xml:space="preserve"> </w:t>
      </w:r>
      <w:r w:rsidRPr="00006C34">
        <w:rPr>
          <w:rtl/>
        </w:rPr>
        <w:t xml:space="preserve">والمحطات الفرعية وخطوط الإرسال. ولكن بيانات التفحص المرسَلة إلى المنصة السحابية تكون مصحوبة بتحديات مثل الأحجام الضخمة والتعقيد العالي ودورات التخزين الطويلة وتواتر الحوسبة العالي. بالإضافة إلى </w:t>
      </w:r>
      <w:r w:rsidR="009B64FE" w:rsidRPr="00006C34">
        <w:rPr>
          <w:rFonts w:hint="cs"/>
          <w:rtl/>
        </w:rPr>
        <w:t>ذلك،</w:t>
      </w:r>
      <w:r w:rsidRPr="00006C34">
        <w:rPr>
          <w:rtl/>
        </w:rPr>
        <w:t xml:space="preserve"> توجد العديد من المحطات الفرعية وخطوط الإرسال في</w:t>
      </w:r>
      <w:r w:rsidR="007A6492">
        <w:rPr>
          <w:rFonts w:hint="cs"/>
          <w:rtl/>
        </w:rPr>
        <w:t> </w:t>
      </w:r>
      <w:r w:rsidRPr="00006C34">
        <w:rPr>
          <w:rtl/>
        </w:rPr>
        <w:t>المناطق النائية، حيث غالبا</w:t>
      </w:r>
      <w:r w:rsidR="009B64FE">
        <w:rPr>
          <w:rFonts w:hint="cs"/>
          <w:rtl/>
        </w:rPr>
        <w:t>ً</w:t>
      </w:r>
      <w:r w:rsidRPr="00006C34">
        <w:rPr>
          <w:rtl/>
        </w:rPr>
        <w:t xml:space="preserve"> ما تكون توصيلات الشبكة </w:t>
      </w:r>
      <w:r w:rsidR="009B64FE" w:rsidRPr="00006C34">
        <w:rPr>
          <w:rFonts w:hint="cs"/>
          <w:rtl/>
        </w:rPr>
        <w:t>ضعيفة،</w:t>
      </w:r>
      <w:r w:rsidRPr="00006C34">
        <w:rPr>
          <w:rtl/>
        </w:rPr>
        <w:t xml:space="preserve"> ويلزم أن تؤخذ في الاعتبار القدرة على التفحص المناسب في</w:t>
      </w:r>
      <w:r w:rsidR="007A6492">
        <w:rPr>
          <w:rFonts w:hint="cs"/>
          <w:rtl/>
        </w:rPr>
        <w:t> </w:t>
      </w:r>
      <w:r w:rsidRPr="00006C34">
        <w:rPr>
          <w:rtl/>
        </w:rPr>
        <w:t>البيئات القاسية. ويمكن لنظام تفحص ذكي قائم على التعاون بين الأجهزة السحابية وأجهزة الحافة أن يعالج هذه التحديات.</w:t>
      </w:r>
    </w:p>
    <w:p w14:paraId="391B9119" w14:textId="719A4EC3" w:rsidR="007A6492" w:rsidRDefault="00006C34" w:rsidP="00006C34">
      <w:pPr>
        <w:rPr>
          <w:rtl/>
        </w:rPr>
      </w:pPr>
      <w:r w:rsidRPr="00006C34">
        <w:rPr>
          <w:rtl/>
        </w:rPr>
        <w:t>وتوصِّف هذه التوصية إطاراً وظيفياً ومتطلبات وحالات استعمال لنظام التفحص الذكي استنادا</w:t>
      </w:r>
      <w:r w:rsidR="009B64FE">
        <w:rPr>
          <w:rFonts w:hint="cs"/>
          <w:rtl/>
        </w:rPr>
        <w:t>ً</w:t>
      </w:r>
      <w:r w:rsidRPr="00006C34">
        <w:rPr>
          <w:rtl/>
        </w:rPr>
        <w:t xml:space="preserve"> إلى التعاون بين الأجهزة السحابية وأجهزة الحافة في شبكة الكهرباء الذكية. وهي تقدم إرشادات لاستخدام واختيار نظام التفحص المناسب لتطبيق معين. ويمكنه أيضا</w:t>
      </w:r>
      <w:r w:rsidR="007A6492">
        <w:rPr>
          <w:rFonts w:hint="cs"/>
          <w:rtl/>
        </w:rPr>
        <w:t>ً</w:t>
      </w:r>
      <w:r w:rsidRPr="00006C34">
        <w:rPr>
          <w:rtl/>
        </w:rPr>
        <w:t xml:space="preserve"> توريد نموذج تعاون جديد للمعايير القائمة في شبكة الكهرباء الذكية.</w:t>
      </w:r>
    </w:p>
    <w:p w14:paraId="19EC3C84" w14:textId="1D7C0013" w:rsidR="009B64FE" w:rsidRDefault="009B64FE" w:rsidP="00006C34">
      <w:pPr>
        <w:rPr>
          <w:rtl/>
        </w:rPr>
      </w:pPr>
      <w:r>
        <w:rPr>
          <w:rtl/>
        </w:rPr>
        <w:br w:type="page"/>
      </w:r>
    </w:p>
    <w:p w14:paraId="5248D239" w14:textId="18317900" w:rsidR="00006C34" w:rsidRPr="009B64FE" w:rsidRDefault="00006C34" w:rsidP="009B64FE">
      <w:pPr>
        <w:pStyle w:val="AnnexNo"/>
        <w:rPr>
          <w:b/>
          <w:bCs/>
          <w:lang w:val="ar-SA" w:bidi="ar-EG"/>
        </w:rPr>
      </w:pPr>
      <w:r w:rsidRPr="009B64FE">
        <w:rPr>
          <w:b/>
          <w:bCs/>
          <w:rtl/>
        </w:rPr>
        <w:lastRenderedPageBreak/>
        <w:t>الملحق 2</w:t>
      </w:r>
    </w:p>
    <w:p w14:paraId="4EB5B1C4" w14:textId="06AEFFA6" w:rsidR="00006C34" w:rsidRPr="009B64FE" w:rsidRDefault="00006C34" w:rsidP="009B64FE">
      <w:pPr>
        <w:pStyle w:val="Annextitle"/>
        <w:rPr>
          <w:lang w:val="ar-SA" w:bidi="ar-EG"/>
        </w:rPr>
      </w:pPr>
      <w:r w:rsidRPr="009B64FE">
        <w:rPr>
          <w:rtl/>
        </w:rPr>
        <w:t xml:space="preserve">الموضوع: رد الدول الأعضاء على الرسالة المعممة 234 من مكتب تقييس الاتصالات: </w:t>
      </w:r>
      <w:r w:rsidR="00F90F2D">
        <w:rPr>
          <w:rtl/>
        </w:rPr>
        <w:br/>
      </w:r>
      <w:r w:rsidRPr="009B64FE">
        <w:rPr>
          <w:rtl/>
        </w:rPr>
        <w:t xml:space="preserve">مشاورة بشأن مشروعي التوصيتين المحددتين </w:t>
      </w:r>
      <w:r w:rsidR="00F90F2D">
        <w:t>ITU-T F.743.27</w:t>
      </w:r>
      <w:r w:rsidRPr="009B64FE">
        <w:rPr>
          <w:rtl/>
        </w:rPr>
        <w:t xml:space="preserve"> (</w:t>
      </w:r>
      <w:proofErr w:type="gramStart"/>
      <w:r w:rsidRPr="009B64FE">
        <w:rPr>
          <w:rtl/>
        </w:rPr>
        <w:t>F.IVSP</w:t>
      </w:r>
      <w:proofErr w:type="gramEnd"/>
      <w:r w:rsidRPr="009B64FE">
        <w:rPr>
          <w:rtl/>
        </w:rPr>
        <w:t>-PGI سابقاً)</w:t>
      </w:r>
      <w:r w:rsidR="009B64FE" w:rsidRPr="009B64FE">
        <w:br/>
      </w:r>
      <w:r w:rsidR="00F90F2D">
        <w:rPr>
          <w:rFonts w:hint="cs"/>
          <w:rtl/>
        </w:rPr>
        <w:t>و</w:t>
      </w:r>
      <w:r w:rsidR="00F90F2D">
        <w:t>ITU-T F.743.28</w:t>
      </w:r>
      <w:r w:rsidRPr="009B64FE">
        <w:rPr>
          <w:rtl/>
        </w:rPr>
        <w:t xml:space="preserve"> (F.RIIS-CEC سابقاً)</w:t>
      </w:r>
    </w:p>
    <w:tbl>
      <w:tblPr>
        <w:bidiVisual/>
        <w:tblW w:w="5000" w:type="pct"/>
        <w:tblLook w:val="04A0" w:firstRow="1" w:lastRow="0" w:firstColumn="1" w:lastColumn="0" w:noHBand="0" w:noVBand="1"/>
      </w:tblPr>
      <w:tblGrid>
        <w:gridCol w:w="1557"/>
        <w:gridCol w:w="3748"/>
        <w:gridCol w:w="1639"/>
        <w:gridCol w:w="2695"/>
      </w:tblGrid>
      <w:tr w:rsidR="00006C34" w:rsidRPr="00006C34" w14:paraId="4CA601B3" w14:textId="77777777" w:rsidTr="006857C1">
        <w:tc>
          <w:tcPr>
            <w:tcW w:w="808" w:type="pct"/>
            <w:shd w:val="clear" w:color="auto" w:fill="auto"/>
          </w:tcPr>
          <w:p w14:paraId="2B719CF9" w14:textId="77777777" w:rsidR="00006C34" w:rsidRPr="00006C34" w:rsidRDefault="00006C34" w:rsidP="00006C34">
            <w:pPr>
              <w:rPr>
                <w:lang w:val="ar-SA" w:bidi="ar-EG"/>
              </w:rPr>
            </w:pPr>
            <w:r w:rsidRPr="00006C34">
              <w:rPr>
                <w:b/>
                <w:bCs/>
                <w:rtl/>
              </w:rPr>
              <w:t>إلى:</w:t>
            </w:r>
          </w:p>
        </w:tc>
        <w:tc>
          <w:tcPr>
            <w:tcW w:w="1944" w:type="pct"/>
            <w:tcBorders>
              <w:right w:val="single" w:sz="8" w:space="0" w:color="auto"/>
            </w:tcBorders>
            <w:shd w:val="clear" w:color="auto" w:fill="auto"/>
          </w:tcPr>
          <w:p w14:paraId="4B4C7D0E" w14:textId="66999F78" w:rsidR="00006C34" w:rsidRPr="00006C34" w:rsidRDefault="00006C34" w:rsidP="00AA7464">
            <w:pPr>
              <w:jc w:val="left"/>
              <w:rPr>
                <w:lang w:val="ar-SA" w:bidi="ar-EG"/>
              </w:rPr>
            </w:pPr>
            <w:r w:rsidRPr="00006C34">
              <w:rPr>
                <w:rtl/>
              </w:rPr>
              <w:t>مدير مكتب تقييس الاتصالات،</w:t>
            </w:r>
            <w:r w:rsidR="00AA7464">
              <w:rPr>
                <w:rtl/>
                <w:lang w:val="ar-SA" w:bidi="ar-EG"/>
              </w:rPr>
              <w:br/>
            </w:r>
            <w:r w:rsidR="000C7252">
              <w:rPr>
                <w:rFonts w:hint="cs"/>
                <w:rtl/>
              </w:rPr>
              <w:t>الاتحاد الدولي للاتصالات</w:t>
            </w:r>
          </w:p>
          <w:p w14:paraId="50664FDC" w14:textId="77777777" w:rsidR="00006C34" w:rsidRPr="00982E70" w:rsidRDefault="00006C34" w:rsidP="00006C34">
            <w:pPr>
              <w:rPr>
                <w:lang w:val="en-GB" w:bidi="ar-EG"/>
              </w:rPr>
            </w:pPr>
            <w:proofErr w:type="spellStart"/>
            <w:r w:rsidRPr="00006C34">
              <w:rPr>
                <w:rtl/>
              </w:rPr>
              <w:t>Place</w:t>
            </w:r>
            <w:proofErr w:type="spellEnd"/>
            <w:r w:rsidRPr="00006C34">
              <w:rPr>
                <w:rtl/>
              </w:rPr>
              <w:t xml:space="preserve"> </w:t>
            </w:r>
            <w:proofErr w:type="spellStart"/>
            <w:r w:rsidRPr="00006C34">
              <w:rPr>
                <w:rtl/>
              </w:rPr>
              <w:t>des</w:t>
            </w:r>
            <w:proofErr w:type="spellEnd"/>
            <w:r w:rsidRPr="00006C34">
              <w:rPr>
                <w:rtl/>
              </w:rPr>
              <w:t xml:space="preserve"> </w:t>
            </w:r>
            <w:proofErr w:type="spellStart"/>
            <w:r w:rsidRPr="00006C34">
              <w:rPr>
                <w:rtl/>
              </w:rPr>
              <w:t>Nations</w:t>
            </w:r>
            <w:proofErr w:type="spellEnd"/>
          </w:p>
          <w:p w14:paraId="00129998" w14:textId="77777777" w:rsidR="00006C34" w:rsidRPr="00982E70" w:rsidRDefault="00006C34" w:rsidP="00006C34">
            <w:pPr>
              <w:rPr>
                <w:lang w:val="en-GB" w:bidi="ar-EG"/>
              </w:rPr>
            </w:pPr>
            <w:r w:rsidRPr="00006C34">
              <w:rPr>
                <w:rtl/>
              </w:rPr>
              <w:t xml:space="preserve">CH 1211 </w:t>
            </w:r>
            <w:proofErr w:type="spellStart"/>
            <w:r w:rsidRPr="00006C34">
              <w:rPr>
                <w:rtl/>
              </w:rPr>
              <w:t>Geneva</w:t>
            </w:r>
            <w:proofErr w:type="spellEnd"/>
            <w:r w:rsidRPr="00006C34">
              <w:rPr>
                <w:rtl/>
              </w:rPr>
              <w:t xml:space="preserve"> 20, </w:t>
            </w:r>
            <w:proofErr w:type="spellStart"/>
            <w:r w:rsidRPr="00006C34">
              <w:rPr>
                <w:rtl/>
              </w:rPr>
              <w:t>Switzerland</w:t>
            </w:r>
            <w:proofErr w:type="spellEnd"/>
          </w:p>
        </w:tc>
        <w:tc>
          <w:tcPr>
            <w:tcW w:w="850" w:type="pct"/>
            <w:tcBorders>
              <w:left w:val="single" w:sz="8" w:space="0" w:color="auto"/>
            </w:tcBorders>
            <w:shd w:val="clear" w:color="auto" w:fill="auto"/>
          </w:tcPr>
          <w:p w14:paraId="649B1A8F" w14:textId="77777777" w:rsidR="00006C34" w:rsidRPr="00006C34" w:rsidRDefault="00006C34" w:rsidP="00006C34">
            <w:pPr>
              <w:rPr>
                <w:lang w:val="ar-SA" w:bidi="ar-EG"/>
              </w:rPr>
            </w:pPr>
            <w:r w:rsidRPr="00006C34">
              <w:rPr>
                <w:rtl/>
              </w:rPr>
              <w:t>من:</w:t>
            </w:r>
          </w:p>
        </w:tc>
        <w:tc>
          <w:tcPr>
            <w:tcW w:w="1398" w:type="pct"/>
            <w:shd w:val="clear" w:color="auto" w:fill="auto"/>
          </w:tcPr>
          <w:p w14:paraId="2D56BE96" w14:textId="77777777" w:rsidR="00006C34" w:rsidRPr="00006C34" w:rsidRDefault="00006C34" w:rsidP="00006C34">
            <w:pPr>
              <w:rPr>
                <w:highlight w:val="green"/>
                <w:lang w:val="ar-SA" w:bidi="ar-EG"/>
              </w:rPr>
            </w:pPr>
            <w:r w:rsidRPr="00006C34">
              <w:rPr>
                <w:highlight w:val="green"/>
                <w:rtl/>
              </w:rPr>
              <w:t>[الاسم]</w:t>
            </w:r>
          </w:p>
          <w:p w14:paraId="73DA5169" w14:textId="77777777" w:rsidR="00006C34" w:rsidRPr="00006C34" w:rsidRDefault="00006C34" w:rsidP="00006C34">
            <w:pPr>
              <w:rPr>
                <w:highlight w:val="green"/>
                <w:lang w:val="ar-SA" w:bidi="ar-EG"/>
              </w:rPr>
            </w:pPr>
            <w:r w:rsidRPr="00006C34">
              <w:rPr>
                <w:highlight w:val="green"/>
                <w:rtl/>
              </w:rPr>
              <w:t>[الدور/اللقب الرسمي]</w:t>
            </w:r>
          </w:p>
          <w:p w14:paraId="19722FF1" w14:textId="77777777" w:rsidR="00006C34" w:rsidRPr="00006C34" w:rsidRDefault="00006C34" w:rsidP="00006C34">
            <w:pPr>
              <w:rPr>
                <w:lang w:val="ar-SA" w:bidi="ar-EG"/>
              </w:rPr>
            </w:pPr>
            <w:r w:rsidRPr="00006C34">
              <w:rPr>
                <w:highlight w:val="green"/>
                <w:rtl/>
              </w:rPr>
              <w:t>[العنوان]</w:t>
            </w:r>
          </w:p>
        </w:tc>
      </w:tr>
      <w:tr w:rsidR="00006C34" w:rsidRPr="00006C34" w14:paraId="6856B26F" w14:textId="77777777" w:rsidTr="006857C1">
        <w:tc>
          <w:tcPr>
            <w:tcW w:w="808" w:type="pct"/>
            <w:shd w:val="clear" w:color="auto" w:fill="auto"/>
          </w:tcPr>
          <w:p w14:paraId="179BFF01" w14:textId="77777777" w:rsidR="00006C34" w:rsidRPr="00006C34" w:rsidRDefault="00006C34" w:rsidP="00006C34">
            <w:pPr>
              <w:rPr>
                <w:lang w:val="ar-SA" w:bidi="ar-EG"/>
              </w:rPr>
            </w:pPr>
            <w:r w:rsidRPr="00006C34">
              <w:rPr>
                <w:b/>
                <w:bCs/>
                <w:rtl/>
              </w:rPr>
              <w:t>الفاكس:</w:t>
            </w:r>
          </w:p>
        </w:tc>
        <w:tc>
          <w:tcPr>
            <w:tcW w:w="1944" w:type="pct"/>
            <w:tcBorders>
              <w:right w:val="single" w:sz="8" w:space="0" w:color="auto"/>
            </w:tcBorders>
            <w:shd w:val="clear" w:color="auto" w:fill="auto"/>
          </w:tcPr>
          <w:p w14:paraId="56928E12" w14:textId="49852FAE" w:rsidR="00006C34" w:rsidRPr="00006C34" w:rsidRDefault="009B64FE" w:rsidP="00006C34">
            <w:pPr>
              <w:rPr>
                <w:lang w:val="ar-SA" w:bidi="ar-EG"/>
              </w:rPr>
            </w:pPr>
            <w:r w:rsidRPr="00006C34">
              <w:rPr>
                <w:position w:val="2"/>
              </w:rPr>
              <w:t>+41 22 730 5853</w:t>
            </w:r>
          </w:p>
        </w:tc>
        <w:tc>
          <w:tcPr>
            <w:tcW w:w="850" w:type="pct"/>
            <w:tcBorders>
              <w:left w:val="single" w:sz="8" w:space="0" w:color="auto"/>
            </w:tcBorders>
            <w:shd w:val="clear" w:color="auto" w:fill="auto"/>
          </w:tcPr>
          <w:p w14:paraId="4F613808" w14:textId="77777777" w:rsidR="00006C34" w:rsidRPr="00006C34" w:rsidRDefault="00006C34" w:rsidP="00006C34">
            <w:pPr>
              <w:rPr>
                <w:lang w:val="ar-SA" w:bidi="ar-EG"/>
              </w:rPr>
            </w:pPr>
            <w:r w:rsidRPr="00006C34">
              <w:rPr>
                <w:b/>
                <w:bCs/>
                <w:rtl/>
              </w:rPr>
              <w:t>الفاكس:</w:t>
            </w:r>
          </w:p>
        </w:tc>
        <w:tc>
          <w:tcPr>
            <w:tcW w:w="1398" w:type="pct"/>
            <w:shd w:val="clear" w:color="auto" w:fill="auto"/>
          </w:tcPr>
          <w:p w14:paraId="5FAF6F89" w14:textId="77777777" w:rsidR="00006C34" w:rsidRPr="00006C34" w:rsidRDefault="00006C34" w:rsidP="00006C34">
            <w:pPr>
              <w:rPr>
                <w:lang w:val="en-GB" w:bidi="ar-EG"/>
              </w:rPr>
            </w:pPr>
          </w:p>
        </w:tc>
      </w:tr>
      <w:tr w:rsidR="00006C34" w:rsidRPr="00006C34" w14:paraId="4CB62524" w14:textId="77777777" w:rsidTr="006857C1">
        <w:tc>
          <w:tcPr>
            <w:tcW w:w="808" w:type="pct"/>
            <w:shd w:val="clear" w:color="auto" w:fill="auto"/>
          </w:tcPr>
          <w:p w14:paraId="61083A18" w14:textId="77777777" w:rsidR="00006C34" w:rsidRPr="00006C34" w:rsidRDefault="00006C34" w:rsidP="00006C34">
            <w:pPr>
              <w:rPr>
                <w:lang w:val="ar-SA" w:bidi="ar-EG"/>
              </w:rPr>
            </w:pPr>
            <w:r w:rsidRPr="00006C34">
              <w:rPr>
                <w:b/>
                <w:bCs/>
                <w:rtl/>
              </w:rPr>
              <w:t>البريد الإلكتروني:</w:t>
            </w:r>
          </w:p>
        </w:tc>
        <w:tc>
          <w:tcPr>
            <w:tcW w:w="1944" w:type="pct"/>
            <w:tcBorders>
              <w:right w:val="single" w:sz="8" w:space="0" w:color="auto"/>
            </w:tcBorders>
            <w:shd w:val="clear" w:color="auto" w:fill="auto"/>
          </w:tcPr>
          <w:p w14:paraId="13A98888" w14:textId="6DE95412" w:rsidR="00006C34" w:rsidRPr="00006C34" w:rsidRDefault="00B358E4" w:rsidP="00006C34">
            <w:pPr>
              <w:rPr>
                <w:lang w:val="ar-SA" w:bidi="ar-EG"/>
              </w:rPr>
            </w:pPr>
            <w:hyperlink r:id="rId12" w:history="1">
              <w:r w:rsidR="00006C34" w:rsidRPr="00006C34">
                <w:rPr>
                  <w:rStyle w:val="Hyperlink"/>
                  <w:rtl/>
                </w:rPr>
                <w:t>tsbdir@itu.int</w:t>
              </w:r>
            </w:hyperlink>
          </w:p>
        </w:tc>
        <w:tc>
          <w:tcPr>
            <w:tcW w:w="850" w:type="pct"/>
            <w:tcBorders>
              <w:left w:val="single" w:sz="8" w:space="0" w:color="auto"/>
            </w:tcBorders>
            <w:shd w:val="clear" w:color="auto" w:fill="auto"/>
          </w:tcPr>
          <w:p w14:paraId="69E78CC4" w14:textId="77777777" w:rsidR="00006C34" w:rsidRPr="00006C34" w:rsidRDefault="00006C34" w:rsidP="00006C34">
            <w:pPr>
              <w:rPr>
                <w:lang w:val="ar-SA" w:bidi="ar-EG"/>
              </w:rPr>
            </w:pPr>
            <w:r w:rsidRPr="00006C34">
              <w:rPr>
                <w:b/>
                <w:bCs/>
                <w:rtl/>
              </w:rPr>
              <w:t>البريد الإلكتروني:</w:t>
            </w:r>
          </w:p>
        </w:tc>
        <w:tc>
          <w:tcPr>
            <w:tcW w:w="1398" w:type="pct"/>
            <w:shd w:val="clear" w:color="auto" w:fill="auto"/>
          </w:tcPr>
          <w:p w14:paraId="7310205B" w14:textId="77777777" w:rsidR="00006C34" w:rsidRPr="00006C34" w:rsidRDefault="00006C34" w:rsidP="00006C34">
            <w:pPr>
              <w:rPr>
                <w:lang w:val="en-GB" w:bidi="ar-EG"/>
              </w:rPr>
            </w:pPr>
          </w:p>
        </w:tc>
      </w:tr>
      <w:tr w:rsidR="00006C34" w:rsidRPr="00006C34" w14:paraId="4F85AD4F" w14:textId="77777777" w:rsidTr="006857C1">
        <w:tc>
          <w:tcPr>
            <w:tcW w:w="808" w:type="pct"/>
            <w:shd w:val="clear" w:color="auto" w:fill="auto"/>
          </w:tcPr>
          <w:p w14:paraId="02BBA714" w14:textId="77777777" w:rsidR="00006C34" w:rsidRPr="00006C34" w:rsidRDefault="00006C34" w:rsidP="00006C34">
            <w:pPr>
              <w:rPr>
                <w:lang w:val="en-GB" w:bidi="ar-EG"/>
              </w:rPr>
            </w:pPr>
          </w:p>
        </w:tc>
        <w:tc>
          <w:tcPr>
            <w:tcW w:w="1944" w:type="pct"/>
            <w:tcBorders>
              <w:right w:val="single" w:sz="8" w:space="0" w:color="auto"/>
            </w:tcBorders>
            <w:shd w:val="clear" w:color="auto" w:fill="auto"/>
          </w:tcPr>
          <w:p w14:paraId="74056B4D" w14:textId="77777777" w:rsidR="00006C34" w:rsidRPr="00006C34" w:rsidRDefault="00006C34" w:rsidP="00006C34">
            <w:pPr>
              <w:rPr>
                <w:lang w:val="en-GB" w:bidi="ar-EG"/>
              </w:rPr>
            </w:pPr>
          </w:p>
        </w:tc>
        <w:tc>
          <w:tcPr>
            <w:tcW w:w="850" w:type="pct"/>
            <w:tcBorders>
              <w:left w:val="single" w:sz="8" w:space="0" w:color="auto"/>
            </w:tcBorders>
            <w:shd w:val="clear" w:color="auto" w:fill="auto"/>
          </w:tcPr>
          <w:p w14:paraId="0EF25C4B" w14:textId="77777777" w:rsidR="00006C34" w:rsidRPr="00006C34" w:rsidRDefault="00006C34" w:rsidP="00006C34">
            <w:pPr>
              <w:rPr>
                <w:lang w:val="ar-SA" w:bidi="ar-EG"/>
              </w:rPr>
            </w:pPr>
            <w:r w:rsidRPr="00006C34">
              <w:rPr>
                <w:rtl/>
              </w:rPr>
              <w:t>بتاريخ:</w:t>
            </w:r>
          </w:p>
        </w:tc>
        <w:tc>
          <w:tcPr>
            <w:tcW w:w="1398" w:type="pct"/>
            <w:shd w:val="clear" w:color="auto" w:fill="auto"/>
          </w:tcPr>
          <w:p w14:paraId="02CB6245" w14:textId="77777777" w:rsidR="00006C34" w:rsidRPr="00006C34" w:rsidRDefault="00006C34" w:rsidP="00006C34">
            <w:pPr>
              <w:rPr>
                <w:lang w:val="ar-SA" w:bidi="ar-EG"/>
              </w:rPr>
            </w:pPr>
            <w:r w:rsidRPr="00006C34">
              <w:rPr>
                <w:highlight w:val="green"/>
                <w:rtl/>
              </w:rPr>
              <w:t>[المكان،] [التاريخ]</w:t>
            </w:r>
          </w:p>
        </w:tc>
      </w:tr>
    </w:tbl>
    <w:p w14:paraId="0AD049FF" w14:textId="77777777" w:rsidR="00AA7464" w:rsidRDefault="00006C34" w:rsidP="00365FF4">
      <w:pPr>
        <w:spacing w:before="360"/>
        <w:rPr>
          <w:rtl/>
        </w:rPr>
      </w:pPr>
      <w:r w:rsidRPr="00006C34">
        <w:rPr>
          <w:rtl/>
        </w:rPr>
        <w:t xml:space="preserve">حضرات السادة والسيدات، </w:t>
      </w:r>
    </w:p>
    <w:p w14:paraId="56568B0A" w14:textId="6EB758A3" w:rsidR="00006C34" w:rsidRPr="00006C34" w:rsidRDefault="00006C34" w:rsidP="00AA7464">
      <w:pPr>
        <w:spacing w:before="240"/>
        <w:rPr>
          <w:lang w:val="ar-SA" w:bidi="ar-EG"/>
        </w:rPr>
      </w:pPr>
      <w:r w:rsidRPr="00006C34">
        <w:rPr>
          <w:rtl/>
        </w:rPr>
        <w:t>تحية طيبة وبعد،</w:t>
      </w:r>
    </w:p>
    <w:p w14:paraId="5120D938" w14:textId="77777777" w:rsidR="00006C34" w:rsidRPr="00006C34" w:rsidRDefault="00006C34" w:rsidP="00AA7464">
      <w:pPr>
        <w:spacing w:after="120"/>
        <w:rPr>
          <w:lang w:val="ar-SA" w:bidi="ar-EG"/>
        </w:rPr>
      </w:pPr>
      <w:r w:rsidRPr="00006C34">
        <w:rPr>
          <w:rtl/>
        </w:rPr>
        <w:t>فيما يتعلق بمشاورة الدول الأعضاء بشأن مشاريع النصوص المحددة المدرجة في الرسالة المعممة 234 من مكتب تقييس الاتصالات، أود أن أحيطكم علماً برأي هذه الإدارة الوارد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387"/>
      </w:tblGrid>
      <w:tr w:rsidR="00006C34" w:rsidRPr="00006C34" w14:paraId="4DA62011" w14:textId="77777777" w:rsidTr="00B358E4">
        <w:trPr>
          <w:tblHeader/>
        </w:trPr>
        <w:tc>
          <w:tcPr>
            <w:tcW w:w="1164" w:type="pct"/>
            <w:shd w:val="clear" w:color="auto" w:fill="auto"/>
            <w:vAlign w:val="center"/>
          </w:tcPr>
          <w:p w14:paraId="743A2A55" w14:textId="77777777" w:rsidR="00006C34" w:rsidRPr="00006C34" w:rsidRDefault="00006C34" w:rsidP="00006C34">
            <w:pPr>
              <w:rPr>
                <w:b/>
                <w:bCs/>
                <w:lang w:val="en-GB" w:bidi="ar-EG"/>
              </w:rPr>
            </w:pPr>
          </w:p>
        </w:tc>
        <w:tc>
          <w:tcPr>
            <w:tcW w:w="3836" w:type="pct"/>
            <w:shd w:val="clear" w:color="auto" w:fill="auto"/>
            <w:vAlign w:val="center"/>
          </w:tcPr>
          <w:p w14:paraId="7676FBC8" w14:textId="77777777" w:rsidR="00006C34" w:rsidRPr="00006C34" w:rsidRDefault="00006C34" w:rsidP="00C02906">
            <w:pPr>
              <w:jc w:val="center"/>
              <w:rPr>
                <w:b/>
                <w:bCs/>
                <w:lang w:val="ar-SA" w:bidi="ar-EG"/>
              </w:rPr>
            </w:pPr>
            <w:r w:rsidRPr="00006C34">
              <w:rPr>
                <w:b/>
                <w:bCs/>
                <w:rtl/>
              </w:rPr>
              <w:t>اختر أحد المربعين</w:t>
            </w:r>
          </w:p>
        </w:tc>
      </w:tr>
      <w:tr w:rsidR="00006C34" w:rsidRPr="00006C34" w14:paraId="329EE8B5" w14:textId="77777777" w:rsidTr="00B358E4">
        <w:trPr>
          <w:trHeight w:val="748"/>
        </w:trPr>
        <w:tc>
          <w:tcPr>
            <w:tcW w:w="1164" w:type="pct"/>
            <w:vMerge w:val="restart"/>
            <w:shd w:val="clear" w:color="auto" w:fill="auto"/>
            <w:vAlign w:val="center"/>
          </w:tcPr>
          <w:p w14:paraId="7929021E" w14:textId="57F055C4" w:rsidR="00006C34" w:rsidRPr="00006C34" w:rsidRDefault="00006C34" w:rsidP="009B64FE">
            <w:pPr>
              <w:jc w:val="center"/>
              <w:rPr>
                <w:b/>
                <w:bCs/>
                <w:lang w:val="ar-SA" w:bidi="ar-EG"/>
              </w:rPr>
            </w:pPr>
            <w:r w:rsidRPr="00006C34">
              <w:rPr>
                <w:b/>
                <w:bCs/>
                <w:rtl/>
              </w:rPr>
              <w:t xml:space="preserve">مشروع التوصية الجديدة </w:t>
            </w:r>
            <w:r w:rsidR="00C02906">
              <w:rPr>
                <w:b/>
                <w:bCs/>
              </w:rPr>
              <w:t>ITU-T F.743.27</w:t>
            </w:r>
            <w:r w:rsidRPr="00006C34">
              <w:rPr>
                <w:b/>
                <w:bCs/>
                <w:rtl/>
              </w:rPr>
              <w:t xml:space="preserve"> (</w:t>
            </w:r>
            <w:proofErr w:type="gramStart"/>
            <w:r w:rsidRPr="00006C34">
              <w:rPr>
                <w:b/>
                <w:bCs/>
                <w:rtl/>
              </w:rPr>
              <w:t>F.IVSP</w:t>
            </w:r>
            <w:proofErr w:type="gramEnd"/>
            <w:r w:rsidRPr="00006C34">
              <w:rPr>
                <w:b/>
                <w:bCs/>
                <w:rtl/>
              </w:rPr>
              <w:t>-PGI سابقاً</w:t>
            </w:r>
            <w:r w:rsidR="009B64FE">
              <w:rPr>
                <w:b/>
                <w:bCs/>
                <w:lang w:val="en-GB" w:bidi="ar-EG"/>
              </w:rPr>
              <w:t>(</w:t>
            </w:r>
          </w:p>
        </w:tc>
        <w:tc>
          <w:tcPr>
            <w:tcW w:w="3836" w:type="pct"/>
            <w:shd w:val="clear" w:color="auto" w:fill="auto"/>
            <w:vAlign w:val="center"/>
          </w:tcPr>
          <w:p w14:paraId="35431FDA" w14:textId="42BB0CE9" w:rsidR="00006C34" w:rsidRPr="00006C34" w:rsidRDefault="00B358E4" w:rsidP="000A1D1C">
            <w:pPr>
              <w:ind w:left="454" w:hanging="454"/>
              <w:rPr>
                <w:lang w:val="ar-SA" w:bidi="ar-EG"/>
              </w:rPr>
            </w:pPr>
            <w:sdt>
              <w:sdtPr>
                <w:rPr>
                  <w:rtl/>
                </w:rPr>
                <w:id w:val="-355195961"/>
                <w14:checkbox>
                  <w14:checked w14:val="0"/>
                  <w14:checkedState w14:val="2612" w14:font="MS Gothic"/>
                  <w14:uncheckedState w14:val="2610" w14:font="MS Gothic"/>
                </w14:checkbox>
              </w:sdtPr>
              <w:sdtEndPr/>
              <w:sdtContent>
                <w:r w:rsidR="009B64FE">
                  <w:rPr>
                    <w:rFonts w:ascii="Segoe UI Symbol" w:eastAsia="MS Gothic" w:hAnsi="Segoe UI Symbol" w:cs="Segoe UI Symbol" w:hint="cs"/>
                    <w:rtl/>
                  </w:rPr>
                  <w:t>☐</w:t>
                </w:r>
              </w:sdtContent>
            </w:sdt>
            <w:r w:rsidR="00006C34" w:rsidRPr="00006C34">
              <w:rPr>
                <w:rtl/>
              </w:rPr>
              <w:tab/>
            </w:r>
            <w:r w:rsidR="00006C34" w:rsidRPr="00006C34">
              <w:rPr>
                <w:b/>
                <w:bCs/>
                <w:rtl/>
              </w:rPr>
              <w:t>تُسنَد إلى</w:t>
            </w:r>
            <w:r w:rsidR="00006C34" w:rsidRPr="00006C34">
              <w:rPr>
                <w:rtl/>
              </w:rPr>
              <w:t xml:space="preserve"> لجنة الدراسات </w:t>
            </w:r>
            <w:r w:rsidR="00006C34" w:rsidRPr="00006C34">
              <w:rPr>
                <w:lang w:val="en-GB" w:bidi="ar-EG"/>
              </w:rPr>
              <w:t>C</w:t>
            </w:r>
            <w:r w:rsidR="00771464">
              <w:rPr>
                <w:rFonts w:hint="cs"/>
                <w:rtl/>
                <w:lang w:val="en-GB"/>
              </w:rPr>
              <w:t xml:space="preserve"> </w:t>
            </w:r>
            <w:r w:rsidR="00771464" w:rsidRPr="00006C34">
              <w:rPr>
                <w:rFonts w:hint="cs"/>
                <w:rtl/>
              </w:rPr>
              <w:t>(الناتجة</w:t>
            </w:r>
            <w:r w:rsidR="00006C34" w:rsidRPr="00006C34">
              <w:rPr>
                <w:rtl/>
              </w:rPr>
              <w:t xml:space="preserve"> عن دمج لجنتي الدراسات 9 و16 بقطاع تقييس الاتصالات) سلطة النظر في هذا النص للموافقة عليه (وفي هذه الحالة، اختر أحد الخيارين):</w:t>
            </w:r>
          </w:p>
          <w:p w14:paraId="6B29B7D9" w14:textId="7CF7C817" w:rsidR="00006C34" w:rsidRPr="00006C34" w:rsidRDefault="000C7252" w:rsidP="000A1D1C">
            <w:pPr>
              <w:tabs>
                <w:tab w:val="clear" w:pos="794"/>
                <w:tab w:val="left" w:pos="407"/>
              </w:tabs>
              <w:rPr>
                <w:lang w:val="ar-SA" w:bidi="ar-EG"/>
              </w:rPr>
            </w:pPr>
            <w:r>
              <w:rPr>
                <w:rtl/>
              </w:rPr>
              <w:tab/>
            </w:r>
            <w:sdt>
              <w:sdtPr>
                <w:rPr>
                  <w:rtl/>
                </w:rPr>
                <w:id w:val="63770381"/>
                <w14:checkbox>
                  <w14:checked w14:val="0"/>
                  <w14:checkedState w14:val="2612" w14:font="MS Gothic"/>
                  <w14:uncheckedState w14:val="2610" w14:font="MS Gothic"/>
                </w14:checkbox>
              </w:sdtPr>
              <w:sdtEndPr/>
              <w:sdtContent>
                <w:r>
                  <w:rPr>
                    <w:rFonts w:ascii="MS Gothic" w:eastAsia="MS Gothic" w:hAnsi="MS Gothic" w:hint="eastAsia"/>
                    <w:rtl/>
                  </w:rPr>
                  <w:t>☐</w:t>
                </w:r>
              </w:sdtContent>
            </w:sdt>
            <w:r w:rsidRPr="00006C34">
              <w:rPr>
                <w:rtl/>
              </w:rPr>
              <w:tab/>
            </w:r>
            <w:r w:rsidR="00006C34" w:rsidRPr="00006C34">
              <w:rPr>
                <w:rtl/>
              </w:rPr>
              <w:t>لا توجد تعليقات أو تغييرات مقترحة</w:t>
            </w:r>
          </w:p>
          <w:p w14:paraId="3A7EEEE0" w14:textId="1079598E" w:rsidR="00006C34" w:rsidRPr="00006C34" w:rsidRDefault="000C7252" w:rsidP="000A1D1C">
            <w:pPr>
              <w:tabs>
                <w:tab w:val="clear" w:pos="794"/>
                <w:tab w:val="left" w:pos="407"/>
              </w:tabs>
              <w:rPr>
                <w:lang w:val="ar-SA" w:bidi="ar-EG"/>
              </w:rPr>
            </w:pPr>
            <w:r>
              <w:rPr>
                <w:rtl/>
              </w:rPr>
              <w:tab/>
            </w:r>
            <w:sdt>
              <w:sdtPr>
                <w:rPr>
                  <w:rtl/>
                </w:rPr>
                <w:id w:val="-404609165"/>
                <w14:checkbox>
                  <w14:checked w14:val="0"/>
                  <w14:checkedState w14:val="2612" w14:font="MS Gothic"/>
                  <w14:uncheckedState w14:val="2610" w14:font="MS Gothic"/>
                </w14:checkbox>
              </w:sdtPr>
              <w:sdtEndPr/>
              <w:sdtContent>
                <w:r w:rsidR="000A1D1C">
                  <w:rPr>
                    <w:rFonts w:ascii="MS Gothic" w:eastAsia="MS Gothic" w:hAnsi="MS Gothic" w:hint="eastAsia"/>
                    <w:rtl/>
                  </w:rPr>
                  <w:t>☐</w:t>
                </w:r>
              </w:sdtContent>
            </w:sdt>
            <w:r w:rsidR="00006C34" w:rsidRPr="00006C34">
              <w:rPr>
                <w:rtl/>
              </w:rPr>
              <w:tab/>
              <w:t>التعليقات والتغييرات المقترحة مرفقة</w:t>
            </w:r>
          </w:p>
        </w:tc>
      </w:tr>
      <w:tr w:rsidR="00006C34" w:rsidRPr="00006C34" w14:paraId="715EEDF3" w14:textId="77777777" w:rsidTr="00B358E4">
        <w:trPr>
          <w:trHeight w:val="747"/>
        </w:trPr>
        <w:tc>
          <w:tcPr>
            <w:tcW w:w="1164" w:type="pct"/>
            <w:vMerge/>
            <w:shd w:val="clear" w:color="auto" w:fill="auto"/>
            <w:vAlign w:val="center"/>
          </w:tcPr>
          <w:p w14:paraId="15523FB9" w14:textId="77777777" w:rsidR="00006C34" w:rsidRPr="00006C34" w:rsidRDefault="00006C34" w:rsidP="00006C34">
            <w:pPr>
              <w:rPr>
                <w:b/>
                <w:bCs/>
                <w:lang w:val="en-GB" w:bidi="ar-EG"/>
              </w:rPr>
            </w:pPr>
          </w:p>
        </w:tc>
        <w:tc>
          <w:tcPr>
            <w:tcW w:w="3836" w:type="pct"/>
            <w:shd w:val="clear" w:color="auto" w:fill="auto"/>
            <w:vAlign w:val="center"/>
          </w:tcPr>
          <w:p w14:paraId="0F635921" w14:textId="74899E9E" w:rsidR="00006C34" w:rsidRPr="00006C34" w:rsidRDefault="00B358E4" w:rsidP="000A1D1C">
            <w:pPr>
              <w:ind w:left="454" w:hanging="454"/>
              <w:rPr>
                <w:lang w:val="ar-SA" w:bidi="ar-EG"/>
              </w:rPr>
            </w:pPr>
            <w:sdt>
              <w:sdtPr>
                <w:rPr>
                  <w:rtl/>
                </w:rPr>
                <w:id w:val="-225151283"/>
                <w14:checkbox>
                  <w14:checked w14:val="0"/>
                  <w14:checkedState w14:val="2612" w14:font="MS Gothic"/>
                  <w14:uncheckedState w14:val="2610" w14:font="MS Gothic"/>
                </w14:checkbox>
              </w:sdtPr>
              <w:sdtEndPr/>
              <w:sdtContent>
                <w:r w:rsidR="009B64FE">
                  <w:rPr>
                    <w:rFonts w:ascii="Segoe UI Symbol" w:eastAsia="MS Gothic" w:hAnsi="Segoe UI Symbol" w:cs="Segoe UI Symbol" w:hint="cs"/>
                    <w:rtl/>
                  </w:rPr>
                  <w:t>☐</w:t>
                </w:r>
              </w:sdtContent>
            </w:sdt>
            <w:r w:rsidR="00006C34" w:rsidRPr="00006C34">
              <w:rPr>
                <w:rtl/>
              </w:rPr>
              <w:tab/>
            </w:r>
            <w:r w:rsidR="00006C34" w:rsidRPr="00006C34">
              <w:rPr>
                <w:b/>
                <w:bCs/>
                <w:rtl/>
              </w:rPr>
              <w:t>لا تخوَّل</w:t>
            </w:r>
            <w:r w:rsidR="00006C34" w:rsidRPr="00006C34">
              <w:rPr>
                <w:rtl/>
              </w:rPr>
              <w:t xml:space="preserve"> لجنة الدراسات </w:t>
            </w:r>
            <w:r w:rsidR="00006C34" w:rsidRPr="00006C34">
              <w:rPr>
                <w:lang w:val="en-GB" w:bidi="ar-EG"/>
              </w:rPr>
              <w:t>C</w:t>
            </w:r>
            <w:r w:rsidR="00006C34" w:rsidRPr="00006C34">
              <w:rPr>
                <w:rtl/>
              </w:rPr>
              <w:t xml:space="preserve"> بسلطة النظر في هذا النص للموافقة عليه (مرفق طيه أسباب هذا الرأي وموجز للتغييرات الممكنة التي من شأنها أن تمكن من إحراز تقدم في العمل)</w:t>
            </w:r>
          </w:p>
        </w:tc>
      </w:tr>
      <w:tr w:rsidR="00006C34" w:rsidRPr="00006C34" w14:paraId="4EB1E400" w14:textId="77777777" w:rsidTr="00B358E4">
        <w:trPr>
          <w:trHeight w:val="748"/>
        </w:trPr>
        <w:tc>
          <w:tcPr>
            <w:tcW w:w="1164" w:type="pct"/>
            <w:vMerge w:val="restart"/>
            <w:shd w:val="clear" w:color="auto" w:fill="auto"/>
            <w:vAlign w:val="center"/>
          </w:tcPr>
          <w:p w14:paraId="61DB6E7F" w14:textId="0C4302EC" w:rsidR="00006C34" w:rsidRPr="00006C34" w:rsidRDefault="00006C34" w:rsidP="00707928">
            <w:pPr>
              <w:jc w:val="center"/>
              <w:rPr>
                <w:b/>
                <w:bCs/>
                <w:lang w:val="ar-SA" w:bidi="ar-EG"/>
              </w:rPr>
            </w:pPr>
            <w:r w:rsidRPr="00006C34">
              <w:rPr>
                <w:b/>
                <w:bCs/>
                <w:rtl/>
              </w:rPr>
              <w:t xml:space="preserve">مشروع التوصية الجديدة </w:t>
            </w:r>
            <w:r w:rsidR="00707928" w:rsidRPr="00707928">
              <w:rPr>
                <w:b/>
                <w:bCs/>
                <w:lang w:val="fr-CH"/>
              </w:rPr>
              <w:t>ITU-T F.743.28</w:t>
            </w:r>
            <w:r w:rsidRPr="00006C34">
              <w:rPr>
                <w:b/>
                <w:bCs/>
                <w:rtl/>
              </w:rPr>
              <w:t xml:space="preserve"> (</w:t>
            </w:r>
            <w:proofErr w:type="gramStart"/>
            <w:r w:rsidRPr="00006C34">
              <w:rPr>
                <w:b/>
                <w:bCs/>
                <w:rtl/>
              </w:rPr>
              <w:t>F.RIIS</w:t>
            </w:r>
            <w:proofErr w:type="gramEnd"/>
            <w:r w:rsidRPr="00006C34">
              <w:rPr>
                <w:b/>
                <w:bCs/>
                <w:rtl/>
              </w:rPr>
              <w:t>-CEC سابقاً</w:t>
            </w:r>
            <w:r w:rsidR="009B64FE">
              <w:rPr>
                <w:b/>
                <w:bCs/>
                <w:lang w:val="en-GB" w:bidi="ar-EG"/>
              </w:rPr>
              <w:t>(</w:t>
            </w:r>
          </w:p>
        </w:tc>
        <w:tc>
          <w:tcPr>
            <w:tcW w:w="3836" w:type="pct"/>
            <w:shd w:val="clear" w:color="auto" w:fill="auto"/>
            <w:vAlign w:val="center"/>
          </w:tcPr>
          <w:p w14:paraId="3A2AFBA4" w14:textId="15163A71" w:rsidR="00006C34" w:rsidRPr="00006C34" w:rsidRDefault="00B358E4" w:rsidP="000A1D1C">
            <w:pPr>
              <w:ind w:left="454" w:hanging="454"/>
              <w:rPr>
                <w:lang w:val="ar-SA" w:bidi="ar-EG"/>
              </w:rPr>
            </w:pPr>
            <w:sdt>
              <w:sdtPr>
                <w:rPr>
                  <w:rtl/>
                </w:rPr>
                <w:id w:val="1373962791"/>
                <w14:checkbox>
                  <w14:checked w14:val="0"/>
                  <w14:checkedState w14:val="2612" w14:font="MS Gothic"/>
                  <w14:uncheckedState w14:val="2610" w14:font="MS Gothic"/>
                </w14:checkbox>
              </w:sdtPr>
              <w:sdtEndPr/>
              <w:sdtContent>
                <w:r w:rsidR="009B64FE">
                  <w:rPr>
                    <w:rFonts w:ascii="Segoe UI Symbol" w:eastAsia="MS Gothic" w:hAnsi="Segoe UI Symbol" w:cs="Segoe UI Symbol" w:hint="cs"/>
                    <w:rtl/>
                  </w:rPr>
                  <w:t>☐</w:t>
                </w:r>
              </w:sdtContent>
            </w:sdt>
            <w:r w:rsidR="00006C34" w:rsidRPr="00006C34">
              <w:rPr>
                <w:rtl/>
              </w:rPr>
              <w:tab/>
            </w:r>
            <w:r w:rsidR="00006C34" w:rsidRPr="00006C34">
              <w:rPr>
                <w:b/>
                <w:bCs/>
                <w:rtl/>
              </w:rPr>
              <w:t>تُسنَد إلى</w:t>
            </w:r>
            <w:r w:rsidR="00006C34" w:rsidRPr="00006C34">
              <w:rPr>
                <w:rtl/>
              </w:rPr>
              <w:t xml:space="preserve"> لجنة الدراسات </w:t>
            </w:r>
            <w:r w:rsidR="00006C34" w:rsidRPr="00006C34">
              <w:rPr>
                <w:lang w:val="en-GB" w:bidi="ar-EG"/>
              </w:rPr>
              <w:t>C</w:t>
            </w:r>
            <w:r w:rsidR="009B64FE">
              <w:rPr>
                <w:rFonts w:hint="cs"/>
                <w:rtl/>
                <w:lang w:val="en-GB"/>
              </w:rPr>
              <w:t xml:space="preserve"> </w:t>
            </w:r>
            <w:r w:rsidR="00006C34" w:rsidRPr="00006C34">
              <w:rPr>
                <w:rtl/>
              </w:rPr>
              <w:t>(الناتجة عن دمج لجنتي الدراسات 9 و16 بقطاع تقييس الاتصالات) سلطة النظر في هذا النص للموافقة عليه (وفي هذه الحالة، اختر أحد الخيارين):</w:t>
            </w:r>
          </w:p>
          <w:p w14:paraId="1E04A5EF" w14:textId="32FD3E42" w:rsidR="00006C34" w:rsidRPr="00006C34" w:rsidRDefault="000A1D1C" w:rsidP="000A1D1C">
            <w:pPr>
              <w:tabs>
                <w:tab w:val="clear" w:pos="794"/>
                <w:tab w:val="left" w:pos="407"/>
              </w:tabs>
              <w:rPr>
                <w:lang w:val="ar-SA" w:bidi="ar-EG"/>
              </w:rPr>
            </w:pPr>
            <w:r>
              <w:rPr>
                <w:rtl/>
              </w:rPr>
              <w:tab/>
            </w:r>
            <w:sdt>
              <w:sdtPr>
                <w:rPr>
                  <w:rtl/>
                </w:rPr>
                <w:id w:val="469556216"/>
                <w14:checkbox>
                  <w14:checked w14:val="0"/>
                  <w14:checkedState w14:val="2612" w14:font="MS Gothic"/>
                  <w14:uncheckedState w14:val="2610" w14:font="MS Gothic"/>
                </w14:checkbox>
              </w:sdtPr>
              <w:sdtEndPr/>
              <w:sdtContent>
                <w:r>
                  <w:rPr>
                    <w:rFonts w:ascii="MS Gothic" w:eastAsia="MS Gothic" w:hAnsi="MS Gothic" w:hint="eastAsia"/>
                    <w:rtl/>
                  </w:rPr>
                  <w:t>☐</w:t>
                </w:r>
              </w:sdtContent>
            </w:sdt>
            <w:r w:rsidRPr="00006C34">
              <w:rPr>
                <w:rtl/>
              </w:rPr>
              <w:tab/>
            </w:r>
            <w:r w:rsidR="00006C34" w:rsidRPr="00006C34">
              <w:rPr>
                <w:rtl/>
              </w:rPr>
              <w:t>لا توجد تعليقات أو تغييرات مقترحة</w:t>
            </w:r>
          </w:p>
          <w:p w14:paraId="335E961F" w14:textId="443B0392" w:rsidR="00006C34" w:rsidRPr="00006C34" w:rsidRDefault="000A1D1C" w:rsidP="000A1D1C">
            <w:pPr>
              <w:tabs>
                <w:tab w:val="clear" w:pos="794"/>
                <w:tab w:val="right" w:pos="407"/>
                <w:tab w:val="right" w:pos="508"/>
              </w:tabs>
              <w:rPr>
                <w:lang w:val="ar-SA" w:bidi="ar-EG"/>
              </w:rPr>
            </w:pPr>
            <w:r>
              <w:rPr>
                <w:rtl/>
              </w:rPr>
              <w:tab/>
            </w:r>
            <w:r>
              <w:rPr>
                <w:rtl/>
              </w:rPr>
              <w:tab/>
            </w:r>
            <w:sdt>
              <w:sdtPr>
                <w:rPr>
                  <w:rtl/>
                </w:rPr>
                <w:id w:val="-165638910"/>
                <w14:checkbox>
                  <w14:checked w14:val="0"/>
                  <w14:checkedState w14:val="2612" w14:font="MS Gothic"/>
                  <w14:uncheckedState w14:val="2610" w14:font="MS Gothic"/>
                </w14:checkbox>
              </w:sdtPr>
              <w:sdtEndPr/>
              <w:sdtContent>
                <w:r>
                  <w:rPr>
                    <w:rFonts w:ascii="MS Gothic" w:eastAsia="MS Gothic" w:hAnsi="MS Gothic" w:hint="eastAsia"/>
                    <w:rtl/>
                  </w:rPr>
                  <w:t>☐</w:t>
                </w:r>
              </w:sdtContent>
            </w:sdt>
            <w:r w:rsidRPr="00006C34">
              <w:rPr>
                <w:rtl/>
              </w:rPr>
              <w:tab/>
            </w:r>
            <w:r w:rsidR="00006C34" w:rsidRPr="00006C34">
              <w:rPr>
                <w:rtl/>
              </w:rPr>
              <w:t>التعليقات والتغييرات المقترحة مرفقة</w:t>
            </w:r>
          </w:p>
        </w:tc>
      </w:tr>
      <w:tr w:rsidR="00006C34" w:rsidRPr="00006C34" w14:paraId="70F4892E" w14:textId="77777777" w:rsidTr="00B358E4">
        <w:trPr>
          <w:trHeight w:val="747"/>
        </w:trPr>
        <w:tc>
          <w:tcPr>
            <w:tcW w:w="1164" w:type="pct"/>
            <w:vMerge/>
            <w:shd w:val="clear" w:color="auto" w:fill="auto"/>
            <w:vAlign w:val="center"/>
          </w:tcPr>
          <w:p w14:paraId="1984AB72" w14:textId="77777777" w:rsidR="00006C34" w:rsidRPr="00006C34" w:rsidRDefault="00006C34" w:rsidP="00006C34">
            <w:pPr>
              <w:rPr>
                <w:b/>
                <w:bCs/>
                <w:lang w:val="en-GB" w:bidi="ar-EG"/>
              </w:rPr>
            </w:pPr>
          </w:p>
        </w:tc>
        <w:tc>
          <w:tcPr>
            <w:tcW w:w="3836" w:type="pct"/>
            <w:shd w:val="clear" w:color="auto" w:fill="auto"/>
            <w:vAlign w:val="center"/>
          </w:tcPr>
          <w:p w14:paraId="11B1E6EB" w14:textId="3CC3817A" w:rsidR="00006C34" w:rsidRPr="00006C34" w:rsidRDefault="00B358E4" w:rsidP="000A1D1C">
            <w:pPr>
              <w:ind w:left="454" w:hanging="454"/>
              <w:rPr>
                <w:lang w:val="ar-SA" w:bidi="ar-EG"/>
              </w:rPr>
            </w:pPr>
            <w:sdt>
              <w:sdtPr>
                <w:rPr>
                  <w:rtl/>
                </w:rPr>
                <w:id w:val="71632457"/>
                <w14:checkbox>
                  <w14:checked w14:val="0"/>
                  <w14:checkedState w14:val="2612" w14:font="MS Gothic"/>
                  <w14:uncheckedState w14:val="2610" w14:font="MS Gothic"/>
                </w14:checkbox>
              </w:sdtPr>
              <w:sdtEndPr/>
              <w:sdtContent>
                <w:r w:rsidR="009B64FE">
                  <w:rPr>
                    <w:rFonts w:ascii="Segoe UI Symbol" w:eastAsia="MS Gothic" w:hAnsi="Segoe UI Symbol" w:cs="Segoe UI Symbol" w:hint="cs"/>
                    <w:rtl/>
                  </w:rPr>
                  <w:t>☐</w:t>
                </w:r>
              </w:sdtContent>
            </w:sdt>
            <w:r w:rsidR="00006C34" w:rsidRPr="00006C34">
              <w:rPr>
                <w:rtl/>
              </w:rPr>
              <w:tab/>
            </w:r>
            <w:r w:rsidR="00006C34" w:rsidRPr="00006C34">
              <w:rPr>
                <w:b/>
                <w:bCs/>
                <w:rtl/>
              </w:rPr>
              <w:t>لا تخوَّل</w:t>
            </w:r>
            <w:r w:rsidR="00006C34" w:rsidRPr="00006C34">
              <w:rPr>
                <w:rtl/>
              </w:rPr>
              <w:t xml:space="preserve"> لجنة الدراسات </w:t>
            </w:r>
            <w:r w:rsidR="00006C34" w:rsidRPr="00006C34">
              <w:rPr>
                <w:lang w:val="en-GB" w:bidi="ar-EG"/>
              </w:rPr>
              <w:t>C</w:t>
            </w:r>
            <w:r w:rsidR="00006C34" w:rsidRPr="00006C34">
              <w:rPr>
                <w:rtl/>
              </w:rPr>
              <w:t xml:space="preserve"> بسلطة النظر في هذا النص للموافقة عليه (مرفق طيه أسباب هذا الرأي وموجز للتغييرات الممكنة التي من شأنها أن تمكن من إحراز تقدم في العمل)</w:t>
            </w:r>
          </w:p>
        </w:tc>
      </w:tr>
    </w:tbl>
    <w:p w14:paraId="51DCD06B" w14:textId="77777777" w:rsidR="00006C34" w:rsidRPr="00006C34" w:rsidRDefault="00006C34" w:rsidP="00707928">
      <w:pPr>
        <w:spacing w:before="240"/>
        <w:rPr>
          <w:lang w:val="ar-SA" w:bidi="ar-EG"/>
        </w:rPr>
      </w:pPr>
      <w:r w:rsidRPr="00006C34">
        <w:rPr>
          <w:rtl/>
        </w:rPr>
        <w:t>وتفضلوا بقبول فائق الاحترام،</w:t>
      </w:r>
    </w:p>
    <w:p w14:paraId="39248D2C" w14:textId="77777777" w:rsidR="00006C34" w:rsidRPr="00C02906" w:rsidRDefault="00006C34" w:rsidP="00006C34">
      <w:pPr>
        <w:rPr>
          <w:highlight w:val="green"/>
          <w:lang w:val="ar-SA" w:bidi="ar-EG"/>
        </w:rPr>
      </w:pPr>
      <w:r w:rsidRPr="00C02906">
        <w:rPr>
          <w:highlight w:val="green"/>
          <w:rtl/>
        </w:rPr>
        <w:t>[الاسم]</w:t>
      </w:r>
    </w:p>
    <w:p w14:paraId="4A489565" w14:textId="77777777" w:rsidR="00006C34" w:rsidRPr="00006C34" w:rsidRDefault="00006C34" w:rsidP="00006C34">
      <w:pPr>
        <w:rPr>
          <w:highlight w:val="green"/>
          <w:lang w:val="ar-SA" w:bidi="ar-EG"/>
        </w:rPr>
      </w:pPr>
      <w:r w:rsidRPr="00C02906">
        <w:rPr>
          <w:highlight w:val="green"/>
          <w:rtl/>
        </w:rPr>
        <w:t>[الدور/اللقب الرسمي]</w:t>
      </w:r>
    </w:p>
    <w:p w14:paraId="2EC326D0" w14:textId="4C1390FF" w:rsidR="00006C34" w:rsidRDefault="00006C34" w:rsidP="009B64FE">
      <w:pPr>
        <w:rPr>
          <w:rtl/>
        </w:rPr>
      </w:pPr>
      <w:r w:rsidRPr="00C02906">
        <w:rPr>
          <w:rtl/>
        </w:rPr>
        <w:t xml:space="preserve">إدارة </w:t>
      </w:r>
      <w:r w:rsidRPr="00006C34">
        <w:rPr>
          <w:highlight w:val="green"/>
          <w:rtl/>
        </w:rPr>
        <w:t>[الدولة العضو]</w:t>
      </w:r>
    </w:p>
    <w:p w14:paraId="7691DE3C" w14:textId="453C23BC" w:rsidR="00771464" w:rsidRPr="00006C34" w:rsidRDefault="00771464" w:rsidP="00365FF4">
      <w:pPr>
        <w:spacing w:before="26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71464" w:rsidRPr="00006C34"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6CED" w14:textId="77777777" w:rsidR="00006C34" w:rsidRDefault="00006C34" w:rsidP="006C3242">
      <w:pPr>
        <w:spacing w:before="0" w:line="240" w:lineRule="auto"/>
      </w:pPr>
      <w:r>
        <w:separator/>
      </w:r>
    </w:p>
  </w:endnote>
  <w:endnote w:type="continuationSeparator" w:id="0">
    <w:p w14:paraId="43D3728D" w14:textId="77777777" w:rsidR="00006C34" w:rsidRDefault="00006C3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DDF3" w14:textId="3153810F"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1B5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4AE8" w14:textId="77777777" w:rsidR="00006C34" w:rsidRDefault="00006C34" w:rsidP="006C3242">
      <w:pPr>
        <w:spacing w:before="0" w:line="240" w:lineRule="auto"/>
      </w:pPr>
      <w:r>
        <w:separator/>
      </w:r>
    </w:p>
  </w:footnote>
  <w:footnote w:type="continuationSeparator" w:id="0">
    <w:p w14:paraId="40E3915F" w14:textId="77777777" w:rsidR="00006C34" w:rsidRDefault="00006C3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E73C" w14:textId="783D3318" w:rsidR="00447F32" w:rsidRPr="00596808" w:rsidRDefault="00596808" w:rsidP="005A560B">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5A560B" w:rsidRPr="005A560B">
      <w:rPr>
        <w:sz w:val="20"/>
        <w:szCs w:val="20"/>
        <w:lang w:val="en-GB" w:bidi="ar-EG"/>
      </w:rPr>
      <w:fldChar w:fldCharType="begin" w:fldLock="1"/>
    </w:r>
    <w:r w:rsidR="005A560B" w:rsidRPr="005A560B">
      <w:rPr>
        <w:sz w:val="20"/>
        <w:szCs w:val="20"/>
        <w:lang w:val="en-GB" w:bidi="ar-EG"/>
      </w:rPr>
      <w:instrText xml:space="preserve"> styleref Docnumber </w:instrText>
    </w:r>
    <w:r w:rsidR="005A560B" w:rsidRPr="005A560B">
      <w:rPr>
        <w:sz w:val="20"/>
        <w:szCs w:val="20"/>
        <w:lang w:val="en-GB" w:bidi="ar-EG"/>
      </w:rPr>
      <w:fldChar w:fldCharType="separate"/>
    </w:r>
    <w:r w:rsidR="005A560B" w:rsidRPr="005A560B">
      <w:rPr>
        <w:sz w:val="20"/>
        <w:szCs w:val="20"/>
        <w:lang w:val="en-GB" w:bidi="ar-EG"/>
      </w:rPr>
      <w:t>TSB Circular 234</w:t>
    </w:r>
    <w:r w:rsidR="005A560B" w:rsidRPr="005A560B">
      <w:rPr>
        <w:sz w:val="20"/>
        <w:szCs w:val="20"/>
        <w:lang w:bidi="ar-EG"/>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34"/>
    <w:rsid w:val="00002A63"/>
    <w:rsid w:val="00006C34"/>
    <w:rsid w:val="000420DD"/>
    <w:rsid w:val="0006468A"/>
    <w:rsid w:val="0008223B"/>
    <w:rsid w:val="00090574"/>
    <w:rsid w:val="000A1D1C"/>
    <w:rsid w:val="000C1C0E"/>
    <w:rsid w:val="000C548A"/>
    <w:rsid w:val="000C7252"/>
    <w:rsid w:val="000E327F"/>
    <w:rsid w:val="0011242B"/>
    <w:rsid w:val="00146FE2"/>
    <w:rsid w:val="001C0169"/>
    <w:rsid w:val="001D1D50"/>
    <w:rsid w:val="001D6745"/>
    <w:rsid w:val="001E446E"/>
    <w:rsid w:val="001F2ADD"/>
    <w:rsid w:val="002154EE"/>
    <w:rsid w:val="002276D2"/>
    <w:rsid w:val="0023283D"/>
    <w:rsid w:val="0026373E"/>
    <w:rsid w:val="00271C43"/>
    <w:rsid w:val="00290728"/>
    <w:rsid w:val="002978F4"/>
    <w:rsid w:val="002B028D"/>
    <w:rsid w:val="002E196B"/>
    <w:rsid w:val="002E6541"/>
    <w:rsid w:val="00334924"/>
    <w:rsid w:val="003409BC"/>
    <w:rsid w:val="00357185"/>
    <w:rsid w:val="00365FF4"/>
    <w:rsid w:val="00383829"/>
    <w:rsid w:val="003A3046"/>
    <w:rsid w:val="003C7EDF"/>
    <w:rsid w:val="003F4B29"/>
    <w:rsid w:val="00400EC6"/>
    <w:rsid w:val="0042686F"/>
    <w:rsid w:val="004317D8"/>
    <w:rsid w:val="00431CCC"/>
    <w:rsid w:val="00434183"/>
    <w:rsid w:val="00443869"/>
    <w:rsid w:val="00447F32"/>
    <w:rsid w:val="004E11DC"/>
    <w:rsid w:val="00525DDD"/>
    <w:rsid w:val="005409AC"/>
    <w:rsid w:val="0055516A"/>
    <w:rsid w:val="005731DD"/>
    <w:rsid w:val="0058491B"/>
    <w:rsid w:val="00592EA5"/>
    <w:rsid w:val="00595B52"/>
    <w:rsid w:val="00596808"/>
    <w:rsid w:val="005A3170"/>
    <w:rsid w:val="005A560B"/>
    <w:rsid w:val="00644969"/>
    <w:rsid w:val="006635B2"/>
    <w:rsid w:val="00677396"/>
    <w:rsid w:val="00681E5C"/>
    <w:rsid w:val="006857C1"/>
    <w:rsid w:val="0069200F"/>
    <w:rsid w:val="006A3D0F"/>
    <w:rsid w:val="006A65CB"/>
    <w:rsid w:val="006C1530"/>
    <w:rsid w:val="006C3242"/>
    <w:rsid w:val="006C7CC0"/>
    <w:rsid w:val="006D00C2"/>
    <w:rsid w:val="006E1BAD"/>
    <w:rsid w:val="006E6264"/>
    <w:rsid w:val="006F63F7"/>
    <w:rsid w:val="007025C7"/>
    <w:rsid w:val="00706D7A"/>
    <w:rsid w:val="00707928"/>
    <w:rsid w:val="00722C6A"/>
    <w:rsid w:val="00722F0D"/>
    <w:rsid w:val="0074420E"/>
    <w:rsid w:val="00771464"/>
    <w:rsid w:val="00783E26"/>
    <w:rsid w:val="007A6492"/>
    <w:rsid w:val="007C3BC7"/>
    <w:rsid w:val="007C3BCD"/>
    <w:rsid w:val="007D4ACF"/>
    <w:rsid w:val="007F0787"/>
    <w:rsid w:val="00807031"/>
    <w:rsid w:val="00810B7B"/>
    <w:rsid w:val="0082358A"/>
    <w:rsid w:val="008235CD"/>
    <w:rsid w:val="008247DE"/>
    <w:rsid w:val="00840B10"/>
    <w:rsid w:val="008513CB"/>
    <w:rsid w:val="00873469"/>
    <w:rsid w:val="00877F4B"/>
    <w:rsid w:val="00887028"/>
    <w:rsid w:val="00891703"/>
    <w:rsid w:val="00893DA3"/>
    <w:rsid w:val="008A7F84"/>
    <w:rsid w:val="008B1463"/>
    <w:rsid w:val="0091702E"/>
    <w:rsid w:val="00923B0C"/>
    <w:rsid w:val="00926F44"/>
    <w:rsid w:val="0094021C"/>
    <w:rsid w:val="0094432F"/>
    <w:rsid w:val="00952F86"/>
    <w:rsid w:val="00982B28"/>
    <w:rsid w:val="00982E70"/>
    <w:rsid w:val="009B64FE"/>
    <w:rsid w:val="009D313F"/>
    <w:rsid w:val="00A17A02"/>
    <w:rsid w:val="00A47A5A"/>
    <w:rsid w:val="00A47D23"/>
    <w:rsid w:val="00A52745"/>
    <w:rsid w:val="00A644D0"/>
    <w:rsid w:val="00A6683B"/>
    <w:rsid w:val="00A77C90"/>
    <w:rsid w:val="00A9156F"/>
    <w:rsid w:val="00A97F94"/>
    <w:rsid w:val="00AA7464"/>
    <w:rsid w:val="00AA7EA2"/>
    <w:rsid w:val="00AF6B5C"/>
    <w:rsid w:val="00B03099"/>
    <w:rsid w:val="00B05BC8"/>
    <w:rsid w:val="00B20D91"/>
    <w:rsid w:val="00B358E4"/>
    <w:rsid w:val="00B64B47"/>
    <w:rsid w:val="00B916A7"/>
    <w:rsid w:val="00BB0F08"/>
    <w:rsid w:val="00C002DE"/>
    <w:rsid w:val="00C02906"/>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031"/>
    <w:rsid w:val="00DC24B4"/>
    <w:rsid w:val="00DC5FB0"/>
    <w:rsid w:val="00DD1EBB"/>
    <w:rsid w:val="00DF16DC"/>
    <w:rsid w:val="00E45211"/>
    <w:rsid w:val="00E473C5"/>
    <w:rsid w:val="00E84438"/>
    <w:rsid w:val="00E92863"/>
    <w:rsid w:val="00EB796D"/>
    <w:rsid w:val="00EC1562"/>
    <w:rsid w:val="00F058DC"/>
    <w:rsid w:val="00F24FC4"/>
    <w:rsid w:val="00F2676C"/>
    <w:rsid w:val="00F52941"/>
    <w:rsid w:val="00F84366"/>
    <w:rsid w:val="00F85089"/>
    <w:rsid w:val="00F90F2D"/>
    <w:rsid w:val="00F974C5"/>
    <w:rsid w:val="00FA6F46"/>
    <w:rsid w:val="00FE5872"/>
    <w:rsid w:val="00FE7FCA"/>
    <w:rsid w:val="00FF0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84E9"/>
  <w15:chartTrackingRefBased/>
  <w15:docId w15:val="{90AF1E17-4C14-46AC-A596-F5CA593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A47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6-R-003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T22-SG16-R-0029/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2.xml><?xml version="1.0" encoding="utf-8"?>
<ds:datastoreItem xmlns:ds="http://schemas.openxmlformats.org/officeDocument/2006/customXml" ds:itemID="{9E304D37-4E10-4738-BB72-52C69DFC52CD}"/>
</file>

<file path=customXml/itemProps3.xml><?xml version="1.0" encoding="utf-8"?>
<ds:datastoreItem xmlns:ds="http://schemas.openxmlformats.org/officeDocument/2006/customXml" ds:itemID="{2E90DBE9-EBED-4127-B101-7C5C5A2780C1}"/>
</file>

<file path=customXml/itemProps4.xml><?xml version="1.0" encoding="utf-8"?>
<ds:datastoreItem xmlns:ds="http://schemas.openxmlformats.org/officeDocument/2006/customXml" ds:itemID="{F8D341CF-EAB0-4F50-9E1F-B45E9F96FCC1}"/>
</file>

<file path=docProps/app.xml><?xml version="1.0" encoding="utf-8"?>
<Properties xmlns="http://schemas.openxmlformats.org/officeDocument/2006/extended-properties" xmlns:vt="http://schemas.openxmlformats.org/officeDocument/2006/docPropsVTypes">
  <Template>PA_TSB CIRC.dotx</Template>
  <TotalTime>71</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Arabic_AA</cp:lastModifiedBy>
  <cp:revision>9</cp:revision>
  <dcterms:created xsi:type="dcterms:W3CDTF">2024-10-09T08:25:00Z</dcterms:created>
  <dcterms:modified xsi:type="dcterms:W3CDTF">2024-10-14T12:31:00Z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