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06" w:type="dxa"/>
        <w:tblInd w:w="8" w:type="dxa"/>
        <w:tblLayout w:type="fixed"/>
        <w:tblLook w:val="0000" w:firstRow="0" w:lastRow="0" w:firstColumn="0" w:lastColumn="0" w:noHBand="0" w:noVBand="0"/>
      </w:tblPr>
      <w:tblGrid>
        <w:gridCol w:w="1409"/>
        <w:gridCol w:w="3470"/>
        <w:gridCol w:w="5327"/>
      </w:tblGrid>
      <w:tr w:rsidR="007B6316" w14:paraId="57C19FE3" w14:textId="77777777" w:rsidTr="00CE7291">
        <w:trPr>
          <w:cantSplit/>
          <w:trHeight w:val="340"/>
        </w:trPr>
        <w:tc>
          <w:tcPr>
            <w:tcW w:w="1409" w:type="dxa"/>
          </w:tcPr>
          <w:p w14:paraId="4073FDEF" w14:textId="77777777" w:rsidR="007B6316" w:rsidRDefault="007B6316" w:rsidP="00303D62">
            <w:pPr>
              <w:tabs>
                <w:tab w:val="left" w:pos="4111"/>
              </w:tabs>
              <w:spacing w:before="10"/>
              <w:ind w:left="57"/>
              <w:rPr>
                <w:sz w:val="22"/>
              </w:rPr>
            </w:pPr>
            <w:r w:rsidRPr="00F1238A">
              <w:rPr>
                <w:noProof/>
                <w:lang w:val="en-US" w:eastAsia="zh-CN"/>
              </w:rPr>
              <w:drawing>
                <wp:inline distT="0" distB="0" distL="0" distR="0" wp14:anchorId="7AF7EF1A" wp14:editId="149CAE9C">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797" w:type="dxa"/>
            <w:gridSpan w:val="2"/>
            <w:vAlign w:val="center"/>
          </w:tcPr>
          <w:p w14:paraId="3CE1A100" w14:textId="77777777" w:rsidR="007B6316" w:rsidRPr="00081FE5" w:rsidRDefault="007B6316" w:rsidP="007B6316">
            <w:pPr>
              <w:spacing w:before="0"/>
              <w:rPr>
                <w:rFonts w:cs="Times New Roman Bold"/>
                <w:b/>
                <w:bCs/>
                <w:smallCaps/>
                <w:sz w:val="26"/>
                <w:szCs w:val="26"/>
              </w:rPr>
            </w:pPr>
            <w:r w:rsidRPr="00081FE5">
              <w:rPr>
                <w:rFonts w:cs="Times New Roman Bold"/>
                <w:b/>
                <w:bCs/>
                <w:smallCaps/>
                <w:sz w:val="36"/>
                <w:szCs w:val="36"/>
              </w:rPr>
              <w:t>Unión Internacional de Telecomunicaciones</w:t>
            </w:r>
          </w:p>
          <w:p w14:paraId="36EA5B69" w14:textId="77777777" w:rsidR="007B6316" w:rsidRDefault="007B6316" w:rsidP="007B6316">
            <w:pPr>
              <w:spacing w:before="0"/>
            </w:pPr>
            <w:r w:rsidRPr="007B6316">
              <w:rPr>
                <w:rFonts w:cs="Times New Roman Bold"/>
                <w:b/>
                <w:bCs/>
                <w:smallCaps/>
                <w:sz w:val="28"/>
                <w:szCs w:val="28"/>
              </w:rPr>
              <w:t>Oficina</w:t>
            </w:r>
            <w:r w:rsidRPr="007B6316">
              <w:rPr>
                <w:rFonts w:cs="Times New Roman Bold"/>
                <w:b/>
                <w:bCs/>
                <w:iCs/>
                <w:smallCaps/>
                <w:sz w:val="22"/>
                <w:szCs w:val="22"/>
              </w:rPr>
              <w:t xml:space="preserve"> </w:t>
            </w:r>
            <w:r w:rsidRPr="00081FE5">
              <w:rPr>
                <w:rFonts w:cs="Times New Roman Bold"/>
                <w:b/>
                <w:bCs/>
                <w:iCs/>
                <w:smallCaps/>
                <w:sz w:val="28"/>
                <w:szCs w:val="28"/>
              </w:rPr>
              <w:t>de Normalización de las Telecomunicaciones</w:t>
            </w:r>
          </w:p>
        </w:tc>
      </w:tr>
      <w:tr w:rsidR="007B6316" w14:paraId="29942F58" w14:textId="77777777" w:rsidTr="00CE7291">
        <w:trPr>
          <w:cantSplit/>
          <w:trHeight w:val="340"/>
        </w:trPr>
        <w:tc>
          <w:tcPr>
            <w:tcW w:w="1409" w:type="dxa"/>
          </w:tcPr>
          <w:p w14:paraId="3A1FB203" w14:textId="77777777" w:rsidR="007B6316" w:rsidRPr="007B6316" w:rsidRDefault="007B6316" w:rsidP="00101541">
            <w:pPr>
              <w:spacing w:after="120"/>
            </w:pPr>
          </w:p>
        </w:tc>
        <w:tc>
          <w:tcPr>
            <w:tcW w:w="3470" w:type="dxa"/>
          </w:tcPr>
          <w:p w14:paraId="6CFD022A" w14:textId="77777777" w:rsidR="007B6316" w:rsidRDefault="007B6316" w:rsidP="00101541"/>
        </w:tc>
        <w:tc>
          <w:tcPr>
            <w:tcW w:w="5327" w:type="dxa"/>
          </w:tcPr>
          <w:p w14:paraId="414906BC" w14:textId="37225000" w:rsidR="007B6316" w:rsidRDefault="00CE7291" w:rsidP="00101541">
            <w:r w:rsidRPr="00CE7291">
              <w:t>Ginebra, 25 de julio de 2024</w:t>
            </w:r>
          </w:p>
        </w:tc>
      </w:tr>
      <w:tr w:rsidR="001350B9" w14:paraId="2099D7D1" w14:textId="77777777" w:rsidTr="00CE7291">
        <w:trPr>
          <w:cantSplit/>
          <w:trHeight w:val="340"/>
        </w:trPr>
        <w:tc>
          <w:tcPr>
            <w:tcW w:w="1409" w:type="dxa"/>
          </w:tcPr>
          <w:p w14:paraId="6931DA5A" w14:textId="1C97CDAF" w:rsidR="001350B9" w:rsidRPr="00101541" w:rsidRDefault="001350B9" w:rsidP="00101541">
            <w:pPr>
              <w:spacing w:before="40" w:after="40"/>
            </w:pPr>
            <w:r w:rsidRPr="001350B9">
              <w:t>Ref.:</w:t>
            </w:r>
          </w:p>
        </w:tc>
        <w:tc>
          <w:tcPr>
            <w:tcW w:w="3470" w:type="dxa"/>
          </w:tcPr>
          <w:p w14:paraId="38928B4F" w14:textId="544DCC1E" w:rsidR="001350B9" w:rsidRPr="00101541" w:rsidRDefault="001350B9" w:rsidP="00101541">
            <w:pPr>
              <w:spacing w:before="40"/>
              <w:rPr>
                <w:b/>
                <w:bCs/>
              </w:rPr>
            </w:pPr>
            <w:r w:rsidRPr="00101541">
              <w:rPr>
                <w:b/>
                <w:bCs/>
              </w:rPr>
              <w:t xml:space="preserve">Circular TSB </w:t>
            </w:r>
            <w:r w:rsidR="00CE7291">
              <w:rPr>
                <w:b/>
                <w:bCs/>
              </w:rPr>
              <w:t>223</w:t>
            </w:r>
          </w:p>
          <w:p w14:paraId="6B133364" w14:textId="248E84A4" w:rsidR="001350B9" w:rsidRDefault="007467CC" w:rsidP="00101541">
            <w:pPr>
              <w:spacing w:before="0" w:after="40"/>
            </w:pPr>
            <w:r>
              <w:t>CE </w:t>
            </w:r>
            <w:r w:rsidR="00CE7291" w:rsidRPr="00CE7291">
              <w:t>11/DA</w:t>
            </w:r>
          </w:p>
        </w:tc>
        <w:tc>
          <w:tcPr>
            <w:tcW w:w="5327" w:type="dxa"/>
            <w:vMerge w:val="restart"/>
          </w:tcPr>
          <w:p w14:paraId="43F6A64B" w14:textId="77777777" w:rsidR="00101541" w:rsidRPr="00FB1474" w:rsidRDefault="00101541" w:rsidP="00101541">
            <w:pPr>
              <w:spacing w:before="40" w:after="40"/>
              <w:rPr>
                <w:b/>
                <w:bCs/>
              </w:rPr>
            </w:pPr>
            <w:bookmarkStart w:id="0" w:name="Addressee_S"/>
            <w:bookmarkEnd w:id="0"/>
            <w:r w:rsidRPr="00FB1474">
              <w:rPr>
                <w:b/>
                <w:bCs/>
              </w:rPr>
              <w:t>A:</w:t>
            </w:r>
          </w:p>
          <w:p w14:paraId="5AA785C7" w14:textId="49C487C8" w:rsidR="001350B9" w:rsidRDefault="00101541" w:rsidP="00101541">
            <w:pPr>
              <w:tabs>
                <w:tab w:val="clear" w:pos="794"/>
                <w:tab w:val="left" w:pos="390"/>
              </w:tabs>
              <w:spacing w:before="40" w:after="40"/>
              <w:ind w:left="390" w:hanging="390"/>
            </w:pPr>
            <w:r w:rsidRPr="00153C97">
              <w:t>–</w:t>
            </w:r>
            <w:r w:rsidR="001350B9">
              <w:tab/>
              <w:t>las Administraciones de los Estados Miembros de la Unión</w:t>
            </w:r>
          </w:p>
          <w:p w14:paraId="13070E09" w14:textId="3BC3064D" w:rsidR="00CE7291" w:rsidRPr="00FB1474" w:rsidRDefault="00CE7291" w:rsidP="00CE7291">
            <w:pPr>
              <w:spacing w:before="40" w:after="40"/>
              <w:rPr>
                <w:b/>
                <w:bCs/>
              </w:rPr>
            </w:pPr>
            <w:r w:rsidRPr="00CE7291">
              <w:rPr>
                <w:b/>
                <w:bCs/>
              </w:rPr>
              <w:t>Copia a:</w:t>
            </w:r>
          </w:p>
          <w:p w14:paraId="6631833E" w14:textId="61F7F4F9" w:rsidR="001350B9" w:rsidRDefault="00101541" w:rsidP="00101541">
            <w:pPr>
              <w:tabs>
                <w:tab w:val="clear" w:pos="794"/>
                <w:tab w:val="left" w:pos="390"/>
              </w:tabs>
              <w:spacing w:before="40" w:after="40"/>
            </w:pPr>
            <w:r w:rsidRPr="00153C97">
              <w:t>–</w:t>
            </w:r>
            <w:r w:rsidR="001350B9">
              <w:tab/>
              <w:t xml:space="preserve">los Miembros de Sector </w:t>
            </w:r>
            <w:r w:rsidR="00BA6F31">
              <w:t xml:space="preserve">del </w:t>
            </w:r>
            <w:r w:rsidR="001350B9">
              <w:t>UIT</w:t>
            </w:r>
            <w:r w:rsidR="001350B9">
              <w:noBreakHyphen/>
              <w:t>T;</w:t>
            </w:r>
          </w:p>
          <w:p w14:paraId="1484DD3C" w14:textId="5EDD6650" w:rsidR="001350B9" w:rsidRDefault="00101541" w:rsidP="00CE7291">
            <w:pPr>
              <w:tabs>
                <w:tab w:val="clear" w:pos="794"/>
                <w:tab w:val="left" w:pos="390"/>
              </w:tabs>
              <w:spacing w:before="40" w:after="40"/>
              <w:ind w:left="390" w:hanging="390"/>
            </w:pPr>
            <w:r w:rsidRPr="00153C97">
              <w:t>–</w:t>
            </w:r>
            <w:r w:rsidR="001350B9">
              <w:tab/>
            </w:r>
            <w:r w:rsidR="00CE7291" w:rsidRPr="00CE7291">
              <w:t>los Asociados que participan en los trabajos de la Comisión de Estudio 11 del UIT-T</w:t>
            </w:r>
            <w:r w:rsidR="001350B9">
              <w:t>;</w:t>
            </w:r>
          </w:p>
          <w:p w14:paraId="4827F600" w14:textId="2E80DDB4" w:rsidR="001350B9" w:rsidRDefault="00101541" w:rsidP="00101541">
            <w:pPr>
              <w:tabs>
                <w:tab w:val="clear" w:pos="794"/>
                <w:tab w:val="left" w:pos="390"/>
              </w:tabs>
              <w:spacing w:before="40" w:after="40"/>
            </w:pPr>
            <w:r w:rsidRPr="00153C97">
              <w:t>–</w:t>
            </w:r>
            <w:r w:rsidR="001350B9">
              <w:tab/>
              <w:t>las Instituciones Académicas de</w:t>
            </w:r>
            <w:r w:rsidR="00BA6F31">
              <w:t xml:space="preserve"> </w:t>
            </w:r>
            <w:r w:rsidR="001350B9">
              <w:t>l</w:t>
            </w:r>
            <w:r w:rsidR="00BA6F31">
              <w:t>a</w:t>
            </w:r>
            <w:r w:rsidR="001350B9">
              <w:t xml:space="preserve"> </w:t>
            </w:r>
            <w:r w:rsidR="001350B9" w:rsidRPr="00665FBD">
              <w:t>UIT</w:t>
            </w:r>
            <w:r w:rsidR="001350B9">
              <w:t>;</w:t>
            </w:r>
          </w:p>
          <w:p w14:paraId="40154879" w14:textId="4743100E" w:rsidR="001350B9" w:rsidRDefault="00101541" w:rsidP="00CE7291">
            <w:pPr>
              <w:tabs>
                <w:tab w:val="clear" w:pos="794"/>
                <w:tab w:val="left" w:pos="390"/>
              </w:tabs>
              <w:spacing w:before="40" w:after="40"/>
              <w:ind w:left="390" w:hanging="390"/>
            </w:pPr>
            <w:r w:rsidRPr="00153C97">
              <w:t>–</w:t>
            </w:r>
            <w:r w:rsidR="001350B9">
              <w:tab/>
            </w:r>
            <w:r w:rsidR="00CE7291" w:rsidRPr="00CE7291">
              <w:rPr>
                <w:lang w:val="es-ES"/>
              </w:rPr>
              <w:t xml:space="preserve">el </w:t>
            </w:r>
            <w:proofErr w:type="gramStart"/>
            <w:r w:rsidR="00CE7291" w:rsidRPr="00CE7291">
              <w:rPr>
                <w:lang w:val="es-ES"/>
              </w:rPr>
              <w:t>Presidente</w:t>
            </w:r>
            <w:proofErr w:type="gramEnd"/>
            <w:r w:rsidR="00CE7291" w:rsidRPr="00CE7291">
              <w:rPr>
                <w:lang w:val="es-ES"/>
              </w:rPr>
              <w:t xml:space="preserve"> y a los Vicepresidentes de la Comisión de Estudio 11 del UIT-T</w:t>
            </w:r>
            <w:r w:rsidR="001350B9">
              <w:t>;</w:t>
            </w:r>
          </w:p>
          <w:p w14:paraId="0B8A2812" w14:textId="4CF983FE" w:rsidR="001350B9" w:rsidRDefault="00101541" w:rsidP="00CE7291">
            <w:pPr>
              <w:tabs>
                <w:tab w:val="clear" w:pos="794"/>
                <w:tab w:val="left" w:pos="390"/>
              </w:tabs>
              <w:spacing w:before="40" w:after="40"/>
              <w:ind w:left="390" w:hanging="390"/>
            </w:pPr>
            <w:r w:rsidRPr="00153C97">
              <w:t>–</w:t>
            </w:r>
            <w:r w:rsidR="001350B9">
              <w:tab/>
            </w:r>
            <w:r w:rsidR="00CE7291" w:rsidRPr="00CE7291">
              <w:rPr>
                <w:lang w:val="es-ES"/>
              </w:rPr>
              <w:t xml:space="preserve">el </w:t>
            </w:r>
            <w:proofErr w:type="gramStart"/>
            <w:r w:rsidR="00CE7291" w:rsidRPr="00CE7291">
              <w:rPr>
                <w:lang w:val="es-ES"/>
              </w:rPr>
              <w:t>Director</w:t>
            </w:r>
            <w:proofErr w:type="gramEnd"/>
            <w:r w:rsidR="00CE7291" w:rsidRPr="00CE7291">
              <w:rPr>
                <w:lang w:val="es-ES"/>
              </w:rPr>
              <w:t xml:space="preserve"> de la Oficina de Desarrollo de las Telecomunicaciones</w:t>
            </w:r>
            <w:r w:rsidR="001350B9">
              <w:t>;</w:t>
            </w:r>
          </w:p>
          <w:p w14:paraId="4E2FF369" w14:textId="70B87030" w:rsidR="001350B9" w:rsidRDefault="00101541" w:rsidP="00101541">
            <w:pPr>
              <w:tabs>
                <w:tab w:val="clear" w:pos="794"/>
                <w:tab w:val="left" w:pos="390"/>
              </w:tabs>
              <w:spacing w:before="40" w:after="40"/>
              <w:ind w:left="390" w:hanging="390"/>
            </w:pPr>
            <w:r w:rsidRPr="00153C97">
              <w:t>–</w:t>
            </w:r>
            <w:r w:rsidR="001350B9">
              <w:tab/>
            </w:r>
            <w:r>
              <w:t>e</w:t>
            </w:r>
            <w:r w:rsidR="001350B9">
              <w:t xml:space="preserve">l </w:t>
            </w:r>
            <w:proofErr w:type="gramStart"/>
            <w:r w:rsidR="001350B9">
              <w:t>Director</w:t>
            </w:r>
            <w:proofErr w:type="gramEnd"/>
            <w:r w:rsidR="001350B9">
              <w:t xml:space="preserve"> de la Oficina de Radiocomunicaciones</w:t>
            </w:r>
          </w:p>
        </w:tc>
      </w:tr>
      <w:tr w:rsidR="001350B9" w14:paraId="1A010FF9" w14:textId="77777777" w:rsidTr="00CE7291">
        <w:trPr>
          <w:cantSplit/>
        </w:trPr>
        <w:tc>
          <w:tcPr>
            <w:tcW w:w="1409" w:type="dxa"/>
          </w:tcPr>
          <w:p w14:paraId="48F92A24" w14:textId="77777777" w:rsidR="001350B9" w:rsidRPr="00101541" w:rsidRDefault="001350B9" w:rsidP="00101541">
            <w:pPr>
              <w:spacing w:before="40" w:after="40"/>
            </w:pPr>
            <w:r w:rsidRPr="00101541">
              <w:t>Tel.:</w:t>
            </w:r>
          </w:p>
        </w:tc>
        <w:tc>
          <w:tcPr>
            <w:tcW w:w="3470" w:type="dxa"/>
          </w:tcPr>
          <w:p w14:paraId="19D29048" w14:textId="0C04F277" w:rsidR="001350B9" w:rsidRPr="00101541" w:rsidRDefault="00CE7291" w:rsidP="00101541">
            <w:pPr>
              <w:spacing w:before="40" w:after="40"/>
            </w:pPr>
            <w:r w:rsidRPr="00CE7291">
              <w:t>+41 22 730 5780</w:t>
            </w:r>
          </w:p>
        </w:tc>
        <w:tc>
          <w:tcPr>
            <w:tcW w:w="5327" w:type="dxa"/>
            <w:vMerge/>
          </w:tcPr>
          <w:p w14:paraId="3DF5CE88" w14:textId="77777777" w:rsidR="001350B9" w:rsidRDefault="001350B9" w:rsidP="00303D62">
            <w:pPr>
              <w:tabs>
                <w:tab w:val="left" w:pos="226"/>
                <w:tab w:val="left" w:pos="510"/>
              </w:tabs>
              <w:spacing w:before="0"/>
              <w:ind w:left="226" w:hanging="169"/>
              <w:rPr>
                <w:b/>
              </w:rPr>
            </w:pPr>
          </w:p>
        </w:tc>
      </w:tr>
      <w:tr w:rsidR="001350B9" w14:paraId="07D56EDD" w14:textId="77777777" w:rsidTr="00CE7291">
        <w:trPr>
          <w:cantSplit/>
        </w:trPr>
        <w:tc>
          <w:tcPr>
            <w:tcW w:w="1409" w:type="dxa"/>
          </w:tcPr>
          <w:p w14:paraId="35CE91C2" w14:textId="77777777" w:rsidR="001350B9" w:rsidRPr="00101541" w:rsidRDefault="001350B9" w:rsidP="00101541">
            <w:pPr>
              <w:spacing w:before="40" w:after="40"/>
            </w:pPr>
            <w:r w:rsidRPr="00101541">
              <w:t>Fax:</w:t>
            </w:r>
          </w:p>
        </w:tc>
        <w:tc>
          <w:tcPr>
            <w:tcW w:w="3470" w:type="dxa"/>
          </w:tcPr>
          <w:p w14:paraId="50BA9232" w14:textId="77777777" w:rsidR="001350B9" w:rsidRPr="00101541" w:rsidRDefault="001350B9" w:rsidP="00101541">
            <w:pPr>
              <w:spacing w:before="40" w:after="40"/>
            </w:pPr>
            <w:r>
              <w:t>+41 22 730 5853</w:t>
            </w:r>
          </w:p>
        </w:tc>
        <w:tc>
          <w:tcPr>
            <w:tcW w:w="5327" w:type="dxa"/>
            <w:vMerge/>
          </w:tcPr>
          <w:p w14:paraId="20877663" w14:textId="77777777" w:rsidR="001350B9" w:rsidRDefault="001350B9" w:rsidP="00303D62">
            <w:pPr>
              <w:tabs>
                <w:tab w:val="left" w:pos="226"/>
                <w:tab w:val="left" w:pos="510"/>
              </w:tabs>
              <w:spacing w:before="0"/>
              <w:ind w:left="226" w:hanging="169"/>
              <w:rPr>
                <w:b/>
              </w:rPr>
            </w:pPr>
          </w:p>
        </w:tc>
      </w:tr>
      <w:tr w:rsidR="001350B9" w14:paraId="30FF827C" w14:textId="77777777" w:rsidTr="00CE7291">
        <w:trPr>
          <w:cantSplit/>
        </w:trPr>
        <w:tc>
          <w:tcPr>
            <w:tcW w:w="1409" w:type="dxa"/>
          </w:tcPr>
          <w:p w14:paraId="220ABEEC" w14:textId="77777777" w:rsidR="001350B9" w:rsidRPr="00101541" w:rsidRDefault="001350B9" w:rsidP="00101541">
            <w:pPr>
              <w:spacing w:before="40" w:after="40"/>
            </w:pPr>
            <w:r w:rsidRPr="00101541">
              <w:t>Correo-e:</w:t>
            </w:r>
          </w:p>
        </w:tc>
        <w:tc>
          <w:tcPr>
            <w:tcW w:w="3470" w:type="dxa"/>
          </w:tcPr>
          <w:p w14:paraId="114B24C6" w14:textId="370B8B73" w:rsidR="001350B9" w:rsidRDefault="00CE0B7E" w:rsidP="00101541">
            <w:pPr>
              <w:spacing w:before="40" w:after="40"/>
            </w:pPr>
            <w:hyperlink r:id="rId9" w:history="1">
              <w:r w:rsidR="00CE7291" w:rsidRPr="00671E82">
                <w:rPr>
                  <w:rStyle w:val="Hyperlink"/>
                </w:rPr>
                <w:t>tsbsg11@itu.int</w:t>
              </w:r>
            </w:hyperlink>
          </w:p>
        </w:tc>
        <w:tc>
          <w:tcPr>
            <w:tcW w:w="5327" w:type="dxa"/>
            <w:vMerge/>
          </w:tcPr>
          <w:p w14:paraId="0ACE8CE2" w14:textId="77777777" w:rsidR="001350B9" w:rsidRDefault="001350B9" w:rsidP="00303D62">
            <w:pPr>
              <w:tabs>
                <w:tab w:val="clear" w:pos="794"/>
                <w:tab w:val="clear" w:pos="1191"/>
                <w:tab w:val="clear" w:pos="1588"/>
                <w:tab w:val="clear" w:pos="1985"/>
                <w:tab w:val="left" w:pos="226"/>
                <w:tab w:val="left" w:pos="510"/>
              </w:tabs>
              <w:spacing w:before="0"/>
              <w:ind w:left="226" w:hanging="169"/>
            </w:pPr>
          </w:p>
        </w:tc>
      </w:tr>
      <w:tr w:rsidR="007B6316" w14:paraId="7F4E66DD" w14:textId="77777777" w:rsidTr="00CE7291">
        <w:trPr>
          <w:cantSplit/>
        </w:trPr>
        <w:tc>
          <w:tcPr>
            <w:tcW w:w="1409" w:type="dxa"/>
          </w:tcPr>
          <w:p w14:paraId="7BBE0879" w14:textId="77777777" w:rsidR="007B6316" w:rsidRPr="00101541" w:rsidRDefault="007B6316" w:rsidP="00101541">
            <w:r w:rsidRPr="00101541">
              <w:t>Asunto:</w:t>
            </w:r>
          </w:p>
        </w:tc>
        <w:tc>
          <w:tcPr>
            <w:tcW w:w="8797" w:type="dxa"/>
            <w:gridSpan w:val="2"/>
          </w:tcPr>
          <w:p w14:paraId="445801EB" w14:textId="7A9B88CB" w:rsidR="007B6316" w:rsidRDefault="00CE7291" w:rsidP="00CE7291">
            <w:r w:rsidRPr="00CE7291">
              <w:rPr>
                <w:b/>
                <w:lang w:val="es-ES"/>
              </w:rPr>
              <w:t xml:space="preserve">Consulta a los Estados Miembros sobre los proyectos de </w:t>
            </w:r>
            <w:bookmarkStart w:id="1" w:name="_Hlk50107354"/>
            <w:r w:rsidRPr="00CE7291">
              <w:rPr>
                <w:b/>
                <w:lang w:val="es-ES"/>
              </w:rPr>
              <w:t>Recomendación determinada</w:t>
            </w:r>
            <w:bookmarkEnd w:id="1"/>
            <w:r w:rsidRPr="00CE7291">
              <w:rPr>
                <w:b/>
                <w:lang w:val="es-ES"/>
              </w:rPr>
              <w:t xml:space="preserve"> UIT-T Q.5054 (ex. Q.CCF-CCSD) y UIT-T Q.5010 (ex. </w:t>
            </w:r>
            <w:proofErr w:type="gramStart"/>
            <w:r w:rsidRPr="00CE7291">
              <w:rPr>
                <w:b/>
                <w:lang w:val="es-ES"/>
              </w:rPr>
              <w:t>Q.UAMS</w:t>
            </w:r>
            <w:proofErr w:type="gramEnd"/>
            <w:r w:rsidRPr="00CE7291">
              <w:rPr>
                <w:b/>
                <w:lang w:val="es-ES"/>
              </w:rPr>
              <w:t>-SRA) propuestos para su aprobación en la reunión de la Comisión de Estudio</w:t>
            </w:r>
            <w:r w:rsidR="004F5C21">
              <w:rPr>
                <w:b/>
                <w:lang w:val="es-ES"/>
              </w:rPr>
              <w:t> </w:t>
            </w:r>
            <w:r w:rsidRPr="00CE7291">
              <w:rPr>
                <w:b/>
                <w:lang w:val="es-ES"/>
              </w:rPr>
              <w:t>11 del UIT-T (prevista en Ginebra del 19 al 28 de febrero de 2025)</w:t>
            </w:r>
          </w:p>
        </w:tc>
      </w:tr>
    </w:tbl>
    <w:p w14:paraId="7DCD2BF6" w14:textId="77777777" w:rsidR="00C34772" w:rsidRDefault="00C34772" w:rsidP="00101541">
      <w:pPr>
        <w:pStyle w:val="Normalaftertitle"/>
      </w:pPr>
      <w:bookmarkStart w:id="2" w:name="StartTyping_S"/>
      <w:bookmarkStart w:id="3" w:name="suitetext"/>
      <w:bookmarkStart w:id="4" w:name="text"/>
      <w:bookmarkEnd w:id="2"/>
      <w:bookmarkEnd w:id="3"/>
      <w:bookmarkEnd w:id="4"/>
      <w:r>
        <w:t>Muy Señora mía/Muy Señor mío:</w:t>
      </w:r>
    </w:p>
    <w:p w14:paraId="52500689" w14:textId="2A3ACE48" w:rsidR="00CE7291" w:rsidRPr="00CE7291" w:rsidRDefault="00CE7291" w:rsidP="00CE7291">
      <w:pPr>
        <w:rPr>
          <w:lang w:val="es-ES"/>
        </w:rPr>
      </w:pPr>
      <w:r w:rsidRPr="00CE7291">
        <w:rPr>
          <w:lang w:val="es-ES"/>
        </w:rPr>
        <w:t>1</w:t>
      </w:r>
      <w:r w:rsidRPr="00CE7291">
        <w:rPr>
          <w:lang w:val="es-ES"/>
        </w:rPr>
        <w:tab/>
      </w:r>
      <w:proofErr w:type="gramStart"/>
      <w:r w:rsidRPr="00CE7291">
        <w:rPr>
          <w:lang w:val="es-ES"/>
        </w:rPr>
        <w:t>La</w:t>
      </w:r>
      <w:proofErr w:type="gramEnd"/>
      <w:r w:rsidRPr="00CE7291">
        <w:rPr>
          <w:lang w:val="es-ES"/>
        </w:rPr>
        <w:t xml:space="preserve"> Comisión de Estudio</w:t>
      </w:r>
      <w:r w:rsidR="00C42928">
        <w:rPr>
          <w:lang w:val="es-ES"/>
        </w:rPr>
        <w:t> </w:t>
      </w:r>
      <w:r w:rsidRPr="00CE7291">
        <w:rPr>
          <w:lang w:val="es-ES"/>
        </w:rPr>
        <w:t>11 del UIT-T (Requisitos de señalización, protocolos, especificaciones de pruebas y lucha contra la falsificación de dispositivos de telecomunicaciones/TIC) tiene previsto aplicar el procedimiento de aprobación tradicional descrito en la Sección</w:t>
      </w:r>
      <w:r w:rsidR="007467CC">
        <w:rPr>
          <w:lang w:val="es-ES"/>
        </w:rPr>
        <w:t> </w:t>
      </w:r>
      <w:r w:rsidRPr="00CE7291">
        <w:rPr>
          <w:lang w:val="es-ES"/>
        </w:rPr>
        <w:t>9 de la Resolución</w:t>
      </w:r>
      <w:r w:rsidR="00C42928">
        <w:rPr>
          <w:lang w:val="es-ES"/>
        </w:rPr>
        <w:t> </w:t>
      </w:r>
      <w:r w:rsidRPr="00CE7291">
        <w:rPr>
          <w:lang w:val="es-ES"/>
        </w:rPr>
        <w:t>1 (Rev.</w:t>
      </w:r>
      <w:r w:rsidR="00C42928">
        <w:rPr>
          <w:lang w:val="es-ES"/>
        </w:rPr>
        <w:t> </w:t>
      </w:r>
      <w:r w:rsidRPr="00CE7291">
        <w:rPr>
          <w:lang w:val="es-ES"/>
        </w:rPr>
        <w:t>Ginebra, 2022) de la AMNT a efectos de la aprobación de los proyectos de Recomendación indicados durante su próxima reunión, que se celebrará en Ginebra del 19 al 28 de febrero de 2025. El orden del día y toda la información pertinente relativa a la reunión de la Comisión de Estudio</w:t>
      </w:r>
      <w:r w:rsidR="00C42928">
        <w:rPr>
          <w:lang w:val="es-ES"/>
        </w:rPr>
        <w:t> </w:t>
      </w:r>
      <w:r w:rsidRPr="00CE7291">
        <w:rPr>
          <w:lang w:val="es-ES"/>
        </w:rPr>
        <w:t>11 del UIT-T se publicarán a su debido tiempo, poco después de la AMNT-24.</w:t>
      </w:r>
    </w:p>
    <w:p w14:paraId="63178CE9" w14:textId="34703751" w:rsidR="00CE7291" w:rsidRPr="00CE7291" w:rsidRDefault="00CE7291" w:rsidP="00CE7291">
      <w:pPr>
        <w:rPr>
          <w:lang w:val="es-ES"/>
        </w:rPr>
      </w:pPr>
      <w:r w:rsidRPr="00CE7291">
        <w:rPr>
          <w:lang w:val="es-ES"/>
        </w:rPr>
        <w:t>2</w:t>
      </w:r>
      <w:r w:rsidRPr="00CE7291">
        <w:rPr>
          <w:lang w:val="es-ES"/>
        </w:rPr>
        <w:tab/>
      </w:r>
      <w:proofErr w:type="gramStart"/>
      <w:r w:rsidRPr="00CE7291">
        <w:rPr>
          <w:lang w:val="es-ES"/>
        </w:rPr>
        <w:t>El</w:t>
      </w:r>
      <w:proofErr w:type="gramEnd"/>
      <w:r w:rsidRPr="00CE7291">
        <w:rPr>
          <w:lang w:val="es-ES"/>
        </w:rPr>
        <w:t xml:space="preserve"> </w:t>
      </w:r>
      <w:r w:rsidRPr="00CE7291">
        <w:rPr>
          <w:b/>
          <w:bCs/>
          <w:lang w:val="es-ES"/>
        </w:rPr>
        <w:t>Anexo</w:t>
      </w:r>
      <w:r w:rsidR="00C42928">
        <w:rPr>
          <w:b/>
          <w:bCs/>
          <w:lang w:val="es-ES"/>
        </w:rPr>
        <w:t> </w:t>
      </w:r>
      <w:r w:rsidRPr="00CE7291">
        <w:rPr>
          <w:b/>
          <w:bCs/>
          <w:lang w:val="es-ES"/>
        </w:rPr>
        <w:t>1</w:t>
      </w:r>
      <w:r w:rsidRPr="00CE7291">
        <w:rPr>
          <w:lang w:val="es-ES"/>
        </w:rPr>
        <w:t xml:space="preserve"> contiene los títulos, resúmenes y ubicaciones de los proyectos de Recomendación UIT-T propuestos para aprobación.</w:t>
      </w:r>
    </w:p>
    <w:p w14:paraId="1985AA01" w14:textId="6B55F373" w:rsidR="00CE7291" w:rsidRPr="00CE7291" w:rsidRDefault="00CE7291" w:rsidP="00CE7291">
      <w:pPr>
        <w:rPr>
          <w:lang w:val="es-ES"/>
        </w:rPr>
      </w:pPr>
      <w:r w:rsidRPr="00CE7291">
        <w:rPr>
          <w:lang w:val="es-ES"/>
        </w:rPr>
        <w:t>3</w:t>
      </w:r>
      <w:r w:rsidRPr="00CE7291">
        <w:rPr>
          <w:lang w:val="es-ES"/>
        </w:rPr>
        <w:tab/>
      </w:r>
      <w:proofErr w:type="gramStart"/>
      <w:r w:rsidRPr="00CE7291">
        <w:rPr>
          <w:lang w:val="es-ES"/>
        </w:rPr>
        <w:t>Con</w:t>
      </w:r>
      <w:proofErr w:type="gramEnd"/>
      <w:r w:rsidRPr="00CE7291">
        <w:rPr>
          <w:lang w:val="es-ES"/>
        </w:rPr>
        <w:t xml:space="preserve"> esta Circular se inicia la consulta oficial con los Estados Miembros de la UIT sobre si estos textos pueden considerarse para aprobación en la próxima reunión, de acuerdo con la cláusula</w:t>
      </w:r>
      <w:r w:rsidR="00C42928">
        <w:rPr>
          <w:lang w:val="es-ES"/>
        </w:rPr>
        <w:t> </w:t>
      </w:r>
      <w:r w:rsidRPr="00CE7291">
        <w:rPr>
          <w:lang w:val="es-ES"/>
        </w:rPr>
        <w:t>9.4 de la Resolución</w:t>
      </w:r>
      <w:r w:rsidR="00C42928">
        <w:rPr>
          <w:lang w:val="es-ES"/>
        </w:rPr>
        <w:t> </w:t>
      </w:r>
      <w:r w:rsidRPr="00CE7291">
        <w:rPr>
          <w:lang w:val="es-ES"/>
        </w:rPr>
        <w:t xml:space="preserve">1. Se ruega a los Estados Miembros que completen y devuelvan el formulario del </w:t>
      </w:r>
      <w:r w:rsidRPr="00CE7291">
        <w:rPr>
          <w:b/>
          <w:bCs/>
          <w:lang w:val="es-ES"/>
        </w:rPr>
        <w:t>Anexo</w:t>
      </w:r>
      <w:r w:rsidR="00C42928">
        <w:rPr>
          <w:b/>
          <w:bCs/>
          <w:lang w:val="es-ES"/>
        </w:rPr>
        <w:t> </w:t>
      </w:r>
      <w:r w:rsidRPr="00CE7291">
        <w:rPr>
          <w:b/>
          <w:bCs/>
          <w:lang w:val="es-ES"/>
        </w:rPr>
        <w:t>2</w:t>
      </w:r>
      <w:r w:rsidRPr="00CE7291">
        <w:rPr>
          <w:lang w:val="es-ES"/>
        </w:rPr>
        <w:t xml:space="preserve"> antes de las 23.59</w:t>
      </w:r>
      <w:r w:rsidR="00C42928">
        <w:rPr>
          <w:lang w:val="es-ES"/>
        </w:rPr>
        <w:t> </w:t>
      </w:r>
      <w:r w:rsidRPr="00CE7291">
        <w:rPr>
          <w:lang w:val="es-ES"/>
        </w:rPr>
        <w:t xml:space="preserve">horas UTC del </w:t>
      </w:r>
      <w:r w:rsidRPr="00CE7291">
        <w:rPr>
          <w:b/>
          <w:bCs/>
          <w:lang w:val="es-ES"/>
        </w:rPr>
        <w:t>7 de febrero de 2025</w:t>
      </w:r>
      <w:r w:rsidRPr="00CE7291">
        <w:rPr>
          <w:lang w:val="es-ES"/>
        </w:rPr>
        <w:t>.</w:t>
      </w:r>
    </w:p>
    <w:p w14:paraId="37D7964C" w14:textId="77777777" w:rsidR="00CE7291" w:rsidRPr="00CE7291" w:rsidRDefault="00CE7291" w:rsidP="002374E1">
      <w:pPr>
        <w:keepNext/>
        <w:keepLines/>
        <w:rPr>
          <w:lang w:val="es-ES"/>
        </w:rPr>
      </w:pPr>
      <w:bookmarkStart w:id="5" w:name="_Hlk172722338"/>
      <w:r w:rsidRPr="00CE7291">
        <w:rPr>
          <w:lang w:val="es-ES"/>
        </w:rPr>
        <w:lastRenderedPageBreak/>
        <w:t>4</w:t>
      </w:r>
      <w:r w:rsidRPr="00CE7291">
        <w:rPr>
          <w:lang w:val="es-ES"/>
        </w:rPr>
        <w:tab/>
      </w:r>
      <w:proofErr w:type="gramStart"/>
      <w:r w:rsidRPr="00CE7291">
        <w:rPr>
          <w:lang w:val="es-ES"/>
        </w:rPr>
        <w:t>Si</w:t>
      </w:r>
      <w:proofErr w:type="gramEnd"/>
      <w:r w:rsidRPr="00CE7291">
        <w:rPr>
          <w:lang w:val="es-ES"/>
        </w:rPr>
        <w:t xml:space="preserve"> el 70% como mínimo de las respuestas de los Estados Miembros es favorable a que se considere la aprobación, se dedicará una sesión plenaria a la aplicación del procedimiento de aprobación. </w:t>
      </w:r>
      <w:bookmarkEnd w:id="5"/>
      <w:r w:rsidRPr="00CE7291">
        <w:rPr>
          <w:lang w:val="es-ES"/>
        </w:rPr>
        <w:t xml:space="preserve">Los Estados Miembros que no otorguen autoridad para proceder deben informar al </w:t>
      </w:r>
      <w:proofErr w:type="gramStart"/>
      <w:r w:rsidRPr="00CE7291">
        <w:rPr>
          <w:lang w:val="es-ES"/>
        </w:rPr>
        <w:t>Director</w:t>
      </w:r>
      <w:proofErr w:type="gramEnd"/>
      <w:r w:rsidRPr="00CE7291">
        <w:rPr>
          <w:lang w:val="es-ES"/>
        </w:rPr>
        <w:t xml:space="preserve"> de la TSB de los motivos en que se fundamenta esta opinión e indicar los cambios que podrían permitir el proseguimiento de los trabajos.</w:t>
      </w:r>
    </w:p>
    <w:p w14:paraId="64ADA258" w14:textId="77777777" w:rsidR="00CE7291" w:rsidRPr="00CE7291" w:rsidRDefault="00CE7291" w:rsidP="00CE7291">
      <w:pPr>
        <w:rPr>
          <w:lang w:val="es-ES"/>
        </w:rPr>
      </w:pPr>
      <w:r w:rsidRPr="00CE7291">
        <w:rPr>
          <w:lang w:val="es-ES"/>
        </w:rPr>
        <w:t>Atentamente,</w:t>
      </w:r>
    </w:p>
    <w:p w14:paraId="27BC720F" w14:textId="77777777" w:rsidR="007B6316" w:rsidRPr="00101541" w:rsidRDefault="007B6316" w:rsidP="00101541">
      <w:pPr>
        <w:spacing w:before="480" w:after="480"/>
        <w:rPr>
          <w:i/>
          <w:iCs/>
          <w:sz w:val="28"/>
          <w:szCs w:val="22"/>
        </w:rPr>
      </w:pPr>
      <w:r w:rsidRPr="00101541">
        <w:rPr>
          <w:i/>
          <w:iCs/>
        </w:rPr>
        <w:t>(firmado)</w:t>
      </w:r>
    </w:p>
    <w:p w14:paraId="0B0286BE" w14:textId="2D743B5E" w:rsidR="00401C20" w:rsidRPr="00C42928" w:rsidRDefault="001350B9" w:rsidP="00C42928">
      <w:pPr>
        <w:rPr>
          <w:lang w:val="es-ES"/>
        </w:rPr>
      </w:pPr>
      <w:r w:rsidRPr="00C42928">
        <w:rPr>
          <w:lang w:val="es-ES"/>
        </w:rPr>
        <w:t>Seizo Onoe</w:t>
      </w:r>
      <w:r w:rsidR="007B6316" w:rsidRPr="00C42928">
        <w:rPr>
          <w:lang w:val="es-ES"/>
        </w:rPr>
        <w:br/>
      </w:r>
      <w:proofErr w:type="gramStart"/>
      <w:r w:rsidR="007B6316" w:rsidRPr="00C42928">
        <w:rPr>
          <w:lang w:val="es-ES"/>
        </w:rPr>
        <w:t>Director</w:t>
      </w:r>
      <w:proofErr w:type="gramEnd"/>
      <w:r w:rsidR="007B6316" w:rsidRPr="00C42928">
        <w:rPr>
          <w:lang w:val="es-ES"/>
        </w:rPr>
        <w:t xml:space="preserve"> de la Oficina de </w:t>
      </w:r>
      <w:r w:rsidR="007B6316" w:rsidRPr="00C42928">
        <w:rPr>
          <w:lang w:val="es-ES"/>
        </w:rPr>
        <w:br/>
        <w:t>Normalización de las Telecomunicaciones</w:t>
      </w:r>
    </w:p>
    <w:p w14:paraId="4235BDB7" w14:textId="1FD8C2F4" w:rsidR="00CE7291" w:rsidRPr="00C42928" w:rsidRDefault="00CE7291" w:rsidP="007467CC">
      <w:pPr>
        <w:spacing w:before="840"/>
        <w:rPr>
          <w:lang w:val="es-ES"/>
        </w:rPr>
      </w:pPr>
      <w:r w:rsidRPr="00C42928">
        <w:rPr>
          <w:b/>
          <w:bCs/>
          <w:lang w:val="es-ES"/>
        </w:rPr>
        <w:t>Anexos</w:t>
      </w:r>
      <w:r w:rsidRPr="00C42928">
        <w:rPr>
          <w:lang w:val="es-ES"/>
        </w:rPr>
        <w:t xml:space="preserve">: </w:t>
      </w:r>
      <w:r w:rsidRPr="00CE7291">
        <w:rPr>
          <w:lang w:val="es-ES"/>
        </w:rPr>
        <w:t>2</w:t>
      </w:r>
    </w:p>
    <w:p w14:paraId="5F163E18" w14:textId="612ACE35" w:rsidR="00101541" w:rsidRDefault="00101541" w:rsidP="00101541">
      <w:r>
        <w:br w:type="page"/>
      </w:r>
    </w:p>
    <w:p w14:paraId="3773F5F8" w14:textId="6F44420E" w:rsidR="00CE7291" w:rsidRPr="00CE7291" w:rsidRDefault="00CE7291" w:rsidP="00C42928">
      <w:pPr>
        <w:pStyle w:val="AnnexNotitle"/>
        <w:rPr>
          <w:lang w:val="fr-FR"/>
        </w:rPr>
      </w:pPr>
      <w:r w:rsidRPr="00CE7291">
        <w:rPr>
          <w:lang w:val="es-ES"/>
        </w:rPr>
        <w:lastRenderedPageBreak/>
        <w:t>Anexo 1</w:t>
      </w:r>
      <w:r w:rsidR="007467CC">
        <w:rPr>
          <w:lang w:val="es-ES"/>
        </w:rPr>
        <w:br/>
      </w:r>
      <w:r w:rsidRPr="00CE7291">
        <w:rPr>
          <w:lang w:val="es-ES"/>
        </w:rPr>
        <w:br/>
        <w:t xml:space="preserve">Resumen y ubicación de los proyectos de Recomendación determinada </w:t>
      </w:r>
      <w:r w:rsidR="007467CC">
        <w:rPr>
          <w:lang w:val="es-ES"/>
        </w:rPr>
        <w:br/>
      </w:r>
      <w:r w:rsidRPr="00CE7291">
        <w:rPr>
          <w:lang w:val="es-ES"/>
        </w:rPr>
        <w:t xml:space="preserve">UIT-T Q.5054 (ex. </w:t>
      </w:r>
      <w:r w:rsidRPr="00CE7291">
        <w:rPr>
          <w:lang w:val="fr-FR"/>
        </w:rPr>
        <w:t xml:space="preserve">Q.CCF-CCSD) y UIT-T Q.5010 (ex. </w:t>
      </w:r>
      <w:proofErr w:type="gramStart"/>
      <w:r w:rsidRPr="00CE7291">
        <w:rPr>
          <w:lang w:val="fr-FR"/>
        </w:rPr>
        <w:t>Q.UAMS</w:t>
      </w:r>
      <w:proofErr w:type="gramEnd"/>
      <w:r w:rsidRPr="00CE7291">
        <w:rPr>
          <w:lang w:val="fr-FR"/>
        </w:rPr>
        <w:t>-SRA)</w:t>
      </w:r>
    </w:p>
    <w:p w14:paraId="76AFEB87" w14:textId="6A5B14C3" w:rsidR="00CE7291" w:rsidRPr="00CE7291" w:rsidRDefault="00CE7291" w:rsidP="00C42928">
      <w:pPr>
        <w:pStyle w:val="Heading1"/>
        <w:rPr>
          <w:lang w:val="es-ES"/>
        </w:rPr>
      </w:pPr>
      <w:r w:rsidRPr="00CE7291">
        <w:rPr>
          <w:lang w:val="es-ES"/>
        </w:rPr>
        <w:t>1</w:t>
      </w:r>
      <w:r w:rsidRPr="00CE7291">
        <w:rPr>
          <w:lang w:val="es-ES"/>
        </w:rPr>
        <w:tab/>
      </w:r>
      <w:proofErr w:type="gramStart"/>
      <w:r w:rsidRPr="00CE7291">
        <w:rPr>
          <w:lang w:val="es-ES"/>
        </w:rPr>
        <w:t>Proyecto</w:t>
      </w:r>
      <w:proofErr w:type="gramEnd"/>
      <w:r w:rsidRPr="00CE7291">
        <w:rPr>
          <w:lang w:val="es-ES"/>
        </w:rPr>
        <w:t xml:space="preserve"> de nueva Recomendación</w:t>
      </w:r>
      <w:r w:rsidR="007467CC">
        <w:rPr>
          <w:lang w:val="es-ES"/>
        </w:rPr>
        <w:t> </w:t>
      </w:r>
      <w:r w:rsidRPr="00CE7291">
        <w:rPr>
          <w:lang w:val="es-ES"/>
        </w:rPr>
        <w:t>UIT-T</w:t>
      </w:r>
      <w:r w:rsidR="007467CC">
        <w:rPr>
          <w:lang w:val="es-ES"/>
        </w:rPr>
        <w:t> </w:t>
      </w:r>
      <w:r w:rsidRPr="00CE7291">
        <w:rPr>
          <w:lang w:val="es-ES"/>
        </w:rPr>
        <w:t>Q.5054 (Q.CCF-CCSD) [</w:t>
      </w:r>
      <w:hyperlink r:id="rId10" w:history="1">
        <w:r w:rsidRPr="00CE7291">
          <w:rPr>
            <w:rStyle w:val="Hyperlink"/>
            <w:lang w:val="es-ES"/>
          </w:rPr>
          <w:t>SG11-R28</w:t>
        </w:r>
      </w:hyperlink>
      <w:r w:rsidRPr="00CE7291">
        <w:rPr>
          <w:lang w:val="es-ES"/>
        </w:rPr>
        <w:t>]</w:t>
      </w:r>
    </w:p>
    <w:p w14:paraId="55EBA256" w14:textId="77777777" w:rsidR="00CE7291" w:rsidRPr="00CE7291" w:rsidRDefault="00CE7291" w:rsidP="00C42928">
      <w:pPr>
        <w:pStyle w:val="Headingb0"/>
        <w:rPr>
          <w:lang w:val="es-ES"/>
        </w:rPr>
      </w:pPr>
      <w:r w:rsidRPr="00CE7291">
        <w:rPr>
          <w:lang w:val="es-ES"/>
        </w:rPr>
        <w:t>Marco centrado en el consumidor para luchar contra la falsificación y el robo de dispositivos móviles de TIC</w:t>
      </w:r>
    </w:p>
    <w:p w14:paraId="4BBFA6AA" w14:textId="77777777" w:rsidR="00CE7291" w:rsidRPr="00CE7291" w:rsidRDefault="00CE7291" w:rsidP="00C42928">
      <w:pPr>
        <w:pStyle w:val="Headingb0"/>
        <w:rPr>
          <w:lang w:val="es-ES"/>
        </w:rPr>
      </w:pPr>
      <w:r w:rsidRPr="00CE7291">
        <w:rPr>
          <w:lang w:val="es-ES"/>
        </w:rPr>
        <w:t>Resumen</w:t>
      </w:r>
    </w:p>
    <w:p w14:paraId="1269B767" w14:textId="77777777" w:rsidR="00CE7291" w:rsidRPr="00CE7291" w:rsidRDefault="00CE7291" w:rsidP="00CE7291">
      <w:pPr>
        <w:rPr>
          <w:lang w:val="es-ES"/>
        </w:rPr>
      </w:pPr>
      <w:r w:rsidRPr="00CE7291">
        <w:rPr>
          <w:lang w:val="es-ES"/>
        </w:rPr>
        <w:t>Con el rápido crecimiento del alcance de Internet y la adopción y utilización aceleradas de las tecnologías de la información y la comunicación (TIC) durante la pandemia de COVID-19, la circulación y utilización de dispositivos TIC falsificados han aumentado considerablemente. Según un informe de la OCDE publicado en 2017, ya entonces casi uno de cada cinco teléfonos móviles enviados al extranjero era falso o falsificado. El auge del comercio de equipos informáticos y de comunicaciones falsificados es perjudicial para los consumidores, los fabricantes y las finanzas públicas.</w:t>
      </w:r>
    </w:p>
    <w:p w14:paraId="7CADB69E" w14:textId="77777777" w:rsidR="00CE7291" w:rsidRPr="00CE7291" w:rsidRDefault="00CE7291" w:rsidP="00CE7291">
      <w:pPr>
        <w:rPr>
          <w:lang w:val="es-ES"/>
        </w:rPr>
      </w:pPr>
      <w:r w:rsidRPr="00CE7291">
        <w:rPr>
          <w:lang w:val="es-ES"/>
        </w:rPr>
        <w:t>Un dispositivo de TIC falsificado es un producto que explícitamente infringe marcas registradas, copia diseños de soporte físico (</w:t>
      </w:r>
      <w:r w:rsidRPr="00CE7291">
        <w:rPr>
          <w:i/>
          <w:iCs/>
          <w:lang w:val="es-ES"/>
        </w:rPr>
        <w:t>hardware</w:t>
      </w:r>
      <w:r w:rsidRPr="00CE7291">
        <w:rPr>
          <w:lang w:val="es-ES"/>
        </w:rPr>
        <w:t>) o lógico (</w:t>
      </w:r>
      <w:r w:rsidRPr="00CE7291">
        <w:rPr>
          <w:i/>
          <w:iCs/>
          <w:lang w:val="es-ES"/>
        </w:rPr>
        <w:t>software</w:t>
      </w:r>
      <w:r w:rsidRPr="00CE7291">
        <w:rPr>
          <w:lang w:val="es-ES"/>
        </w:rPr>
        <w:t xml:space="preserve">), o infringe los derechos de marca o empaque de un producto original o auténtico y, en general, infringe normas técnicas nacionales o internacionales, disposiciones reglamentarias o procesos de conformidad, acuerdos de concesión de licencias de fabricación u otras prescripciones legales aplicables. Los principales dispositivos móviles de telecomunicaciones/TIC son, entre otros, teléfonos inteligentes, tabletas, dispositivos de </w:t>
      </w:r>
      <w:proofErr w:type="spellStart"/>
      <w:r w:rsidRPr="00CE7291">
        <w:rPr>
          <w:lang w:val="es-ES"/>
        </w:rPr>
        <w:t>IoT</w:t>
      </w:r>
      <w:proofErr w:type="spellEnd"/>
      <w:r w:rsidRPr="00CE7291">
        <w:rPr>
          <w:lang w:val="es-ES"/>
        </w:rPr>
        <w:t>, accesorios ponibles, módems, adaptadores y encaminadores WLAN con conectividad a redes celulares. Además de la falsificación de dispositivos móviles de telecomunicaciones/TIC, la utilización de dispositivos robados en la red móvil también plantea un grave problema de seguridad y orden público.</w:t>
      </w:r>
    </w:p>
    <w:p w14:paraId="2F43C130" w14:textId="77777777" w:rsidR="00CE7291" w:rsidRPr="00CE7291" w:rsidRDefault="00CE7291" w:rsidP="00CE7291">
      <w:pPr>
        <w:rPr>
          <w:lang w:val="es-ES"/>
        </w:rPr>
      </w:pPr>
      <w:r w:rsidRPr="00CE7291">
        <w:rPr>
          <w:lang w:val="es-ES"/>
        </w:rPr>
        <w:t>La proliferación incontrolada de dispositivos de telecomunicaciones móviles/TIC falsificados y robados en las redes móviles terrestres públicas (RMTP) no solo plantea un grave problema a los organismos reguladores, las fuerzas de seguridad y los consumidores finales, sino que afecta negativamente a la economía en general. Los aspectos económicos de la oferta y la demanda de dispositivos falsificados y robados complican los intentos de comprobar la situación del mercado local y mundial de este tipo de dispositivos.</w:t>
      </w:r>
    </w:p>
    <w:p w14:paraId="55571698" w14:textId="52E4DA52" w:rsidR="00CE7291" w:rsidRDefault="00CE7291" w:rsidP="00CE7291">
      <w:pPr>
        <w:rPr>
          <w:lang w:val="es-ES"/>
        </w:rPr>
      </w:pPr>
      <w:r w:rsidRPr="00CE7291">
        <w:rPr>
          <w:lang w:val="es-ES"/>
        </w:rPr>
        <w:t>La Recomendación</w:t>
      </w:r>
      <w:r w:rsidR="002374E1">
        <w:rPr>
          <w:lang w:val="es-ES"/>
        </w:rPr>
        <w:t> </w:t>
      </w:r>
      <w:r w:rsidRPr="00CE7291">
        <w:rPr>
          <w:lang w:val="es-ES"/>
        </w:rPr>
        <w:t>UIT-T</w:t>
      </w:r>
      <w:r w:rsidR="002374E1">
        <w:rPr>
          <w:lang w:val="es-ES"/>
        </w:rPr>
        <w:t> </w:t>
      </w:r>
      <w:r w:rsidRPr="00CE7291">
        <w:rPr>
          <w:lang w:val="es-ES"/>
        </w:rPr>
        <w:t>Q.5050 proporciona un marco de referencia en el que se exponen las dificultades y requisitos generales que se han de tomar en consideración a la hora de desplegar soluciones para contrarrestar la circulación y utilización de dispositivos TIC falsificados. Además, la Recomendación</w:t>
      </w:r>
      <w:r w:rsidR="002374E1">
        <w:rPr>
          <w:lang w:val="es-ES"/>
        </w:rPr>
        <w:t> </w:t>
      </w:r>
      <w:r w:rsidRPr="00CE7291">
        <w:rPr>
          <w:lang w:val="es-ES"/>
        </w:rPr>
        <w:t>UIT-T</w:t>
      </w:r>
      <w:r w:rsidR="002374E1">
        <w:rPr>
          <w:lang w:val="es-ES"/>
        </w:rPr>
        <w:t> </w:t>
      </w:r>
      <w:r w:rsidRPr="00CE7291">
        <w:rPr>
          <w:lang w:val="es-ES"/>
        </w:rPr>
        <w:t>Q.5051 ofrece un "Marco para luchar contra la utilización de dispositivos móviles robados". También trata de definir posibles canales de comunicación e interfaces de consumidor a través de una plataforma, formatos indicativos de consulta y respuesta, incluidos enfoques de formación y sensibilización de los consumidores. En la Recomendación también se abordan las principales características de la plataforma, las principales consideraciones de seguridad, los escenarios de aplicación y las posibles dificultades técnicas relacionadas, entre otras cosas, con las interfaces independientes de proveedores, la verificación masiva de equipos móviles, el tratamiento de dispositivos con identificadores únicos replicados y la notificación y gestión de dispositivos móviles de telecomunicaciones/TIC robados o perdidos y su restablecimiento tras la recuperación.</w:t>
      </w:r>
    </w:p>
    <w:p w14:paraId="3D92210C" w14:textId="77777777" w:rsidR="00435C39" w:rsidRPr="00CE7291" w:rsidRDefault="00435C39" w:rsidP="00CE7291">
      <w:pPr>
        <w:rPr>
          <w:lang w:val="es-ES"/>
        </w:rPr>
      </w:pPr>
    </w:p>
    <w:p w14:paraId="090A9BFD" w14:textId="77777777" w:rsidR="00CE7291" w:rsidRPr="00CE7291" w:rsidRDefault="00CE7291" w:rsidP="00CE7291">
      <w:pPr>
        <w:rPr>
          <w:lang w:val="es-ES"/>
        </w:rPr>
      </w:pPr>
      <w:r w:rsidRPr="00CE7291">
        <w:rPr>
          <w:lang w:val="es-ES"/>
        </w:rPr>
        <w:t>Por lo tanto, esta Recomendación trata de proporcionar un marco centrado en el consumidor a través de una plataforma unificada que contemple posibles escenarios y un enfoque múltiple para luchar contra la falsificación y el robo de dispositivos móviles de telecomunicaciones/TIC.</w:t>
      </w:r>
    </w:p>
    <w:p w14:paraId="770EF96C" w14:textId="6AA562E4" w:rsidR="00CE7291" w:rsidRPr="00CE7291" w:rsidRDefault="00CE7291" w:rsidP="002374E1">
      <w:pPr>
        <w:pStyle w:val="Note"/>
        <w:rPr>
          <w:lang w:val="es-ES"/>
        </w:rPr>
      </w:pPr>
      <w:r w:rsidRPr="00CE7291">
        <w:rPr>
          <w:lang w:val="es-ES"/>
        </w:rPr>
        <w:t xml:space="preserve">NOTA DE LA TSB – En la fecha de la presente Circular, la TSB no había recibido ninguna declaración de DPI en relación con este proyecto de texto. Para obtener información actualizada, se invita a los miembros a consultar la base de datos de DPI en </w:t>
      </w:r>
      <w:hyperlink r:id="rId11" w:history="1">
        <w:r w:rsidRPr="00CE7291">
          <w:rPr>
            <w:rStyle w:val="Hyperlink"/>
            <w:lang w:val="es-ES"/>
          </w:rPr>
          <w:t>www.itu.int/ipr/</w:t>
        </w:r>
      </w:hyperlink>
      <w:r w:rsidRPr="00CE7291">
        <w:rPr>
          <w:lang w:val="es-ES"/>
        </w:rPr>
        <w:t>.</w:t>
      </w:r>
    </w:p>
    <w:p w14:paraId="14838D23" w14:textId="7AD35F1F" w:rsidR="00CE7291" w:rsidRPr="00435C39" w:rsidRDefault="00CE7291" w:rsidP="00C42928">
      <w:pPr>
        <w:pStyle w:val="Heading1"/>
        <w:rPr>
          <w:lang w:val="pt-BR"/>
        </w:rPr>
      </w:pPr>
      <w:r w:rsidRPr="00CE7291">
        <w:rPr>
          <w:lang w:val="es-ES"/>
        </w:rPr>
        <w:t>2</w:t>
      </w:r>
      <w:r w:rsidRPr="00CE7291">
        <w:rPr>
          <w:lang w:val="es-ES"/>
        </w:rPr>
        <w:tab/>
      </w:r>
      <w:proofErr w:type="gramStart"/>
      <w:r w:rsidRPr="00CE7291">
        <w:rPr>
          <w:lang w:val="es-ES"/>
        </w:rPr>
        <w:t>Proyecto</w:t>
      </w:r>
      <w:proofErr w:type="gramEnd"/>
      <w:r w:rsidRPr="00CE7291">
        <w:rPr>
          <w:lang w:val="es-ES"/>
        </w:rPr>
        <w:t xml:space="preserve"> de nueva Recomendación</w:t>
      </w:r>
      <w:r w:rsidR="007467CC">
        <w:rPr>
          <w:lang w:val="es-ES"/>
        </w:rPr>
        <w:t> </w:t>
      </w:r>
      <w:r w:rsidRPr="00CE7291">
        <w:rPr>
          <w:lang w:val="es-ES"/>
        </w:rPr>
        <w:t>UIT-T</w:t>
      </w:r>
      <w:r w:rsidR="007467CC">
        <w:rPr>
          <w:lang w:val="es-ES"/>
        </w:rPr>
        <w:t> </w:t>
      </w:r>
      <w:r w:rsidRPr="00CE7291">
        <w:rPr>
          <w:lang w:val="es-ES"/>
        </w:rPr>
        <w:t>Q.5010 (ex.</w:t>
      </w:r>
      <w:r w:rsidR="007467CC">
        <w:rPr>
          <w:lang w:val="es-ES"/>
        </w:rPr>
        <w:t> </w:t>
      </w:r>
      <w:r w:rsidRPr="00435C39">
        <w:rPr>
          <w:lang w:val="pt-BR"/>
        </w:rPr>
        <w:t>Q.UAMS-SRA) [</w:t>
      </w:r>
      <w:r w:rsidR="00435C39">
        <w:fldChar w:fldCharType="begin"/>
      </w:r>
      <w:r w:rsidR="00435C39" w:rsidRPr="00435C39">
        <w:rPr>
          <w:lang w:val="pt-BR"/>
        </w:rPr>
        <w:instrText>HYPERLINK "https://www.itu.int/md/meetingdoc.asp?lang=es&amp;parent=T22-SG11-R-0029"</w:instrText>
      </w:r>
      <w:r w:rsidR="00435C39">
        <w:fldChar w:fldCharType="separate"/>
      </w:r>
      <w:r w:rsidRPr="00435C39">
        <w:rPr>
          <w:rStyle w:val="Hyperlink"/>
          <w:lang w:val="pt-BR"/>
        </w:rPr>
        <w:t>SG11-R29</w:t>
      </w:r>
      <w:r w:rsidR="00435C39">
        <w:rPr>
          <w:rStyle w:val="Hyperlink"/>
          <w:lang w:val="es-ES"/>
        </w:rPr>
        <w:fldChar w:fldCharType="end"/>
      </w:r>
      <w:r w:rsidRPr="00435C39">
        <w:rPr>
          <w:lang w:val="pt-BR"/>
        </w:rPr>
        <w:t>]</w:t>
      </w:r>
    </w:p>
    <w:p w14:paraId="15CA3695" w14:textId="77777777" w:rsidR="00CE7291" w:rsidRPr="00CE7291" w:rsidRDefault="00CE7291" w:rsidP="00C42928">
      <w:pPr>
        <w:pStyle w:val="Headingb0"/>
        <w:rPr>
          <w:lang w:val="es-ES"/>
        </w:rPr>
      </w:pPr>
      <w:r w:rsidRPr="00CE7291">
        <w:rPr>
          <w:lang w:val="es-ES"/>
        </w:rPr>
        <w:t>Requisitos de señalización y arquitectura para el entorno del servicio de movilidad aérea urbana</w:t>
      </w:r>
    </w:p>
    <w:p w14:paraId="099CB4D2" w14:textId="77777777" w:rsidR="00CE7291" w:rsidRPr="00CE7291" w:rsidRDefault="00CE7291" w:rsidP="00C42928">
      <w:pPr>
        <w:pStyle w:val="Headingb0"/>
        <w:rPr>
          <w:lang w:val="es-ES"/>
        </w:rPr>
      </w:pPr>
      <w:r w:rsidRPr="00CE7291">
        <w:rPr>
          <w:lang w:val="es-ES"/>
        </w:rPr>
        <w:t>Resumen</w:t>
      </w:r>
    </w:p>
    <w:p w14:paraId="5BD182BA" w14:textId="77777777" w:rsidR="00CE7291" w:rsidRPr="00CE7291" w:rsidRDefault="00CE7291" w:rsidP="00CE7291">
      <w:pPr>
        <w:rPr>
          <w:lang w:val="es-ES"/>
        </w:rPr>
      </w:pPr>
      <w:r w:rsidRPr="00CE7291">
        <w:rPr>
          <w:lang w:val="es-ES"/>
        </w:rPr>
        <w:t>En esta Recomendación se establecen los requisitos de señalización y la arquitectura para los servicios de movilidad aérea urbana (UAM). Estos requisitos consisten en información de señalización sobre cada punto de referencia y en procedimientos de servicio para la comunicación entre el equipo de usuario (EU), la capa de acceso, la capa medular y la capa de servicio para los servicios de UAM.</w:t>
      </w:r>
    </w:p>
    <w:p w14:paraId="0F90FA62" w14:textId="1B088B53" w:rsidR="00CE7291" w:rsidRPr="00CE7291" w:rsidRDefault="00CE7291" w:rsidP="00C42928">
      <w:pPr>
        <w:pStyle w:val="Note"/>
        <w:rPr>
          <w:lang w:val="es-ES"/>
        </w:rPr>
      </w:pPr>
      <w:r w:rsidRPr="00CE7291">
        <w:rPr>
          <w:lang w:val="es-ES"/>
        </w:rPr>
        <w:t xml:space="preserve">NOTA DE LA TSB – En la fecha de la presente Circular, la TSB no había recibido ninguna declaración de DPI en relación con este proyecto de texto. Para obtener información actualizada, se invita a los miembros a consultar la base de datos de DPI en </w:t>
      </w:r>
      <w:hyperlink r:id="rId12" w:history="1">
        <w:r w:rsidRPr="00CE7291">
          <w:rPr>
            <w:rStyle w:val="Hyperlink"/>
            <w:lang w:val="es-ES"/>
          </w:rPr>
          <w:t>www.itu.int/ipr/</w:t>
        </w:r>
      </w:hyperlink>
      <w:r w:rsidRPr="00CE7291">
        <w:rPr>
          <w:lang w:val="es-ES"/>
        </w:rPr>
        <w:t>.</w:t>
      </w:r>
    </w:p>
    <w:p w14:paraId="37895485" w14:textId="06DFF207" w:rsidR="00CE7291" w:rsidRDefault="00CE7291">
      <w:pPr>
        <w:tabs>
          <w:tab w:val="clear" w:pos="794"/>
          <w:tab w:val="clear" w:pos="1191"/>
          <w:tab w:val="clear" w:pos="1588"/>
          <w:tab w:val="clear" w:pos="1985"/>
        </w:tabs>
        <w:overflowPunct/>
        <w:autoSpaceDE/>
        <w:autoSpaceDN/>
        <w:adjustRightInd/>
        <w:spacing w:before="0"/>
        <w:textAlignment w:val="auto"/>
        <w:rPr>
          <w:lang w:val="es-ES"/>
        </w:rPr>
      </w:pPr>
      <w:r>
        <w:rPr>
          <w:lang w:val="es-ES"/>
        </w:rPr>
        <w:br w:type="page"/>
      </w:r>
    </w:p>
    <w:p w14:paraId="3B5BDCD8" w14:textId="29E2454F" w:rsidR="00CE7291" w:rsidRPr="00CE7291" w:rsidRDefault="00CE7291" w:rsidP="00C42928">
      <w:pPr>
        <w:pStyle w:val="AnnexNotitle"/>
        <w:spacing w:after="240"/>
        <w:rPr>
          <w:lang w:val="fr-FR"/>
        </w:rPr>
      </w:pPr>
      <w:r w:rsidRPr="00CE7291">
        <w:rPr>
          <w:lang w:val="es-ES"/>
        </w:rPr>
        <w:lastRenderedPageBreak/>
        <w:t>Anexo 2</w:t>
      </w:r>
      <w:r w:rsidR="007467CC">
        <w:rPr>
          <w:lang w:val="es-ES"/>
        </w:rPr>
        <w:br/>
      </w:r>
      <w:r w:rsidRPr="00CE7291">
        <w:rPr>
          <w:lang w:val="es-ES"/>
        </w:rPr>
        <w:br/>
        <w:t>Asunto: Respuesta de Estado Miembro a la Circular 223 de la TSB:</w:t>
      </w:r>
      <w:r w:rsidRPr="00CE7291">
        <w:rPr>
          <w:lang w:val="es-ES"/>
        </w:rPr>
        <w:br/>
        <w:t xml:space="preserve">Consulta sobre los proyectos de nueva Recomendación determinada </w:t>
      </w:r>
      <w:r w:rsidR="00645813">
        <w:rPr>
          <w:lang w:val="es-ES"/>
        </w:rPr>
        <w:br/>
      </w:r>
      <w:r w:rsidRPr="00CE7291">
        <w:rPr>
          <w:lang w:val="es-ES"/>
        </w:rPr>
        <w:t>UIT-T</w:t>
      </w:r>
      <w:r w:rsidR="00645813" w:rsidRPr="00645813">
        <w:rPr>
          <w:lang w:val="es-ES"/>
        </w:rPr>
        <w:t> </w:t>
      </w:r>
      <w:r w:rsidRPr="00CE7291">
        <w:rPr>
          <w:lang w:val="es-ES"/>
        </w:rPr>
        <w:t>Q.5054 (ex.</w:t>
      </w:r>
      <w:r w:rsidR="00645813">
        <w:rPr>
          <w:lang w:val="es-ES"/>
        </w:rPr>
        <w:t> </w:t>
      </w:r>
      <w:r w:rsidRPr="00CE7291">
        <w:rPr>
          <w:lang w:val="fr-FR"/>
        </w:rPr>
        <w:t>Q.CCF-CCSD) y UIT-T</w:t>
      </w:r>
      <w:r w:rsidR="00645813" w:rsidRPr="00C108CE">
        <w:rPr>
          <w:lang w:val="fr-FR"/>
        </w:rPr>
        <w:t> </w:t>
      </w:r>
      <w:r w:rsidRPr="00CE7291">
        <w:rPr>
          <w:lang w:val="fr-FR"/>
        </w:rPr>
        <w:t>Q.5010 (ex.</w:t>
      </w:r>
      <w:r w:rsidR="00645813" w:rsidRPr="00645813">
        <w:rPr>
          <w:lang w:val="fr-FR"/>
        </w:rPr>
        <w:t> </w:t>
      </w:r>
      <w:proofErr w:type="gramStart"/>
      <w:r w:rsidRPr="00CE7291">
        <w:rPr>
          <w:lang w:val="fr-FR"/>
        </w:rPr>
        <w:t>Q.UAMS</w:t>
      </w:r>
      <w:proofErr w:type="gramEnd"/>
      <w:r w:rsidRPr="00CE7291">
        <w:rPr>
          <w:lang w:val="fr-FR"/>
        </w:rPr>
        <w:t>-SRA)</w:t>
      </w:r>
    </w:p>
    <w:tbl>
      <w:tblPr>
        <w:tblW w:w="5000" w:type="pct"/>
        <w:jc w:val="center"/>
        <w:tblLayout w:type="fixed"/>
        <w:tblLook w:val="04A0" w:firstRow="1" w:lastRow="0" w:firstColumn="1" w:lastColumn="0" w:noHBand="0" w:noVBand="1"/>
      </w:tblPr>
      <w:tblGrid>
        <w:gridCol w:w="1274"/>
        <w:gridCol w:w="4521"/>
        <w:gridCol w:w="1162"/>
        <w:gridCol w:w="2682"/>
      </w:tblGrid>
      <w:tr w:rsidR="004F5C21" w:rsidRPr="00CE7291" w14:paraId="1E088541" w14:textId="77777777" w:rsidTr="004F5C21">
        <w:trPr>
          <w:jc w:val="center"/>
        </w:trPr>
        <w:tc>
          <w:tcPr>
            <w:tcW w:w="1274" w:type="dxa"/>
            <w:shd w:val="clear" w:color="auto" w:fill="auto"/>
          </w:tcPr>
          <w:p w14:paraId="4E341B2A" w14:textId="77777777" w:rsidR="00CE7291" w:rsidRPr="004F5C21" w:rsidRDefault="00CE7291" w:rsidP="004F5C21">
            <w:pPr>
              <w:jc w:val="right"/>
              <w:rPr>
                <w:b/>
                <w:bCs/>
                <w:lang w:val="es-ES"/>
              </w:rPr>
            </w:pPr>
            <w:r w:rsidRPr="004F5C21">
              <w:rPr>
                <w:b/>
                <w:bCs/>
                <w:lang w:val="es-ES"/>
              </w:rPr>
              <w:t>Para:</w:t>
            </w:r>
          </w:p>
        </w:tc>
        <w:tc>
          <w:tcPr>
            <w:tcW w:w="4521" w:type="dxa"/>
            <w:tcBorders>
              <w:right w:val="single" w:sz="8" w:space="0" w:color="auto"/>
            </w:tcBorders>
            <w:shd w:val="clear" w:color="auto" w:fill="auto"/>
          </w:tcPr>
          <w:p w14:paraId="643B192D" w14:textId="78A730C0" w:rsidR="00CE7291" w:rsidRPr="00CE7291" w:rsidRDefault="00CE7291" w:rsidP="004F5C21">
            <w:pPr>
              <w:rPr>
                <w:lang w:val="es-ES"/>
              </w:rPr>
            </w:pPr>
            <w:r w:rsidRPr="00CE7291">
              <w:rPr>
                <w:lang w:val="es-ES"/>
              </w:rPr>
              <w:t>Director de la</w:t>
            </w:r>
            <w:r w:rsidRPr="00CE7291">
              <w:rPr>
                <w:lang w:val="es-ES"/>
              </w:rPr>
              <w:br/>
              <w:t xml:space="preserve">Oficina de Normalización </w:t>
            </w:r>
            <w:r w:rsidR="00645813" w:rsidRPr="004F5C21">
              <w:rPr>
                <w:lang w:val="es-ES"/>
              </w:rPr>
              <w:br/>
            </w:r>
            <w:r w:rsidRPr="00CE7291">
              <w:rPr>
                <w:lang w:val="es-ES"/>
              </w:rPr>
              <w:t>de las Telecomunicaciones,</w:t>
            </w:r>
            <w:r w:rsidR="00645813" w:rsidRPr="004F5C21">
              <w:rPr>
                <w:lang w:val="es-ES"/>
              </w:rPr>
              <w:br/>
            </w:r>
            <w:r w:rsidRPr="00CE7291">
              <w:rPr>
                <w:lang w:val="es-ES"/>
              </w:rPr>
              <w:t>Unión Internacional de Telecomunicaciones</w:t>
            </w:r>
            <w:r w:rsidR="00645813" w:rsidRPr="004F5C21">
              <w:rPr>
                <w:lang w:val="es-ES"/>
              </w:rPr>
              <w:br/>
            </w:r>
            <w:r w:rsidRPr="00CE7291">
              <w:rPr>
                <w:lang w:val="es-ES"/>
              </w:rPr>
              <w:t xml:space="preserve">Place des </w:t>
            </w:r>
            <w:proofErr w:type="spellStart"/>
            <w:r w:rsidRPr="00CE7291">
              <w:rPr>
                <w:lang w:val="es-ES"/>
              </w:rPr>
              <w:t>Nations</w:t>
            </w:r>
            <w:proofErr w:type="spellEnd"/>
            <w:r w:rsidR="00645813" w:rsidRPr="004F5C21">
              <w:rPr>
                <w:lang w:val="es-ES"/>
              </w:rPr>
              <w:br/>
            </w:r>
            <w:r w:rsidRPr="00CE7291">
              <w:rPr>
                <w:lang w:val="es-ES"/>
              </w:rPr>
              <w:t xml:space="preserve">CH 1211 Ginebra 20 </w:t>
            </w:r>
            <w:r w:rsidR="00645813" w:rsidRPr="004F5C21">
              <w:rPr>
                <w:lang w:val="es-ES"/>
              </w:rPr>
              <w:t>(</w:t>
            </w:r>
            <w:r w:rsidRPr="00CE7291">
              <w:rPr>
                <w:lang w:val="es-ES"/>
              </w:rPr>
              <w:t>Suiza</w:t>
            </w:r>
            <w:r w:rsidR="00645813" w:rsidRPr="004F5C21">
              <w:rPr>
                <w:lang w:val="es-ES"/>
              </w:rPr>
              <w:t>)</w:t>
            </w:r>
          </w:p>
        </w:tc>
        <w:tc>
          <w:tcPr>
            <w:tcW w:w="1162" w:type="dxa"/>
            <w:tcBorders>
              <w:left w:val="single" w:sz="8" w:space="0" w:color="auto"/>
            </w:tcBorders>
            <w:shd w:val="clear" w:color="auto" w:fill="auto"/>
          </w:tcPr>
          <w:p w14:paraId="4A41B38E" w14:textId="77777777" w:rsidR="00CE7291" w:rsidRPr="00CE7291" w:rsidRDefault="00CE7291" w:rsidP="004F5C21">
            <w:pPr>
              <w:jc w:val="right"/>
              <w:rPr>
                <w:b/>
                <w:bCs/>
                <w:lang w:val="es-ES"/>
              </w:rPr>
            </w:pPr>
            <w:r w:rsidRPr="00CE7291">
              <w:rPr>
                <w:b/>
                <w:bCs/>
                <w:lang w:val="es-ES"/>
              </w:rPr>
              <w:t>De:</w:t>
            </w:r>
          </w:p>
        </w:tc>
        <w:tc>
          <w:tcPr>
            <w:tcW w:w="2682" w:type="dxa"/>
            <w:shd w:val="clear" w:color="auto" w:fill="auto"/>
          </w:tcPr>
          <w:p w14:paraId="2FA9BEC6" w14:textId="6570B7E4" w:rsidR="00CE7291" w:rsidRPr="00CE7291" w:rsidRDefault="00CE7291" w:rsidP="004F5C21">
            <w:pPr>
              <w:rPr>
                <w:lang w:val="es-ES"/>
              </w:rPr>
            </w:pPr>
            <w:r w:rsidRPr="00CE7291">
              <w:rPr>
                <w:highlight w:val="green"/>
                <w:lang w:val="es-ES"/>
              </w:rPr>
              <w:t>[Nombre]</w:t>
            </w:r>
            <w:r w:rsidR="00C42928" w:rsidRPr="004F5C21">
              <w:rPr>
                <w:lang w:val="es-ES"/>
              </w:rPr>
              <w:br/>
            </w:r>
            <w:r w:rsidRPr="00CE7291">
              <w:rPr>
                <w:highlight w:val="green"/>
                <w:lang w:val="es-ES"/>
              </w:rPr>
              <w:t>[Cargo oficial/Título]</w:t>
            </w:r>
            <w:r w:rsidR="00C42928" w:rsidRPr="004F5C21">
              <w:rPr>
                <w:lang w:val="es-ES"/>
              </w:rPr>
              <w:br/>
            </w:r>
            <w:r w:rsidRPr="00CE7291">
              <w:rPr>
                <w:highlight w:val="green"/>
                <w:lang w:val="es-ES"/>
              </w:rPr>
              <w:t>[Dirección]</w:t>
            </w:r>
          </w:p>
        </w:tc>
      </w:tr>
      <w:tr w:rsidR="004F5C21" w:rsidRPr="00CE7291" w14:paraId="5C0F4986" w14:textId="77777777" w:rsidTr="004F5C21">
        <w:trPr>
          <w:jc w:val="center"/>
        </w:trPr>
        <w:tc>
          <w:tcPr>
            <w:tcW w:w="1274" w:type="dxa"/>
            <w:shd w:val="clear" w:color="auto" w:fill="auto"/>
          </w:tcPr>
          <w:p w14:paraId="47ECC17D" w14:textId="77777777" w:rsidR="00CE7291" w:rsidRPr="00CE7291" w:rsidRDefault="00CE7291" w:rsidP="004F5C21">
            <w:pPr>
              <w:jc w:val="right"/>
              <w:rPr>
                <w:b/>
                <w:bCs/>
                <w:lang w:val="es-ES"/>
              </w:rPr>
            </w:pPr>
            <w:r w:rsidRPr="00CE7291">
              <w:rPr>
                <w:b/>
                <w:bCs/>
                <w:lang w:val="es-ES"/>
              </w:rPr>
              <w:t>Fax:</w:t>
            </w:r>
          </w:p>
        </w:tc>
        <w:tc>
          <w:tcPr>
            <w:tcW w:w="4521" w:type="dxa"/>
            <w:tcBorders>
              <w:right w:val="single" w:sz="8" w:space="0" w:color="auto"/>
            </w:tcBorders>
            <w:shd w:val="clear" w:color="auto" w:fill="auto"/>
          </w:tcPr>
          <w:p w14:paraId="60C7BF0F" w14:textId="77777777" w:rsidR="00CE7291" w:rsidRPr="00CE7291" w:rsidRDefault="00CE7291" w:rsidP="004F5C21">
            <w:pPr>
              <w:rPr>
                <w:lang w:val="es-ES"/>
              </w:rPr>
            </w:pPr>
            <w:r w:rsidRPr="00CE7291">
              <w:rPr>
                <w:lang w:val="es-ES"/>
              </w:rPr>
              <w:t>+41-22-730-5853</w:t>
            </w:r>
          </w:p>
        </w:tc>
        <w:tc>
          <w:tcPr>
            <w:tcW w:w="1162" w:type="dxa"/>
            <w:tcBorders>
              <w:left w:val="single" w:sz="8" w:space="0" w:color="auto"/>
            </w:tcBorders>
            <w:shd w:val="clear" w:color="auto" w:fill="auto"/>
          </w:tcPr>
          <w:p w14:paraId="69F99CCE" w14:textId="77777777" w:rsidR="00CE7291" w:rsidRPr="00CE7291" w:rsidRDefault="00CE7291" w:rsidP="004F5C21">
            <w:pPr>
              <w:jc w:val="right"/>
              <w:rPr>
                <w:b/>
                <w:bCs/>
                <w:lang w:val="es-ES"/>
              </w:rPr>
            </w:pPr>
            <w:r w:rsidRPr="00CE7291">
              <w:rPr>
                <w:b/>
                <w:bCs/>
                <w:lang w:val="es-ES"/>
              </w:rPr>
              <w:t>Fax:</w:t>
            </w:r>
          </w:p>
        </w:tc>
        <w:tc>
          <w:tcPr>
            <w:tcW w:w="2682" w:type="dxa"/>
            <w:shd w:val="clear" w:color="auto" w:fill="auto"/>
          </w:tcPr>
          <w:p w14:paraId="28017C6E" w14:textId="77777777" w:rsidR="00CE7291" w:rsidRPr="00CE7291" w:rsidRDefault="00CE7291" w:rsidP="004F5C21">
            <w:pPr>
              <w:rPr>
                <w:lang w:val="es-ES"/>
              </w:rPr>
            </w:pPr>
          </w:p>
        </w:tc>
      </w:tr>
      <w:tr w:rsidR="004F5C21" w:rsidRPr="00CE7291" w14:paraId="48555E1A" w14:textId="77777777" w:rsidTr="004F5C21">
        <w:trPr>
          <w:jc w:val="center"/>
        </w:trPr>
        <w:tc>
          <w:tcPr>
            <w:tcW w:w="1274" w:type="dxa"/>
            <w:shd w:val="clear" w:color="auto" w:fill="auto"/>
          </w:tcPr>
          <w:p w14:paraId="5184710C" w14:textId="77777777" w:rsidR="00CE7291" w:rsidRPr="00CE7291" w:rsidRDefault="00CE7291" w:rsidP="004F5C21">
            <w:pPr>
              <w:jc w:val="right"/>
              <w:rPr>
                <w:b/>
                <w:bCs/>
                <w:lang w:val="es-ES"/>
              </w:rPr>
            </w:pPr>
            <w:r w:rsidRPr="00CE7291">
              <w:rPr>
                <w:b/>
                <w:bCs/>
                <w:lang w:val="es-ES"/>
              </w:rPr>
              <w:t>Correo-e:</w:t>
            </w:r>
          </w:p>
        </w:tc>
        <w:tc>
          <w:tcPr>
            <w:tcW w:w="4521" w:type="dxa"/>
            <w:tcBorders>
              <w:right w:val="single" w:sz="8" w:space="0" w:color="auto"/>
            </w:tcBorders>
            <w:shd w:val="clear" w:color="auto" w:fill="auto"/>
          </w:tcPr>
          <w:p w14:paraId="60F1AB41" w14:textId="701DC1F7" w:rsidR="00CE7291" w:rsidRPr="00CE7291" w:rsidRDefault="00CE0B7E" w:rsidP="004F5C21">
            <w:pPr>
              <w:rPr>
                <w:lang w:val="es-ES"/>
              </w:rPr>
            </w:pPr>
            <w:hyperlink r:id="rId13" w:history="1">
              <w:r w:rsidR="00C42928" w:rsidRPr="00CE7291">
                <w:rPr>
                  <w:rStyle w:val="Hyperlink"/>
                  <w:szCs w:val="24"/>
                  <w:lang w:val="es-ES"/>
                </w:rPr>
                <w:t>tsbdir@itu.int</w:t>
              </w:r>
            </w:hyperlink>
          </w:p>
        </w:tc>
        <w:tc>
          <w:tcPr>
            <w:tcW w:w="1162" w:type="dxa"/>
            <w:tcBorders>
              <w:left w:val="single" w:sz="8" w:space="0" w:color="auto"/>
            </w:tcBorders>
            <w:shd w:val="clear" w:color="auto" w:fill="auto"/>
          </w:tcPr>
          <w:p w14:paraId="3243CAE9" w14:textId="77777777" w:rsidR="00CE7291" w:rsidRPr="00CE7291" w:rsidRDefault="00CE7291" w:rsidP="004F5C21">
            <w:pPr>
              <w:jc w:val="right"/>
              <w:rPr>
                <w:b/>
                <w:bCs/>
                <w:lang w:val="es-ES"/>
              </w:rPr>
            </w:pPr>
            <w:r w:rsidRPr="00CE7291">
              <w:rPr>
                <w:b/>
                <w:bCs/>
                <w:lang w:val="es-ES"/>
              </w:rPr>
              <w:t>Correo-e:</w:t>
            </w:r>
          </w:p>
        </w:tc>
        <w:tc>
          <w:tcPr>
            <w:tcW w:w="2682" w:type="dxa"/>
            <w:shd w:val="clear" w:color="auto" w:fill="auto"/>
          </w:tcPr>
          <w:p w14:paraId="6DCC0E81" w14:textId="77777777" w:rsidR="00CE7291" w:rsidRPr="00CE7291" w:rsidRDefault="00CE7291" w:rsidP="004F5C21">
            <w:pPr>
              <w:rPr>
                <w:lang w:val="es-ES"/>
              </w:rPr>
            </w:pPr>
          </w:p>
        </w:tc>
      </w:tr>
      <w:tr w:rsidR="004F5C21" w:rsidRPr="00CE7291" w14:paraId="45C507AB" w14:textId="77777777" w:rsidTr="004F5C21">
        <w:trPr>
          <w:jc w:val="center"/>
        </w:trPr>
        <w:tc>
          <w:tcPr>
            <w:tcW w:w="1274" w:type="dxa"/>
            <w:shd w:val="clear" w:color="auto" w:fill="auto"/>
          </w:tcPr>
          <w:p w14:paraId="0E07F360" w14:textId="77777777" w:rsidR="00CE7291" w:rsidRPr="00CE7291" w:rsidRDefault="00CE7291" w:rsidP="004F5C21">
            <w:pPr>
              <w:jc w:val="right"/>
              <w:rPr>
                <w:b/>
                <w:bCs/>
                <w:lang w:val="es-ES"/>
              </w:rPr>
            </w:pPr>
          </w:p>
        </w:tc>
        <w:tc>
          <w:tcPr>
            <w:tcW w:w="4521" w:type="dxa"/>
            <w:tcBorders>
              <w:right w:val="single" w:sz="8" w:space="0" w:color="auto"/>
            </w:tcBorders>
            <w:shd w:val="clear" w:color="auto" w:fill="auto"/>
          </w:tcPr>
          <w:p w14:paraId="62105AE0" w14:textId="77777777" w:rsidR="00CE7291" w:rsidRPr="00CE7291" w:rsidRDefault="00CE7291" w:rsidP="004F5C21">
            <w:pPr>
              <w:rPr>
                <w:lang w:val="es-ES"/>
              </w:rPr>
            </w:pPr>
          </w:p>
        </w:tc>
        <w:tc>
          <w:tcPr>
            <w:tcW w:w="1162" w:type="dxa"/>
            <w:tcBorders>
              <w:left w:val="single" w:sz="8" w:space="0" w:color="auto"/>
            </w:tcBorders>
            <w:shd w:val="clear" w:color="auto" w:fill="auto"/>
          </w:tcPr>
          <w:p w14:paraId="287B3BA3" w14:textId="77777777" w:rsidR="00CE7291" w:rsidRPr="00CE7291" w:rsidRDefault="00CE7291" w:rsidP="004F5C21">
            <w:pPr>
              <w:jc w:val="right"/>
              <w:rPr>
                <w:b/>
                <w:bCs/>
                <w:lang w:val="es-ES"/>
              </w:rPr>
            </w:pPr>
            <w:r w:rsidRPr="00CE7291">
              <w:rPr>
                <w:b/>
                <w:bCs/>
                <w:lang w:val="es-ES"/>
              </w:rPr>
              <w:t>Fecha:</w:t>
            </w:r>
          </w:p>
        </w:tc>
        <w:tc>
          <w:tcPr>
            <w:tcW w:w="2682" w:type="dxa"/>
            <w:shd w:val="clear" w:color="auto" w:fill="auto"/>
          </w:tcPr>
          <w:p w14:paraId="1AABA426" w14:textId="77777777" w:rsidR="00CE7291" w:rsidRPr="00CE7291" w:rsidRDefault="00CE7291" w:rsidP="004F5C21">
            <w:pPr>
              <w:rPr>
                <w:lang w:val="es-ES"/>
              </w:rPr>
            </w:pPr>
            <w:r w:rsidRPr="00CE7291">
              <w:rPr>
                <w:highlight w:val="green"/>
                <w:lang w:val="es-ES"/>
              </w:rPr>
              <w:t>[Lugar,]</w:t>
            </w:r>
            <w:r w:rsidRPr="00CE7291">
              <w:rPr>
                <w:lang w:val="es-ES"/>
              </w:rPr>
              <w:t xml:space="preserve"> </w:t>
            </w:r>
            <w:r w:rsidRPr="00CE7291">
              <w:rPr>
                <w:highlight w:val="green"/>
                <w:lang w:val="es-ES"/>
              </w:rPr>
              <w:t>[Fecha]</w:t>
            </w:r>
          </w:p>
        </w:tc>
      </w:tr>
    </w:tbl>
    <w:p w14:paraId="32C3F800" w14:textId="77777777" w:rsidR="00CE7291" w:rsidRPr="00CE7291" w:rsidRDefault="00CE7291" w:rsidP="00C42928">
      <w:pPr>
        <w:pStyle w:val="Normalaftertitle"/>
        <w:rPr>
          <w:lang w:val="es-ES"/>
        </w:rPr>
      </w:pPr>
      <w:r w:rsidRPr="00CE7291">
        <w:rPr>
          <w:lang w:val="es-ES"/>
        </w:rPr>
        <w:t>Muy Señora mía/Muy Señor mío:</w:t>
      </w:r>
    </w:p>
    <w:p w14:paraId="230DD96A" w14:textId="49E8F3C1" w:rsidR="00CE7291" w:rsidRPr="00CE7291" w:rsidRDefault="00CE7291" w:rsidP="00C42928">
      <w:pPr>
        <w:spacing w:after="120"/>
        <w:rPr>
          <w:lang w:val="es-ES"/>
        </w:rPr>
      </w:pPr>
      <w:r w:rsidRPr="00CE7291">
        <w:rPr>
          <w:lang w:val="es-ES"/>
        </w:rPr>
        <w:t>En relación con la consulta a los Estados Miembros sobre los proyectos de texto determinado que se enumeran en Circular</w:t>
      </w:r>
      <w:r w:rsidR="00C42928">
        <w:rPr>
          <w:lang w:val="es-ES"/>
        </w:rPr>
        <w:t> </w:t>
      </w:r>
      <w:r w:rsidRPr="00CE7291">
        <w:rPr>
          <w:lang w:val="es-ES"/>
        </w:rPr>
        <w:t>TSB</w:t>
      </w:r>
      <w:r w:rsidR="00C42928">
        <w:rPr>
          <w:lang w:val="es-ES"/>
        </w:rPr>
        <w:t> </w:t>
      </w:r>
      <w:r w:rsidRPr="00CE7291">
        <w:rPr>
          <w:lang w:val="es-ES"/>
        </w:rPr>
        <w:t>223, quisiera comunicarle la opinión de esta Administración, que se presenta en el siguiente cuadro: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7566"/>
      </w:tblGrid>
      <w:tr w:rsidR="00CE7291" w:rsidRPr="00CE7291" w14:paraId="3891FDEF" w14:textId="77777777" w:rsidTr="00645813">
        <w:trPr>
          <w:tblHeader/>
          <w:jc w:val="center"/>
        </w:trPr>
        <w:tc>
          <w:tcPr>
            <w:tcW w:w="2063" w:type="dxa"/>
            <w:shd w:val="clear" w:color="auto" w:fill="auto"/>
            <w:vAlign w:val="center"/>
          </w:tcPr>
          <w:p w14:paraId="5C115153" w14:textId="77777777" w:rsidR="00CE7291" w:rsidRPr="00CE7291" w:rsidRDefault="00CE7291" w:rsidP="00C42928">
            <w:pPr>
              <w:pStyle w:val="Tabletext0"/>
              <w:rPr>
                <w:lang w:val="es-ES"/>
              </w:rPr>
            </w:pPr>
          </w:p>
        </w:tc>
        <w:tc>
          <w:tcPr>
            <w:tcW w:w="7566" w:type="dxa"/>
            <w:shd w:val="clear" w:color="auto" w:fill="auto"/>
            <w:vAlign w:val="center"/>
          </w:tcPr>
          <w:p w14:paraId="1F69CAB3" w14:textId="77777777" w:rsidR="00CE7291" w:rsidRPr="00C42928" w:rsidRDefault="00CE7291" w:rsidP="00C42928">
            <w:pPr>
              <w:pStyle w:val="Tabletext0"/>
              <w:jc w:val="center"/>
              <w:rPr>
                <w:b/>
                <w:bCs/>
                <w:lang w:val="es-ES"/>
              </w:rPr>
            </w:pPr>
            <w:r w:rsidRPr="00C42928">
              <w:rPr>
                <w:b/>
                <w:bCs/>
                <w:lang w:val="es-ES"/>
              </w:rPr>
              <w:t>Seleccione una de las dos casillas para cada texto</w:t>
            </w:r>
          </w:p>
        </w:tc>
      </w:tr>
      <w:tr w:rsidR="00CE7291" w:rsidRPr="00CE7291" w14:paraId="0E1BAFAD" w14:textId="77777777" w:rsidTr="00645813">
        <w:trPr>
          <w:jc w:val="center"/>
        </w:trPr>
        <w:tc>
          <w:tcPr>
            <w:tcW w:w="2063" w:type="dxa"/>
            <w:vMerge w:val="restart"/>
            <w:shd w:val="clear" w:color="auto" w:fill="auto"/>
            <w:vAlign w:val="center"/>
          </w:tcPr>
          <w:p w14:paraId="53C7898C" w14:textId="77777777" w:rsidR="00CE7291" w:rsidRPr="00CE7291" w:rsidRDefault="00CE7291" w:rsidP="00C42928">
            <w:pPr>
              <w:pStyle w:val="Tabletext0"/>
              <w:jc w:val="center"/>
              <w:rPr>
                <w:b/>
                <w:bCs/>
                <w:lang w:val="es-ES"/>
              </w:rPr>
            </w:pPr>
            <w:r w:rsidRPr="00CE7291">
              <w:rPr>
                <w:b/>
                <w:bCs/>
                <w:lang w:val="es-ES"/>
              </w:rPr>
              <w:t>Proyecto de nueva</w:t>
            </w:r>
            <w:r w:rsidRPr="00CE7291">
              <w:rPr>
                <w:b/>
                <w:bCs/>
                <w:lang w:val="es-ES"/>
              </w:rPr>
              <w:br/>
              <w:t>Recomendación</w:t>
            </w:r>
            <w:r w:rsidRPr="00CE7291">
              <w:rPr>
                <w:b/>
                <w:bCs/>
                <w:lang w:val="es-ES"/>
              </w:rPr>
              <w:br/>
              <w:t>UIT-T Q.5054 (Q.CCF-CCSD)</w:t>
            </w:r>
          </w:p>
        </w:tc>
        <w:tc>
          <w:tcPr>
            <w:tcW w:w="7566" w:type="dxa"/>
            <w:shd w:val="clear" w:color="auto" w:fill="auto"/>
            <w:vAlign w:val="center"/>
          </w:tcPr>
          <w:p w14:paraId="28F4A3E4" w14:textId="684787D1" w:rsidR="00CE7291" w:rsidRPr="00CE7291" w:rsidRDefault="00CE7291" w:rsidP="00C42928">
            <w:pPr>
              <w:pStyle w:val="Tabletext0"/>
              <w:tabs>
                <w:tab w:val="clear" w:pos="284"/>
              </w:tabs>
              <w:ind w:left="567" w:hanging="567"/>
              <w:rPr>
                <w:lang w:val="es-ES"/>
              </w:rPr>
            </w:pPr>
            <w:r w:rsidRPr="00CE7291">
              <w:rPr>
                <w:lang w:val="es-ES"/>
              </w:rPr>
              <w:fldChar w:fldCharType="begin">
                <w:ffData>
                  <w:name w:val="Check1"/>
                  <w:enabled/>
                  <w:calcOnExit w:val="0"/>
                  <w:checkBox>
                    <w:sizeAuto/>
                    <w:default w:val="0"/>
                  </w:checkBox>
                </w:ffData>
              </w:fldChar>
            </w:r>
            <w:r w:rsidRPr="00CE7291">
              <w:rPr>
                <w:lang w:val="es-ES"/>
              </w:rPr>
              <w:instrText xml:space="preserve"> FORMCHECKBOX </w:instrText>
            </w:r>
            <w:r w:rsidR="00CE0B7E">
              <w:rPr>
                <w:lang w:val="es-ES"/>
              </w:rPr>
            </w:r>
            <w:r w:rsidR="00CE0B7E">
              <w:rPr>
                <w:lang w:val="es-ES"/>
              </w:rPr>
              <w:fldChar w:fldCharType="separate"/>
            </w:r>
            <w:r w:rsidRPr="00CE7291">
              <w:rPr>
                <w:lang w:val="es-ES"/>
              </w:rPr>
              <w:fldChar w:fldCharType="end"/>
            </w:r>
            <w:r w:rsidRPr="00CE7291">
              <w:rPr>
                <w:lang w:val="es-ES"/>
              </w:rPr>
              <w:tab/>
            </w:r>
            <w:r w:rsidR="00C108CE" w:rsidRPr="00CE7291">
              <w:rPr>
                <w:b/>
                <w:bCs/>
                <w:lang w:val="es-ES"/>
              </w:rPr>
              <w:t xml:space="preserve">Otorga </w:t>
            </w:r>
            <w:r w:rsidRPr="00CE7291">
              <w:rPr>
                <w:b/>
                <w:bCs/>
                <w:lang w:val="es-ES"/>
              </w:rPr>
              <w:t>autoridad</w:t>
            </w:r>
            <w:r w:rsidRPr="00CE7291">
              <w:rPr>
                <w:lang w:val="es-ES"/>
              </w:rPr>
              <w:t xml:space="preserve"> a la Comisión de Estudio</w:t>
            </w:r>
            <w:r w:rsidR="00C42928">
              <w:rPr>
                <w:lang w:val="es-ES"/>
              </w:rPr>
              <w:t> </w:t>
            </w:r>
            <w:r w:rsidRPr="00CE7291">
              <w:rPr>
                <w:lang w:val="es-ES"/>
              </w:rPr>
              <w:t>11 a fin de examinar este texto para aprobación (en cuyo caso seleccionará una de las dos opciones):</w:t>
            </w:r>
          </w:p>
          <w:p w14:paraId="4C40281C" w14:textId="460D9426" w:rsidR="00CE7291" w:rsidRPr="00CE7291" w:rsidRDefault="00CE7291" w:rsidP="00C42928">
            <w:pPr>
              <w:pStyle w:val="Tabletext0"/>
              <w:tabs>
                <w:tab w:val="clear" w:pos="851"/>
              </w:tabs>
              <w:ind w:left="567"/>
              <w:rPr>
                <w:lang w:val="es-ES"/>
              </w:rPr>
            </w:pPr>
            <w:r w:rsidRPr="00CE7291">
              <w:rPr>
                <w:lang w:val="es-ES"/>
              </w:rPr>
              <w:fldChar w:fldCharType="begin">
                <w:ffData>
                  <w:name w:val="Check1"/>
                  <w:enabled/>
                  <w:calcOnExit w:val="0"/>
                  <w:checkBox>
                    <w:sizeAuto/>
                    <w:default w:val="0"/>
                  </w:checkBox>
                </w:ffData>
              </w:fldChar>
            </w:r>
            <w:r w:rsidRPr="00CE7291">
              <w:rPr>
                <w:lang w:val="es-ES"/>
              </w:rPr>
              <w:instrText xml:space="preserve"> FORMCHECKBOX </w:instrText>
            </w:r>
            <w:r w:rsidR="00CE0B7E">
              <w:rPr>
                <w:lang w:val="es-ES"/>
              </w:rPr>
            </w:r>
            <w:r w:rsidR="00CE0B7E">
              <w:rPr>
                <w:lang w:val="es-ES"/>
              </w:rPr>
              <w:fldChar w:fldCharType="separate"/>
            </w:r>
            <w:r w:rsidRPr="00CE7291">
              <w:rPr>
                <w:lang w:val="es-ES"/>
              </w:rPr>
              <w:fldChar w:fldCharType="end"/>
            </w:r>
            <w:r w:rsidRPr="00CE7291">
              <w:rPr>
                <w:lang w:val="es-ES"/>
              </w:rPr>
              <w:tab/>
              <w:t>Sin comentarios o cambios sugeridos</w:t>
            </w:r>
            <w:r w:rsidR="001B4269">
              <w:rPr>
                <w:lang w:val="es-ES"/>
              </w:rPr>
              <w:t>.</w:t>
            </w:r>
          </w:p>
          <w:p w14:paraId="544FA28C" w14:textId="3CBD525D" w:rsidR="00CE7291" w:rsidRPr="00CE7291" w:rsidRDefault="00CE7291" w:rsidP="00C42928">
            <w:pPr>
              <w:pStyle w:val="Tabletext0"/>
              <w:tabs>
                <w:tab w:val="clear" w:pos="851"/>
              </w:tabs>
              <w:ind w:left="567"/>
              <w:rPr>
                <w:lang w:val="es-ES"/>
              </w:rPr>
            </w:pPr>
            <w:r w:rsidRPr="00CE7291">
              <w:rPr>
                <w:lang w:val="es-ES"/>
              </w:rPr>
              <w:fldChar w:fldCharType="begin">
                <w:ffData>
                  <w:name w:val="Check1"/>
                  <w:enabled/>
                  <w:calcOnExit w:val="0"/>
                  <w:checkBox>
                    <w:sizeAuto/>
                    <w:default w:val="0"/>
                  </w:checkBox>
                </w:ffData>
              </w:fldChar>
            </w:r>
            <w:r w:rsidRPr="00CE7291">
              <w:rPr>
                <w:lang w:val="es-ES"/>
              </w:rPr>
              <w:instrText xml:space="preserve"> FORMCHECKBOX </w:instrText>
            </w:r>
            <w:r w:rsidR="00CE0B7E">
              <w:rPr>
                <w:lang w:val="es-ES"/>
              </w:rPr>
            </w:r>
            <w:r w:rsidR="00CE0B7E">
              <w:rPr>
                <w:lang w:val="es-ES"/>
              </w:rPr>
              <w:fldChar w:fldCharType="separate"/>
            </w:r>
            <w:r w:rsidRPr="00CE7291">
              <w:rPr>
                <w:lang w:val="es-ES"/>
              </w:rPr>
              <w:fldChar w:fldCharType="end"/>
            </w:r>
            <w:r w:rsidRPr="00CE7291">
              <w:rPr>
                <w:lang w:val="es-ES"/>
              </w:rPr>
              <w:tab/>
              <w:t>Se adjuntan los comentarios o cambios sugeridos</w:t>
            </w:r>
            <w:r w:rsidR="001B4269">
              <w:rPr>
                <w:lang w:val="es-ES"/>
              </w:rPr>
              <w:t>.</w:t>
            </w:r>
          </w:p>
        </w:tc>
      </w:tr>
      <w:tr w:rsidR="00CE7291" w:rsidRPr="00CE7291" w14:paraId="499C8FBB" w14:textId="77777777" w:rsidTr="00645813">
        <w:trPr>
          <w:jc w:val="center"/>
        </w:trPr>
        <w:tc>
          <w:tcPr>
            <w:tcW w:w="2063" w:type="dxa"/>
            <w:vMerge/>
            <w:shd w:val="clear" w:color="auto" w:fill="auto"/>
            <w:vAlign w:val="center"/>
          </w:tcPr>
          <w:p w14:paraId="572F3904" w14:textId="77777777" w:rsidR="00CE7291" w:rsidRPr="00CE7291" w:rsidRDefault="00CE7291" w:rsidP="00C42928">
            <w:pPr>
              <w:jc w:val="center"/>
              <w:rPr>
                <w:b/>
                <w:bCs/>
                <w:lang w:val="es-ES"/>
              </w:rPr>
            </w:pPr>
          </w:p>
        </w:tc>
        <w:tc>
          <w:tcPr>
            <w:tcW w:w="7566" w:type="dxa"/>
            <w:shd w:val="clear" w:color="auto" w:fill="auto"/>
            <w:vAlign w:val="center"/>
          </w:tcPr>
          <w:p w14:paraId="49AB3EFF" w14:textId="64B63287" w:rsidR="00CE7291" w:rsidRPr="00CE7291" w:rsidRDefault="00CE7291" w:rsidP="00C42928">
            <w:pPr>
              <w:pStyle w:val="Tabletext0"/>
              <w:tabs>
                <w:tab w:val="clear" w:pos="284"/>
              </w:tabs>
              <w:ind w:left="567" w:hanging="567"/>
              <w:rPr>
                <w:lang w:val="es-ES"/>
              </w:rPr>
            </w:pPr>
            <w:r w:rsidRPr="00CE7291">
              <w:rPr>
                <w:lang w:val="es-ES"/>
              </w:rPr>
              <w:fldChar w:fldCharType="begin">
                <w:ffData>
                  <w:name w:val="Check1"/>
                  <w:enabled/>
                  <w:calcOnExit w:val="0"/>
                  <w:checkBox>
                    <w:sizeAuto/>
                    <w:default w:val="0"/>
                  </w:checkBox>
                </w:ffData>
              </w:fldChar>
            </w:r>
            <w:r w:rsidRPr="00CE7291">
              <w:rPr>
                <w:lang w:val="es-ES"/>
              </w:rPr>
              <w:instrText xml:space="preserve"> FORMCHECKBOX </w:instrText>
            </w:r>
            <w:r w:rsidR="00CE0B7E">
              <w:rPr>
                <w:lang w:val="es-ES"/>
              </w:rPr>
            </w:r>
            <w:r w:rsidR="00CE0B7E">
              <w:rPr>
                <w:lang w:val="es-ES"/>
              </w:rPr>
              <w:fldChar w:fldCharType="separate"/>
            </w:r>
            <w:r w:rsidRPr="00CE7291">
              <w:rPr>
                <w:lang w:val="es-ES"/>
              </w:rPr>
              <w:fldChar w:fldCharType="end"/>
            </w:r>
            <w:r w:rsidRPr="00CE7291">
              <w:rPr>
                <w:lang w:val="es-ES"/>
              </w:rPr>
              <w:tab/>
            </w:r>
            <w:r w:rsidR="00C108CE" w:rsidRPr="00CE7291">
              <w:rPr>
                <w:b/>
                <w:bCs/>
                <w:lang w:val="es-ES"/>
              </w:rPr>
              <w:t xml:space="preserve">No </w:t>
            </w:r>
            <w:r w:rsidRPr="00CE7291">
              <w:rPr>
                <w:b/>
                <w:bCs/>
                <w:lang w:val="es-ES"/>
              </w:rPr>
              <w:t>otorga autoridad</w:t>
            </w:r>
            <w:r w:rsidRPr="00CE7291">
              <w:rPr>
                <w:lang w:val="es-ES"/>
              </w:rPr>
              <w:t xml:space="preserve"> a la Comisión de Estudio</w:t>
            </w:r>
            <w:r w:rsidR="00C42928">
              <w:rPr>
                <w:lang w:val="es-ES"/>
              </w:rPr>
              <w:t> </w:t>
            </w:r>
            <w:r w:rsidRPr="00CE7291">
              <w:rPr>
                <w:lang w:val="es-ES"/>
              </w:rPr>
              <w:t>11 a fin de examinar este texto para aprobación (se adjuntan los motivos para esta opinión y las posibles modificaciones que permitirían que prosiguieran los trabajos)</w:t>
            </w:r>
            <w:r w:rsidR="001B4269">
              <w:rPr>
                <w:lang w:val="es-ES"/>
              </w:rPr>
              <w:t>.</w:t>
            </w:r>
          </w:p>
        </w:tc>
      </w:tr>
      <w:tr w:rsidR="00CE7291" w:rsidRPr="00CE7291" w14:paraId="4ECD565F" w14:textId="77777777" w:rsidTr="00645813">
        <w:trPr>
          <w:jc w:val="center"/>
        </w:trPr>
        <w:tc>
          <w:tcPr>
            <w:tcW w:w="2063" w:type="dxa"/>
            <w:vMerge w:val="restart"/>
            <w:shd w:val="clear" w:color="auto" w:fill="auto"/>
            <w:vAlign w:val="center"/>
          </w:tcPr>
          <w:p w14:paraId="1642E3A2" w14:textId="77777777" w:rsidR="00CE7291" w:rsidRPr="00CE7291" w:rsidRDefault="00CE7291" w:rsidP="00C42928">
            <w:pPr>
              <w:pStyle w:val="Tabletext0"/>
              <w:jc w:val="center"/>
              <w:rPr>
                <w:b/>
                <w:bCs/>
                <w:lang w:val="es-ES"/>
              </w:rPr>
            </w:pPr>
            <w:r w:rsidRPr="00CE7291">
              <w:rPr>
                <w:b/>
                <w:bCs/>
                <w:lang w:val="es-ES"/>
              </w:rPr>
              <w:t>Proyecto de nueva</w:t>
            </w:r>
            <w:r w:rsidRPr="00CE7291">
              <w:rPr>
                <w:b/>
                <w:bCs/>
                <w:lang w:val="es-ES"/>
              </w:rPr>
              <w:br/>
              <w:t>Recomendación</w:t>
            </w:r>
            <w:r w:rsidRPr="00CE7291">
              <w:rPr>
                <w:b/>
                <w:bCs/>
                <w:lang w:val="es-ES"/>
              </w:rPr>
              <w:br/>
              <w:t>UIT-T Q.5010 (</w:t>
            </w:r>
            <w:proofErr w:type="gramStart"/>
            <w:r w:rsidRPr="00CE7291">
              <w:rPr>
                <w:b/>
                <w:bCs/>
                <w:lang w:val="es-ES"/>
              </w:rPr>
              <w:t>Q.UAMS</w:t>
            </w:r>
            <w:proofErr w:type="gramEnd"/>
            <w:r w:rsidRPr="00CE7291">
              <w:rPr>
                <w:b/>
                <w:bCs/>
                <w:lang w:val="es-ES"/>
              </w:rPr>
              <w:t>-SRA)</w:t>
            </w:r>
          </w:p>
        </w:tc>
        <w:tc>
          <w:tcPr>
            <w:tcW w:w="7566" w:type="dxa"/>
            <w:shd w:val="clear" w:color="auto" w:fill="auto"/>
            <w:vAlign w:val="center"/>
          </w:tcPr>
          <w:p w14:paraId="1F238A81" w14:textId="5C74DBBC" w:rsidR="00CE7291" w:rsidRPr="00CE7291" w:rsidRDefault="00CE7291" w:rsidP="00C42928">
            <w:pPr>
              <w:pStyle w:val="Tabletext0"/>
              <w:tabs>
                <w:tab w:val="clear" w:pos="284"/>
              </w:tabs>
              <w:ind w:left="567" w:hanging="567"/>
              <w:rPr>
                <w:lang w:val="es-ES"/>
              </w:rPr>
            </w:pPr>
            <w:r w:rsidRPr="00CE7291">
              <w:rPr>
                <w:lang w:val="es-ES"/>
              </w:rPr>
              <w:fldChar w:fldCharType="begin">
                <w:ffData>
                  <w:name w:val="Check1"/>
                  <w:enabled/>
                  <w:calcOnExit w:val="0"/>
                  <w:checkBox>
                    <w:sizeAuto/>
                    <w:default w:val="0"/>
                  </w:checkBox>
                </w:ffData>
              </w:fldChar>
            </w:r>
            <w:r w:rsidRPr="00CE7291">
              <w:rPr>
                <w:lang w:val="es-ES"/>
              </w:rPr>
              <w:instrText xml:space="preserve"> FORMCHECKBOX </w:instrText>
            </w:r>
            <w:r w:rsidR="00CE0B7E">
              <w:rPr>
                <w:lang w:val="es-ES"/>
              </w:rPr>
            </w:r>
            <w:r w:rsidR="00CE0B7E">
              <w:rPr>
                <w:lang w:val="es-ES"/>
              </w:rPr>
              <w:fldChar w:fldCharType="separate"/>
            </w:r>
            <w:r w:rsidRPr="00CE7291">
              <w:rPr>
                <w:lang w:val="es-ES"/>
              </w:rPr>
              <w:fldChar w:fldCharType="end"/>
            </w:r>
            <w:r w:rsidRPr="00CE7291">
              <w:rPr>
                <w:lang w:val="es-ES"/>
              </w:rPr>
              <w:tab/>
            </w:r>
            <w:r w:rsidR="00C108CE" w:rsidRPr="00CE7291">
              <w:rPr>
                <w:b/>
                <w:bCs/>
                <w:lang w:val="es-ES"/>
              </w:rPr>
              <w:t xml:space="preserve">Otorga </w:t>
            </w:r>
            <w:r w:rsidRPr="00CE7291">
              <w:rPr>
                <w:b/>
                <w:bCs/>
                <w:lang w:val="es-ES"/>
              </w:rPr>
              <w:t>autoridad</w:t>
            </w:r>
            <w:r w:rsidRPr="00CE7291">
              <w:rPr>
                <w:lang w:val="es-ES"/>
              </w:rPr>
              <w:t xml:space="preserve"> a la Comisión de Estudio</w:t>
            </w:r>
            <w:r w:rsidR="00C42928">
              <w:rPr>
                <w:lang w:val="es-ES"/>
              </w:rPr>
              <w:t> </w:t>
            </w:r>
            <w:r w:rsidRPr="00CE7291">
              <w:rPr>
                <w:lang w:val="es-ES"/>
              </w:rPr>
              <w:t>11 a fin de examinar este texto para aprobación (en cuyo caso seleccionará una de las dos opciones):</w:t>
            </w:r>
          </w:p>
          <w:p w14:paraId="318549BC" w14:textId="62C618E7" w:rsidR="00CE7291" w:rsidRPr="00CE7291" w:rsidRDefault="00CE7291" w:rsidP="00C42928">
            <w:pPr>
              <w:pStyle w:val="Tabletext0"/>
              <w:tabs>
                <w:tab w:val="clear" w:pos="851"/>
              </w:tabs>
              <w:ind w:left="567"/>
              <w:rPr>
                <w:lang w:val="es-ES"/>
              </w:rPr>
            </w:pPr>
            <w:r w:rsidRPr="00CE7291">
              <w:rPr>
                <w:lang w:val="es-ES"/>
              </w:rPr>
              <w:fldChar w:fldCharType="begin">
                <w:ffData>
                  <w:name w:val="Check1"/>
                  <w:enabled/>
                  <w:calcOnExit w:val="0"/>
                  <w:checkBox>
                    <w:sizeAuto/>
                    <w:default w:val="0"/>
                  </w:checkBox>
                </w:ffData>
              </w:fldChar>
            </w:r>
            <w:r w:rsidRPr="00CE7291">
              <w:rPr>
                <w:lang w:val="es-ES"/>
              </w:rPr>
              <w:instrText xml:space="preserve"> FORMCHECKBOX </w:instrText>
            </w:r>
            <w:r w:rsidR="00CE0B7E">
              <w:rPr>
                <w:lang w:val="es-ES"/>
              </w:rPr>
            </w:r>
            <w:r w:rsidR="00CE0B7E">
              <w:rPr>
                <w:lang w:val="es-ES"/>
              </w:rPr>
              <w:fldChar w:fldCharType="separate"/>
            </w:r>
            <w:r w:rsidRPr="00CE7291">
              <w:rPr>
                <w:lang w:val="es-ES"/>
              </w:rPr>
              <w:fldChar w:fldCharType="end"/>
            </w:r>
            <w:r w:rsidRPr="00CE7291">
              <w:rPr>
                <w:lang w:val="es-ES"/>
              </w:rPr>
              <w:tab/>
              <w:t>Sin comentarios o cambios sugeridos</w:t>
            </w:r>
            <w:r w:rsidR="001B4269">
              <w:rPr>
                <w:lang w:val="es-ES"/>
              </w:rPr>
              <w:t>.</w:t>
            </w:r>
          </w:p>
          <w:p w14:paraId="616A8717" w14:textId="3AB5929B" w:rsidR="00CE7291" w:rsidRPr="00CE7291" w:rsidRDefault="00CE7291" w:rsidP="00C42928">
            <w:pPr>
              <w:pStyle w:val="Tabletext0"/>
              <w:tabs>
                <w:tab w:val="clear" w:pos="851"/>
              </w:tabs>
              <w:ind w:left="567"/>
              <w:rPr>
                <w:lang w:val="es-ES"/>
              </w:rPr>
            </w:pPr>
            <w:r w:rsidRPr="00CE7291">
              <w:rPr>
                <w:lang w:val="es-ES"/>
              </w:rPr>
              <w:fldChar w:fldCharType="begin">
                <w:ffData>
                  <w:name w:val="Check1"/>
                  <w:enabled/>
                  <w:calcOnExit w:val="0"/>
                  <w:checkBox>
                    <w:sizeAuto/>
                    <w:default w:val="0"/>
                  </w:checkBox>
                </w:ffData>
              </w:fldChar>
            </w:r>
            <w:r w:rsidRPr="00CE7291">
              <w:rPr>
                <w:lang w:val="es-ES"/>
              </w:rPr>
              <w:instrText xml:space="preserve"> FORMCHECKBOX </w:instrText>
            </w:r>
            <w:r w:rsidR="00CE0B7E">
              <w:rPr>
                <w:lang w:val="es-ES"/>
              </w:rPr>
            </w:r>
            <w:r w:rsidR="00CE0B7E">
              <w:rPr>
                <w:lang w:val="es-ES"/>
              </w:rPr>
              <w:fldChar w:fldCharType="separate"/>
            </w:r>
            <w:r w:rsidRPr="00CE7291">
              <w:rPr>
                <w:lang w:val="es-ES"/>
              </w:rPr>
              <w:fldChar w:fldCharType="end"/>
            </w:r>
            <w:r w:rsidRPr="00CE7291">
              <w:rPr>
                <w:lang w:val="es-ES"/>
              </w:rPr>
              <w:tab/>
              <w:t>Se adjuntan los comentarios o cambios sugeridos</w:t>
            </w:r>
            <w:r w:rsidR="001B4269">
              <w:rPr>
                <w:lang w:val="es-ES"/>
              </w:rPr>
              <w:t>.</w:t>
            </w:r>
          </w:p>
        </w:tc>
      </w:tr>
      <w:tr w:rsidR="00CE7291" w:rsidRPr="00CE7291" w14:paraId="5E3D8D58" w14:textId="77777777" w:rsidTr="00645813">
        <w:trPr>
          <w:jc w:val="center"/>
        </w:trPr>
        <w:tc>
          <w:tcPr>
            <w:tcW w:w="2063" w:type="dxa"/>
            <w:vMerge/>
            <w:shd w:val="clear" w:color="auto" w:fill="auto"/>
            <w:vAlign w:val="center"/>
          </w:tcPr>
          <w:p w14:paraId="36774C42" w14:textId="77777777" w:rsidR="00CE7291" w:rsidRPr="00CE7291" w:rsidRDefault="00CE7291" w:rsidP="00CE7291">
            <w:pPr>
              <w:rPr>
                <w:b/>
                <w:bCs/>
                <w:lang w:val="es-ES"/>
              </w:rPr>
            </w:pPr>
          </w:p>
        </w:tc>
        <w:tc>
          <w:tcPr>
            <w:tcW w:w="7566" w:type="dxa"/>
            <w:shd w:val="clear" w:color="auto" w:fill="auto"/>
            <w:vAlign w:val="center"/>
          </w:tcPr>
          <w:p w14:paraId="19B56056" w14:textId="3FA1BBFC" w:rsidR="00CE7291" w:rsidRPr="00CE7291" w:rsidRDefault="00CE7291" w:rsidP="00C42928">
            <w:pPr>
              <w:pStyle w:val="Tabletext0"/>
              <w:tabs>
                <w:tab w:val="clear" w:pos="284"/>
              </w:tabs>
              <w:ind w:left="567" w:hanging="567"/>
              <w:rPr>
                <w:lang w:val="es-ES"/>
              </w:rPr>
            </w:pPr>
            <w:r w:rsidRPr="00CE7291">
              <w:rPr>
                <w:lang w:val="es-ES"/>
              </w:rPr>
              <w:fldChar w:fldCharType="begin">
                <w:ffData>
                  <w:name w:val="Check1"/>
                  <w:enabled/>
                  <w:calcOnExit w:val="0"/>
                  <w:checkBox>
                    <w:sizeAuto/>
                    <w:default w:val="0"/>
                  </w:checkBox>
                </w:ffData>
              </w:fldChar>
            </w:r>
            <w:r w:rsidRPr="00CE7291">
              <w:rPr>
                <w:lang w:val="es-ES"/>
              </w:rPr>
              <w:instrText xml:space="preserve"> FORMCHECKBOX </w:instrText>
            </w:r>
            <w:r w:rsidR="00CE0B7E">
              <w:rPr>
                <w:lang w:val="es-ES"/>
              </w:rPr>
            </w:r>
            <w:r w:rsidR="00CE0B7E">
              <w:rPr>
                <w:lang w:val="es-ES"/>
              </w:rPr>
              <w:fldChar w:fldCharType="separate"/>
            </w:r>
            <w:r w:rsidRPr="00CE7291">
              <w:rPr>
                <w:lang w:val="es-ES"/>
              </w:rPr>
              <w:fldChar w:fldCharType="end"/>
            </w:r>
            <w:r w:rsidRPr="00CE7291">
              <w:rPr>
                <w:lang w:val="es-ES"/>
              </w:rPr>
              <w:tab/>
            </w:r>
            <w:r w:rsidR="00C108CE" w:rsidRPr="00CE7291">
              <w:rPr>
                <w:b/>
                <w:bCs/>
                <w:lang w:val="es-ES"/>
              </w:rPr>
              <w:t xml:space="preserve">No </w:t>
            </w:r>
            <w:r w:rsidRPr="00CE7291">
              <w:rPr>
                <w:b/>
                <w:bCs/>
                <w:lang w:val="es-ES"/>
              </w:rPr>
              <w:t>otorga autoridad</w:t>
            </w:r>
            <w:r w:rsidRPr="00CE7291">
              <w:rPr>
                <w:lang w:val="es-ES"/>
              </w:rPr>
              <w:t xml:space="preserve"> a la Comisión de Estudio</w:t>
            </w:r>
            <w:r w:rsidR="00C42928">
              <w:rPr>
                <w:lang w:val="es-ES"/>
              </w:rPr>
              <w:t> </w:t>
            </w:r>
            <w:r w:rsidRPr="00CE7291">
              <w:rPr>
                <w:lang w:val="es-ES"/>
              </w:rPr>
              <w:t>11 a fin de examinar este texto para aprobación (se adjuntan los motivos para esta opinión y las posibles modificaciones que permitirían que prosiguieran los trabajos)</w:t>
            </w:r>
            <w:r w:rsidR="001B4269">
              <w:rPr>
                <w:lang w:val="es-ES"/>
              </w:rPr>
              <w:t>.</w:t>
            </w:r>
          </w:p>
        </w:tc>
      </w:tr>
    </w:tbl>
    <w:p w14:paraId="1007344D" w14:textId="77777777" w:rsidR="00CE7291" w:rsidRPr="00CE7291" w:rsidRDefault="00CE7291" w:rsidP="00CE7291">
      <w:pPr>
        <w:rPr>
          <w:lang w:val="es-ES"/>
        </w:rPr>
      </w:pPr>
      <w:r w:rsidRPr="00CE7291">
        <w:rPr>
          <w:lang w:val="es-ES"/>
        </w:rPr>
        <w:t>Atentamente,</w:t>
      </w:r>
    </w:p>
    <w:p w14:paraId="5854A72C" w14:textId="305F768C" w:rsidR="00101541" w:rsidRPr="00CE7291" w:rsidRDefault="00CE7291" w:rsidP="00C42928">
      <w:pPr>
        <w:spacing w:before="480"/>
        <w:rPr>
          <w:lang w:val="es-ES"/>
        </w:rPr>
      </w:pPr>
      <w:r w:rsidRPr="00CE7291">
        <w:rPr>
          <w:highlight w:val="green"/>
          <w:lang w:val="es-ES"/>
        </w:rPr>
        <w:t>[Nombre]</w:t>
      </w:r>
      <w:r w:rsidR="00C42928">
        <w:rPr>
          <w:lang w:val="es-ES"/>
        </w:rPr>
        <w:br/>
      </w:r>
      <w:r w:rsidRPr="00CE7291">
        <w:rPr>
          <w:highlight w:val="green"/>
          <w:lang w:val="es-ES"/>
        </w:rPr>
        <w:t>[Cargo oficial/Título]</w:t>
      </w:r>
      <w:r w:rsidR="00C42928">
        <w:rPr>
          <w:lang w:val="es-ES"/>
        </w:rPr>
        <w:br/>
      </w:r>
      <w:r w:rsidRPr="00CE7291">
        <w:rPr>
          <w:lang w:val="es-ES"/>
        </w:rPr>
        <w:t xml:space="preserve">Administración de </w:t>
      </w:r>
      <w:r w:rsidRPr="00CE7291">
        <w:rPr>
          <w:highlight w:val="green"/>
          <w:lang w:val="es-ES"/>
        </w:rPr>
        <w:t>[Estado Miembro]</w:t>
      </w:r>
    </w:p>
    <w:sectPr w:rsidR="00101541" w:rsidRPr="00CE7291" w:rsidSect="00B87E9E">
      <w:headerReference w:type="default" r:id="rId14"/>
      <w:footerReference w:type="first" r:id="rId15"/>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FC31FE" w14:textId="77777777" w:rsidR="00110B04" w:rsidRDefault="00110B04">
      <w:r>
        <w:separator/>
      </w:r>
    </w:p>
  </w:endnote>
  <w:endnote w:type="continuationSeparator" w:id="0">
    <w:p w14:paraId="76539286" w14:textId="77777777" w:rsidR="00110B04" w:rsidRDefault="00110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imes New Roman Bold">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72DDA" w14:textId="2A7C35AE" w:rsidR="0014464D" w:rsidRPr="00D834E7" w:rsidRDefault="0014464D" w:rsidP="00FC416A">
    <w:pPr>
      <w:pStyle w:val="FirstFooter"/>
      <w:ind w:left="-397" w:right="-397"/>
      <w:jc w:val="center"/>
      <w:rPr>
        <w:color w:val="0070C0"/>
        <w:szCs w:val="18"/>
        <w:lang w:val="es-ES"/>
      </w:rPr>
    </w:pPr>
    <w:r w:rsidRPr="00D834E7">
      <w:rPr>
        <w:color w:val="0070C0"/>
        <w:szCs w:val="18"/>
        <w:lang w:val="es-ES"/>
      </w:rPr>
      <w:t xml:space="preserve">Unión Internacional de Telecomunicaciones • Place des </w:t>
    </w:r>
    <w:proofErr w:type="spellStart"/>
    <w:r w:rsidRPr="00D834E7">
      <w:rPr>
        <w:color w:val="0070C0"/>
        <w:szCs w:val="18"/>
        <w:lang w:val="es-ES"/>
      </w:rPr>
      <w:t>Nations</w:t>
    </w:r>
    <w:proofErr w:type="spellEnd"/>
    <w:r w:rsidRPr="00D834E7">
      <w:rPr>
        <w:color w:val="0070C0"/>
        <w:szCs w:val="18"/>
        <w:lang w:val="es-ES"/>
      </w:rPr>
      <w:t>, CH</w:t>
    </w:r>
    <w:r w:rsidRPr="00D834E7">
      <w:rPr>
        <w:color w:val="0070C0"/>
        <w:szCs w:val="18"/>
        <w:lang w:val="es-ES"/>
      </w:rPr>
      <w:noBreakHyphen/>
      <w:t xml:space="preserve">1211 Ginebra 20, Suiza </w:t>
    </w:r>
    <w:r w:rsidRPr="00D834E7">
      <w:rPr>
        <w:color w:val="0070C0"/>
        <w:szCs w:val="18"/>
        <w:lang w:val="es-ES"/>
      </w:rPr>
      <w:br/>
      <w:t>Tel</w:t>
    </w:r>
    <w:r w:rsidR="00101541">
      <w:rPr>
        <w:color w:val="0070C0"/>
        <w:szCs w:val="18"/>
        <w:lang w:val="es-ES"/>
      </w:rPr>
      <w:t>.</w:t>
    </w:r>
    <w:r w:rsidRPr="00D834E7">
      <w:rPr>
        <w:color w:val="0070C0"/>
        <w:szCs w:val="18"/>
        <w:lang w:val="es-ES"/>
      </w:rPr>
      <w:t xml:space="preserve">: +41 22 730 5111 • Fax: +41 22 733 7256 • Correo-e: </w:t>
    </w:r>
    <w:hyperlink r:id="rId1" w:history="1">
      <w:r w:rsidRPr="00D834E7">
        <w:rPr>
          <w:rStyle w:val="Hyperlink"/>
          <w:color w:val="0070C0"/>
          <w:lang w:val="es-ES"/>
        </w:rPr>
        <w:t>itumail@itu.int</w:t>
      </w:r>
    </w:hyperlink>
    <w:r w:rsidRPr="00D834E7">
      <w:rPr>
        <w:color w:val="0070C0"/>
        <w:szCs w:val="18"/>
        <w:lang w:val="es-ES"/>
      </w:rPr>
      <w:t xml:space="preserve"> • </w:t>
    </w:r>
    <w:hyperlink r:id="rId2" w:history="1">
      <w:r w:rsidRPr="00D834E7">
        <w:rPr>
          <w:rStyle w:val="Hyperlink"/>
          <w:color w:val="0070C0"/>
          <w:lang w:val="es-ES"/>
        </w:rPr>
        <w:t>www.itu.int</w:t>
      </w:r>
    </w:hyperlink>
    <w:r w:rsidRPr="00D834E7">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7C45B" w14:textId="77777777" w:rsidR="00110B04" w:rsidRDefault="00110B04">
      <w:r>
        <w:t>____________________</w:t>
      </w:r>
    </w:p>
  </w:footnote>
  <w:footnote w:type="continuationSeparator" w:id="0">
    <w:p w14:paraId="34396F32" w14:textId="77777777" w:rsidR="00110B04" w:rsidRDefault="00110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ECB14" w14:textId="4E1E967D" w:rsidR="006969B4" w:rsidRDefault="006969B4">
    <w:pPr>
      <w:pStyle w:val="Header"/>
      <w:rPr>
        <w:rStyle w:val="PageNumbe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7B6316">
      <w:rPr>
        <w:rStyle w:val="PageNumber"/>
        <w:noProof/>
        <w:sz w:val="18"/>
        <w:szCs w:val="18"/>
      </w:rPr>
      <w:t>2</w:t>
    </w:r>
    <w:r w:rsidR="00B87E9E" w:rsidRPr="00303D62">
      <w:rPr>
        <w:rStyle w:val="PageNumber"/>
        <w:sz w:val="18"/>
        <w:szCs w:val="18"/>
      </w:rPr>
      <w:fldChar w:fldCharType="end"/>
    </w:r>
    <w:r w:rsidRPr="00303D62">
      <w:rPr>
        <w:rStyle w:val="PageNumber"/>
        <w:sz w:val="18"/>
        <w:szCs w:val="18"/>
      </w:rPr>
      <w:t xml:space="preserve"> -</w:t>
    </w:r>
  </w:p>
  <w:p w14:paraId="06800910" w14:textId="3B12A554" w:rsidR="00101541" w:rsidRPr="00303D62" w:rsidRDefault="00101541">
    <w:pPr>
      <w:pStyle w:val="Header"/>
      <w:rPr>
        <w:sz w:val="18"/>
        <w:szCs w:val="18"/>
      </w:rPr>
    </w:pPr>
    <w:r w:rsidRPr="00101541">
      <w:rPr>
        <w:sz w:val="18"/>
        <w:szCs w:val="18"/>
      </w:rPr>
      <w:t xml:space="preserve">Circular TSB </w:t>
    </w:r>
    <w:r w:rsidR="00CE7291">
      <w:rPr>
        <w:sz w:val="18"/>
        <w:szCs w:val="18"/>
      </w:rPr>
      <w:t>223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FF819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D0701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7E8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A28F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689E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44C9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02E5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76F9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882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8406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297730853">
    <w:abstractNumId w:val="10"/>
  </w:num>
  <w:num w:numId="2" w16cid:durableId="1345282128">
    <w:abstractNumId w:val="13"/>
  </w:num>
  <w:num w:numId="3" w16cid:durableId="1069613404">
    <w:abstractNumId w:val="12"/>
  </w:num>
  <w:num w:numId="4" w16cid:durableId="374936234">
    <w:abstractNumId w:val="11"/>
  </w:num>
  <w:num w:numId="5" w16cid:durableId="924806824">
    <w:abstractNumId w:val="9"/>
  </w:num>
  <w:num w:numId="6" w16cid:durableId="1704330174">
    <w:abstractNumId w:val="7"/>
  </w:num>
  <w:num w:numId="7" w16cid:durableId="1441022658">
    <w:abstractNumId w:val="6"/>
  </w:num>
  <w:num w:numId="8" w16cid:durableId="569271897">
    <w:abstractNumId w:val="5"/>
  </w:num>
  <w:num w:numId="9" w16cid:durableId="431051491">
    <w:abstractNumId w:val="4"/>
  </w:num>
  <w:num w:numId="10" w16cid:durableId="85225463">
    <w:abstractNumId w:val="8"/>
  </w:num>
  <w:num w:numId="11" w16cid:durableId="763110739">
    <w:abstractNumId w:val="3"/>
  </w:num>
  <w:num w:numId="12" w16cid:durableId="611135928">
    <w:abstractNumId w:val="2"/>
  </w:num>
  <w:num w:numId="13" w16cid:durableId="228612584">
    <w:abstractNumId w:val="1"/>
  </w:num>
  <w:num w:numId="14" w16cid:durableId="1513376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158"/>
    <w:rsid w:val="00002529"/>
    <w:rsid w:val="00005EBD"/>
    <w:rsid w:val="00020CC0"/>
    <w:rsid w:val="00071F13"/>
    <w:rsid w:val="00085662"/>
    <w:rsid w:val="000C382F"/>
    <w:rsid w:val="00101541"/>
    <w:rsid w:val="00110B04"/>
    <w:rsid w:val="001173CC"/>
    <w:rsid w:val="001350B9"/>
    <w:rsid w:val="0014464D"/>
    <w:rsid w:val="001A54CC"/>
    <w:rsid w:val="001B4269"/>
    <w:rsid w:val="002374E1"/>
    <w:rsid w:val="00257FB4"/>
    <w:rsid w:val="002E496E"/>
    <w:rsid w:val="00303D62"/>
    <w:rsid w:val="00335367"/>
    <w:rsid w:val="00370C2D"/>
    <w:rsid w:val="003B0CBC"/>
    <w:rsid w:val="003D1E8D"/>
    <w:rsid w:val="003D673B"/>
    <w:rsid w:val="003F2855"/>
    <w:rsid w:val="00401C20"/>
    <w:rsid w:val="00435C39"/>
    <w:rsid w:val="004A7957"/>
    <w:rsid w:val="004C4144"/>
    <w:rsid w:val="004F5C21"/>
    <w:rsid w:val="0055719E"/>
    <w:rsid w:val="00645813"/>
    <w:rsid w:val="006969B4"/>
    <w:rsid w:val="006E4F7B"/>
    <w:rsid w:val="007467CC"/>
    <w:rsid w:val="00781E2A"/>
    <w:rsid w:val="00787099"/>
    <w:rsid w:val="007933A2"/>
    <w:rsid w:val="007B6316"/>
    <w:rsid w:val="00814503"/>
    <w:rsid w:val="008258C2"/>
    <w:rsid w:val="008505BD"/>
    <w:rsid w:val="00850C78"/>
    <w:rsid w:val="00876165"/>
    <w:rsid w:val="00884D12"/>
    <w:rsid w:val="008C17AD"/>
    <w:rsid w:val="008D02CD"/>
    <w:rsid w:val="0091370C"/>
    <w:rsid w:val="0095172A"/>
    <w:rsid w:val="009546FF"/>
    <w:rsid w:val="009A0BA0"/>
    <w:rsid w:val="00A31158"/>
    <w:rsid w:val="00A54E47"/>
    <w:rsid w:val="00AB6E3A"/>
    <w:rsid w:val="00AE7093"/>
    <w:rsid w:val="00B422BC"/>
    <w:rsid w:val="00B43F77"/>
    <w:rsid w:val="00B46D5A"/>
    <w:rsid w:val="00B55A3E"/>
    <w:rsid w:val="00B56640"/>
    <w:rsid w:val="00B87E9E"/>
    <w:rsid w:val="00B95F0A"/>
    <w:rsid w:val="00B96180"/>
    <w:rsid w:val="00BA6F31"/>
    <w:rsid w:val="00C108CE"/>
    <w:rsid w:val="00C116FE"/>
    <w:rsid w:val="00C17AC0"/>
    <w:rsid w:val="00C34772"/>
    <w:rsid w:val="00C42928"/>
    <w:rsid w:val="00C5465A"/>
    <w:rsid w:val="00CE0B7E"/>
    <w:rsid w:val="00CE7291"/>
    <w:rsid w:val="00D11B87"/>
    <w:rsid w:val="00D54642"/>
    <w:rsid w:val="00D60FE8"/>
    <w:rsid w:val="00D834E7"/>
    <w:rsid w:val="00DD77C9"/>
    <w:rsid w:val="00DF3538"/>
    <w:rsid w:val="00E839B0"/>
    <w:rsid w:val="00E92C09"/>
    <w:rsid w:val="00F14380"/>
    <w:rsid w:val="00F6461F"/>
    <w:rsid w:val="00FB1474"/>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AB0B40"/>
  <w15:docId w15:val="{5B4F3BED-0458-4426-AA5D-B74EAC68B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styleId="UnresolvedMention">
    <w:name w:val="Unresolved Mention"/>
    <w:basedOn w:val="DefaultParagraphFont"/>
    <w:uiPriority w:val="99"/>
    <w:semiHidden/>
    <w:unhideWhenUsed/>
    <w:rsid w:val="00CE7291"/>
    <w:rPr>
      <w:color w:val="605E5C"/>
      <w:shd w:val="clear" w:color="auto" w:fill="E1DFDD"/>
    </w:rPr>
  </w:style>
  <w:style w:type="paragraph" w:styleId="Revision">
    <w:name w:val="Revision"/>
    <w:hidden/>
    <w:uiPriority w:val="99"/>
    <w:semiHidden/>
    <w:rsid w:val="004F5C21"/>
    <w:rPr>
      <w:rFonts w:asciiTheme="minorHAnsi" w:hAnsiTheme="minorHAns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dir@itu.i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s/ITU-T/ipr/Pages/default.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s/ITU-T/ipr/Pages/default.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md/meetingdoc.asp?lang=es&amp;parent=T22-SG11-R-0028" TargetMode="External"/><Relationship Id="rId4" Type="http://schemas.openxmlformats.org/officeDocument/2006/relationships/settings" Target="settings.xml"/><Relationship Id="rId9" Type="http://schemas.openxmlformats.org/officeDocument/2006/relationships/hyperlink" Target="mailto:tsbsg11@itu.in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TSB\PS_TSB_Circular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327D5-7057-4C1D-9DB1-7B326968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PS_TSB_Circular_Letter.dotx</Template>
  <TotalTime>0</TotalTime>
  <Pages>5</Pages>
  <Words>1431</Words>
  <Characters>8539</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9951</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Spanish83</dc:creator>
  <cp:lastModifiedBy>Maguire, Mairéad</cp:lastModifiedBy>
  <cp:revision>2</cp:revision>
  <cp:lastPrinted>2011-04-15T08:24:00Z</cp:lastPrinted>
  <dcterms:created xsi:type="dcterms:W3CDTF">2024-08-15T11:16:00Z</dcterms:created>
  <dcterms:modified xsi:type="dcterms:W3CDTF">2024-08-15T11:16:00Z</dcterms:modified>
</cp:coreProperties>
</file>