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6" w:type="dxa"/>
        <w:tblInd w:w="-142" w:type="dxa"/>
        <w:tblLayout w:type="fixed"/>
        <w:tblCellMar>
          <w:left w:w="0" w:type="dxa"/>
          <w:right w:w="0" w:type="dxa"/>
        </w:tblCellMar>
        <w:tblLook w:val="0000" w:firstRow="0" w:lastRow="0" w:firstColumn="0" w:lastColumn="0" w:noHBand="0" w:noVBand="0"/>
      </w:tblPr>
      <w:tblGrid>
        <w:gridCol w:w="1418"/>
        <w:gridCol w:w="3686"/>
        <w:gridCol w:w="5252"/>
      </w:tblGrid>
      <w:tr w:rsidR="007B6316" w14:paraId="4606664D" w14:textId="77777777" w:rsidTr="00AA2D7F">
        <w:trPr>
          <w:cantSplit/>
          <w:trHeight w:val="340"/>
        </w:trPr>
        <w:tc>
          <w:tcPr>
            <w:tcW w:w="1418" w:type="dxa"/>
          </w:tcPr>
          <w:p w14:paraId="1B893D05"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5807BCEC" wp14:editId="3BE7934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938" w:type="dxa"/>
            <w:gridSpan w:val="2"/>
            <w:vAlign w:val="center"/>
          </w:tcPr>
          <w:p w14:paraId="7AF6BADC"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66B862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3808DD" w14:paraId="3A330933" w14:textId="77777777" w:rsidTr="00AA2D7F">
        <w:trPr>
          <w:cantSplit/>
          <w:trHeight w:val="340"/>
        </w:trPr>
        <w:tc>
          <w:tcPr>
            <w:tcW w:w="1418" w:type="dxa"/>
          </w:tcPr>
          <w:p w14:paraId="7E8F7388" w14:textId="77777777" w:rsidR="007B6316" w:rsidRPr="003808DD" w:rsidRDefault="007B6316" w:rsidP="00152D8C">
            <w:pPr>
              <w:tabs>
                <w:tab w:val="left" w:pos="4111"/>
              </w:tabs>
              <w:spacing w:before="40" w:after="40"/>
              <w:ind w:left="57"/>
              <w:rPr>
                <w:b/>
                <w:bCs/>
                <w:sz w:val="22"/>
                <w:szCs w:val="22"/>
              </w:rPr>
            </w:pPr>
          </w:p>
        </w:tc>
        <w:tc>
          <w:tcPr>
            <w:tcW w:w="3686" w:type="dxa"/>
          </w:tcPr>
          <w:p w14:paraId="60502742" w14:textId="77777777" w:rsidR="007B6316" w:rsidRPr="003808DD" w:rsidRDefault="007B6316" w:rsidP="00152D8C">
            <w:pPr>
              <w:tabs>
                <w:tab w:val="left" w:pos="4111"/>
              </w:tabs>
              <w:spacing w:before="40" w:after="40"/>
              <w:ind w:left="57"/>
              <w:rPr>
                <w:b/>
                <w:sz w:val="22"/>
                <w:szCs w:val="22"/>
              </w:rPr>
            </w:pPr>
          </w:p>
        </w:tc>
        <w:tc>
          <w:tcPr>
            <w:tcW w:w="5252" w:type="dxa"/>
          </w:tcPr>
          <w:p w14:paraId="7DFEFCBE" w14:textId="668404C5" w:rsidR="007B6316" w:rsidRPr="003808DD" w:rsidRDefault="007B6316"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Ginebra,</w:t>
            </w:r>
            <w:r w:rsidR="00152D8C" w:rsidRPr="003808DD">
              <w:rPr>
                <w:sz w:val="22"/>
                <w:szCs w:val="22"/>
              </w:rPr>
              <w:t xml:space="preserve"> </w:t>
            </w:r>
            <w:r w:rsidR="00152D8C" w:rsidRPr="003808DD">
              <w:rPr>
                <w:sz w:val="22"/>
                <w:szCs w:val="22"/>
                <w:lang w:val="es-ES"/>
              </w:rPr>
              <w:t>10 de junio de 2024</w:t>
            </w:r>
          </w:p>
        </w:tc>
      </w:tr>
      <w:tr w:rsidR="00152D8C" w:rsidRPr="003808DD" w14:paraId="12564D49" w14:textId="77777777" w:rsidTr="00AA2D7F">
        <w:trPr>
          <w:cantSplit/>
          <w:trHeight w:val="340"/>
        </w:trPr>
        <w:tc>
          <w:tcPr>
            <w:tcW w:w="1418" w:type="dxa"/>
          </w:tcPr>
          <w:p w14:paraId="52F4ACE3" w14:textId="77777777"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Ref.:</w:t>
            </w:r>
          </w:p>
          <w:p w14:paraId="0F99659F" w14:textId="77777777" w:rsidR="00152D8C" w:rsidRPr="003808DD" w:rsidRDefault="00152D8C" w:rsidP="00152D8C">
            <w:pPr>
              <w:tabs>
                <w:tab w:val="left" w:pos="4111"/>
              </w:tabs>
              <w:spacing w:before="40" w:after="40"/>
              <w:ind w:left="57"/>
              <w:rPr>
                <w:sz w:val="22"/>
                <w:szCs w:val="22"/>
              </w:rPr>
            </w:pPr>
          </w:p>
        </w:tc>
        <w:tc>
          <w:tcPr>
            <w:tcW w:w="3686" w:type="dxa"/>
          </w:tcPr>
          <w:p w14:paraId="0ADC407C" w14:textId="7BFE63E2" w:rsidR="00152D8C" w:rsidRPr="003808DD" w:rsidRDefault="00152D8C" w:rsidP="00600CA0">
            <w:pPr>
              <w:pStyle w:val="enumlev1"/>
              <w:tabs>
                <w:tab w:val="clear" w:pos="794"/>
                <w:tab w:val="clear" w:pos="1191"/>
                <w:tab w:val="clear" w:pos="1588"/>
                <w:tab w:val="clear" w:pos="1985"/>
              </w:tabs>
              <w:spacing w:before="40" w:after="40"/>
              <w:ind w:left="504" w:hanging="369"/>
              <w:rPr>
                <w:b/>
                <w:sz w:val="22"/>
                <w:szCs w:val="22"/>
                <w:lang w:val="en-US"/>
              </w:rPr>
            </w:pPr>
            <w:r w:rsidRPr="003808DD">
              <w:rPr>
                <w:b/>
                <w:sz w:val="22"/>
                <w:szCs w:val="22"/>
                <w:lang w:val="en-US"/>
              </w:rPr>
              <w:t>Circular TSB 212</w:t>
            </w:r>
          </w:p>
          <w:p w14:paraId="7B063DBD" w14:textId="6F6F8423" w:rsidR="00152D8C" w:rsidRPr="00AA2D7F" w:rsidRDefault="00152D8C" w:rsidP="00AA2D7F">
            <w:pPr>
              <w:pStyle w:val="enumlev1"/>
              <w:tabs>
                <w:tab w:val="clear" w:pos="794"/>
                <w:tab w:val="clear" w:pos="1191"/>
                <w:tab w:val="clear" w:pos="1588"/>
                <w:tab w:val="clear" w:pos="1985"/>
              </w:tabs>
              <w:spacing w:before="40" w:after="40"/>
              <w:ind w:left="504" w:hanging="369"/>
              <w:rPr>
                <w:b/>
                <w:sz w:val="22"/>
                <w:szCs w:val="22"/>
                <w:lang w:val="en-US"/>
              </w:rPr>
            </w:pPr>
            <w:r w:rsidRPr="003808DD">
              <w:rPr>
                <w:sz w:val="22"/>
                <w:szCs w:val="22"/>
                <w:lang w:val="en-US"/>
              </w:rPr>
              <w:t>TSB Events/HO</w:t>
            </w:r>
          </w:p>
        </w:tc>
        <w:tc>
          <w:tcPr>
            <w:tcW w:w="5252" w:type="dxa"/>
            <w:vMerge w:val="restart"/>
          </w:tcPr>
          <w:p w14:paraId="677CAD1F" w14:textId="77777777"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bookmarkStart w:id="0" w:name="Addressee_S"/>
            <w:bookmarkEnd w:id="0"/>
            <w:r w:rsidRPr="003808DD">
              <w:rPr>
                <w:sz w:val="22"/>
                <w:szCs w:val="22"/>
              </w:rPr>
              <w:t>A:</w:t>
            </w:r>
          </w:p>
          <w:p w14:paraId="350A752D" w14:textId="5B715145"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las Administraciones de los Estados Miembros de la Unión;</w:t>
            </w:r>
          </w:p>
          <w:p w14:paraId="6D3DFCF0" w14:textId="46D526B6"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los Miembros de Sector del UIT-T;</w:t>
            </w:r>
          </w:p>
          <w:p w14:paraId="7E1D68DD" w14:textId="4445C4F7"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los Asociados del UIT-T;</w:t>
            </w:r>
          </w:p>
          <w:p w14:paraId="2B16520C" w14:textId="3C57D666"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las Instituciones Académicas de la UIT.</w:t>
            </w:r>
          </w:p>
        </w:tc>
      </w:tr>
      <w:tr w:rsidR="00152D8C" w:rsidRPr="003808DD" w14:paraId="61BC1EB9" w14:textId="77777777" w:rsidTr="00AA2D7F">
        <w:trPr>
          <w:cantSplit/>
          <w:trHeight w:val="340"/>
        </w:trPr>
        <w:tc>
          <w:tcPr>
            <w:tcW w:w="1418" w:type="dxa"/>
          </w:tcPr>
          <w:p w14:paraId="552A5213" w14:textId="2ABA78EC" w:rsidR="00152D8C" w:rsidRPr="003808DD" w:rsidRDefault="00152D8C" w:rsidP="00600CA0">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Contacto:</w:t>
            </w:r>
          </w:p>
        </w:tc>
        <w:tc>
          <w:tcPr>
            <w:tcW w:w="3686" w:type="dxa"/>
          </w:tcPr>
          <w:p w14:paraId="539B9910" w14:textId="4FE1A9BD" w:rsidR="00152D8C" w:rsidRPr="003808DD" w:rsidRDefault="00152D8C" w:rsidP="00600CA0">
            <w:pPr>
              <w:pStyle w:val="enumlev1"/>
              <w:tabs>
                <w:tab w:val="clear" w:pos="794"/>
                <w:tab w:val="clear" w:pos="1191"/>
                <w:tab w:val="clear" w:pos="1588"/>
                <w:tab w:val="clear" w:pos="1985"/>
              </w:tabs>
              <w:spacing w:before="40" w:after="40"/>
              <w:ind w:left="504" w:hanging="369"/>
              <w:rPr>
                <w:b/>
                <w:sz w:val="22"/>
                <w:szCs w:val="22"/>
                <w:lang w:val="en-US"/>
              </w:rPr>
            </w:pPr>
            <w:r w:rsidRPr="003808DD">
              <w:rPr>
                <w:b/>
                <w:bCs/>
                <w:sz w:val="22"/>
                <w:szCs w:val="22"/>
                <w:lang w:val="es-ES"/>
              </w:rPr>
              <w:t>Hiroshi Ota</w:t>
            </w:r>
          </w:p>
        </w:tc>
        <w:tc>
          <w:tcPr>
            <w:tcW w:w="5252" w:type="dxa"/>
            <w:vMerge/>
          </w:tcPr>
          <w:p w14:paraId="134BE5D0" w14:textId="77777777" w:rsidR="00152D8C" w:rsidRPr="003808DD" w:rsidRDefault="00152D8C" w:rsidP="00152D8C">
            <w:pPr>
              <w:tabs>
                <w:tab w:val="clear" w:pos="794"/>
                <w:tab w:val="left" w:pos="226"/>
                <w:tab w:val="left" w:pos="4111"/>
              </w:tabs>
              <w:spacing w:before="40" w:after="40"/>
              <w:rPr>
                <w:sz w:val="22"/>
                <w:szCs w:val="22"/>
                <w:lang w:val="en-US"/>
              </w:rPr>
            </w:pPr>
          </w:p>
        </w:tc>
      </w:tr>
      <w:tr w:rsidR="00152D8C" w:rsidRPr="003808DD" w14:paraId="37226362" w14:textId="77777777" w:rsidTr="00AA2D7F">
        <w:trPr>
          <w:cantSplit/>
          <w:trHeight w:val="452"/>
        </w:trPr>
        <w:tc>
          <w:tcPr>
            <w:tcW w:w="1418" w:type="dxa"/>
          </w:tcPr>
          <w:p w14:paraId="13DFA278" w14:textId="77777777" w:rsidR="00152D8C" w:rsidRPr="003808DD" w:rsidRDefault="00152D8C" w:rsidP="00600CA0">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Tel.:</w:t>
            </w:r>
          </w:p>
        </w:tc>
        <w:tc>
          <w:tcPr>
            <w:tcW w:w="3686" w:type="dxa"/>
          </w:tcPr>
          <w:p w14:paraId="05688ADF" w14:textId="71EF2941" w:rsidR="00152D8C" w:rsidRPr="003808DD" w:rsidRDefault="00152D8C" w:rsidP="00600CA0">
            <w:pPr>
              <w:pStyle w:val="enumlev1"/>
              <w:tabs>
                <w:tab w:val="clear" w:pos="794"/>
                <w:tab w:val="clear" w:pos="1191"/>
                <w:tab w:val="clear" w:pos="1588"/>
                <w:tab w:val="clear" w:pos="1985"/>
              </w:tabs>
              <w:spacing w:before="40" w:after="40"/>
              <w:ind w:left="504" w:hanging="369"/>
              <w:rPr>
                <w:rStyle w:val="Hyperlink"/>
                <w:sz w:val="22"/>
                <w:szCs w:val="22"/>
              </w:rPr>
            </w:pPr>
            <w:r w:rsidRPr="003808DD">
              <w:rPr>
                <w:sz w:val="22"/>
                <w:szCs w:val="22"/>
              </w:rPr>
              <w:t xml:space="preserve">+41 22 730 </w:t>
            </w:r>
            <w:r w:rsidRPr="003808DD">
              <w:rPr>
                <w:sz w:val="22"/>
                <w:szCs w:val="22"/>
                <w:lang w:val="es-ES"/>
              </w:rPr>
              <w:t>6356</w:t>
            </w:r>
            <w:r w:rsidRPr="003808DD">
              <w:rPr>
                <w:sz w:val="22"/>
                <w:szCs w:val="22"/>
              </w:rPr>
              <w:t xml:space="preserve"> </w:t>
            </w:r>
          </w:p>
        </w:tc>
        <w:tc>
          <w:tcPr>
            <w:tcW w:w="5252" w:type="dxa"/>
            <w:vMerge/>
          </w:tcPr>
          <w:p w14:paraId="16A4461C" w14:textId="77777777" w:rsidR="00152D8C" w:rsidRPr="003808DD" w:rsidRDefault="00152D8C" w:rsidP="00152D8C">
            <w:pPr>
              <w:tabs>
                <w:tab w:val="left" w:pos="226"/>
                <w:tab w:val="left" w:pos="510"/>
              </w:tabs>
              <w:spacing w:before="40" w:after="40"/>
              <w:ind w:left="226" w:hanging="169"/>
              <w:rPr>
                <w:b/>
                <w:sz w:val="22"/>
                <w:szCs w:val="22"/>
              </w:rPr>
            </w:pPr>
          </w:p>
        </w:tc>
      </w:tr>
      <w:tr w:rsidR="00152D8C" w:rsidRPr="003808DD" w14:paraId="3AB30EB6" w14:textId="77777777" w:rsidTr="00AA2D7F">
        <w:trPr>
          <w:cantSplit/>
        </w:trPr>
        <w:tc>
          <w:tcPr>
            <w:tcW w:w="1418" w:type="dxa"/>
          </w:tcPr>
          <w:p w14:paraId="3D4B7DD2" w14:textId="77777777" w:rsidR="00152D8C" w:rsidRPr="003808DD" w:rsidRDefault="00152D8C" w:rsidP="00600CA0">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Fax:</w:t>
            </w:r>
          </w:p>
        </w:tc>
        <w:tc>
          <w:tcPr>
            <w:tcW w:w="3686" w:type="dxa"/>
          </w:tcPr>
          <w:p w14:paraId="1426A541" w14:textId="77777777" w:rsidR="00152D8C" w:rsidRPr="003808DD" w:rsidRDefault="00152D8C" w:rsidP="00600CA0">
            <w:pPr>
              <w:pStyle w:val="enumlev1"/>
              <w:tabs>
                <w:tab w:val="clear" w:pos="794"/>
                <w:tab w:val="clear" w:pos="1191"/>
                <w:tab w:val="clear" w:pos="1588"/>
                <w:tab w:val="clear" w:pos="1985"/>
              </w:tabs>
              <w:spacing w:before="40" w:after="40"/>
              <w:ind w:left="504" w:hanging="369"/>
              <w:rPr>
                <w:rStyle w:val="Hyperlink"/>
                <w:sz w:val="22"/>
                <w:szCs w:val="22"/>
              </w:rPr>
            </w:pPr>
            <w:r w:rsidRPr="003808DD">
              <w:rPr>
                <w:sz w:val="22"/>
                <w:szCs w:val="22"/>
              </w:rPr>
              <w:t>+41 22 730 5853</w:t>
            </w:r>
          </w:p>
        </w:tc>
        <w:tc>
          <w:tcPr>
            <w:tcW w:w="5252" w:type="dxa"/>
            <w:vMerge/>
          </w:tcPr>
          <w:p w14:paraId="299E586D" w14:textId="77777777" w:rsidR="00152D8C" w:rsidRPr="003808DD" w:rsidRDefault="00152D8C" w:rsidP="00152D8C">
            <w:pPr>
              <w:tabs>
                <w:tab w:val="left" w:pos="226"/>
                <w:tab w:val="left" w:pos="510"/>
              </w:tabs>
              <w:spacing w:before="40" w:after="40"/>
              <w:ind w:left="226" w:hanging="169"/>
              <w:rPr>
                <w:b/>
                <w:sz w:val="22"/>
                <w:szCs w:val="22"/>
              </w:rPr>
            </w:pPr>
          </w:p>
        </w:tc>
      </w:tr>
      <w:tr w:rsidR="001350B9" w:rsidRPr="003808DD" w14:paraId="3C20085F" w14:textId="77777777" w:rsidTr="00AA2D7F">
        <w:trPr>
          <w:cantSplit/>
          <w:trHeight w:val="1905"/>
        </w:trPr>
        <w:tc>
          <w:tcPr>
            <w:tcW w:w="1418" w:type="dxa"/>
          </w:tcPr>
          <w:p w14:paraId="0248300A" w14:textId="77777777" w:rsidR="001350B9" w:rsidRPr="003808DD" w:rsidRDefault="001350B9" w:rsidP="00600CA0">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Correo-e:</w:t>
            </w:r>
          </w:p>
        </w:tc>
        <w:tc>
          <w:tcPr>
            <w:tcW w:w="3686" w:type="dxa"/>
          </w:tcPr>
          <w:p w14:paraId="2667B3E5" w14:textId="14974042" w:rsidR="001350B9" w:rsidRPr="003808DD" w:rsidRDefault="00AC04D7" w:rsidP="00600CA0">
            <w:pPr>
              <w:pStyle w:val="enumlev1"/>
              <w:tabs>
                <w:tab w:val="clear" w:pos="794"/>
                <w:tab w:val="clear" w:pos="1191"/>
                <w:tab w:val="clear" w:pos="1588"/>
                <w:tab w:val="clear" w:pos="1985"/>
              </w:tabs>
              <w:spacing w:before="40" w:after="40"/>
              <w:ind w:left="504" w:hanging="369"/>
              <w:rPr>
                <w:sz w:val="22"/>
                <w:szCs w:val="22"/>
              </w:rPr>
            </w:pPr>
            <w:hyperlink r:id="rId12" w:history="1">
              <w:r w:rsidR="00152D8C" w:rsidRPr="003808DD">
                <w:rPr>
                  <w:rStyle w:val="Hyperlink"/>
                  <w:sz w:val="22"/>
                  <w:szCs w:val="22"/>
                </w:rPr>
                <w:t>tsbevents@itu.int</w:t>
              </w:r>
            </w:hyperlink>
          </w:p>
        </w:tc>
        <w:tc>
          <w:tcPr>
            <w:tcW w:w="5252" w:type="dxa"/>
          </w:tcPr>
          <w:p w14:paraId="2BFADCC0" w14:textId="77777777"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Copia a:</w:t>
            </w:r>
          </w:p>
          <w:p w14:paraId="51F3831F" w14:textId="06DE320E"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 xml:space="preserve">los </w:t>
            </w:r>
            <w:proofErr w:type="gramStart"/>
            <w:r w:rsidRPr="003808DD">
              <w:rPr>
                <w:sz w:val="22"/>
                <w:szCs w:val="22"/>
              </w:rPr>
              <w:t>Presidentes</w:t>
            </w:r>
            <w:proofErr w:type="gramEnd"/>
            <w:r w:rsidRPr="003808DD">
              <w:rPr>
                <w:sz w:val="22"/>
                <w:szCs w:val="22"/>
              </w:rPr>
              <w:t xml:space="preserve"> y a los Vicepresidentes de las Comisiones de Estudio del UIT-T;</w:t>
            </w:r>
          </w:p>
          <w:p w14:paraId="05FA2025" w14:textId="5F4C426E" w:rsidR="00152D8C"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 xml:space="preserve">al </w:t>
            </w:r>
            <w:proofErr w:type="gramStart"/>
            <w:r w:rsidRPr="003808DD">
              <w:rPr>
                <w:sz w:val="22"/>
                <w:szCs w:val="22"/>
              </w:rPr>
              <w:t>Director</w:t>
            </w:r>
            <w:proofErr w:type="gramEnd"/>
            <w:r w:rsidRPr="003808DD">
              <w:rPr>
                <w:sz w:val="22"/>
                <w:szCs w:val="22"/>
              </w:rPr>
              <w:t xml:space="preserve"> de la Oficina de Desarrollo de las Telecomunicaciones;</w:t>
            </w:r>
          </w:p>
          <w:p w14:paraId="736D1DE0" w14:textId="31104ED9" w:rsidR="001350B9" w:rsidRPr="003808DD" w:rsidRDefault="00152D8C" w:rsidP="00152D8C">
            <w:pPr>
              <w:pStyle w:val="enumlev1"/>
              <w:tabs>
                <w:tab w:val="clear" w:pos="794"/>
                <w:tab w:val="clear" w:pos="1191"/>
                <w:tab w:val="clear" w:pos="1588"/>
                <w:tab w:val="clear" w:pos="1985"/>
              </w:tabs>
              <w:spacing w:before="40" w:after="40"/>
              <w:ind w:left="504" w:hanging="369"/>
              <w:rPr>
                <w:sz w:val="22"/>
                <w:szCs w:val="22"/>
              </w:rPr>
            </w:pPr>
            <w:r w:rsidRPr="003808DD">
              <w:rPr>
                <w:sz w:val="22"/>
                <w:szCs w:val="22"/>
              </w:rPr>
              <w:t>–</w:t>
            </w:r>
            <w:r w:rsidRPr="003808DD">
              <w:rPr>
                <w:sz w:val="22"/>
                <w:szCs w:val="22"/>
              </w:rPr>
              <w:tab/>
              <w:t xml:space="preserve">al </w:t>
            </w:r>
            <w:proofErr w:type="gramStart"/>
            <w:r w:rsidRPr="003808DD">
              <w:rPr>
                <w:sz w:val="22"/>
                <w:szCs w:val="22"/>
              </w:rPr>
              <w:t>Director</w:t>
            </w:r>
            <w:proofErr w:type="gramEnd"/>
            <w:r w:rsidRPr="003808DD">
              <w:rPr>
                <w:sz w:val="22"/>
                <w:szCs w:val="22"/>
              </w:rPr>
              <w:t xml:space="preserve"> de la Oficina de Radiocomunicaciones.</w:t>
            </w:r>
          </w:p>
        </w:tc>
      </w:tr>
      <w:tr w:rsidR="007B6316" w:rsidRPr="003808DD" w14:paraId="0ABF7B2B" w14:textId="77777777" w:rsidTr="00AA2D7F">
        <w:trPr>
          <w:cantSplit/>
        </w:trPr>
        <w:tc>
          <w:tcPr>
            <w:tcW w:w="1418" w:type="dxa"/>
          </w:tcPr>
          <w:p w14:paraId="530F1EDC" w14:textId="77777777" w:rsidR="007B6316" w:rsidRPr="003808DD" w:rsidRDefault="007B6316" w:rsidP="00600CA0">
            <w:pPr>
              <w:pStyle w:val="enumlev1"/>
              <w:tabs>
                <w:tab w:val="clear" w:pos="794"/>
                <w:tab w:val="clear" w:pos="1191"/>
                <w:tab w:val="clear" w:pos="1588"/>
                <w:tab w:val="clear" w:pos="1985"/>
              </w:tabs>
              <w:spacing w:before="40" w:after="40"/>
              <w:ind w:left="504" w:hanging="369"/>
              <w:rPr>
                <w:sz w:val="22"/>
                <w:szCs w:val="22"/>
              </w:rPr>
            </w:pPr>
            <w:r w:rsidRPr="00AA2D7F">
              <w:rPr>
                <w:b/>
                <w:bCs/>
                <w:sz w:val="22"/>
                <w:szCs w:val="22"/>
              </w:rPr>
              <w:t>Asunto</w:t>
            </w:r>
            <w:r w:rsidRPr="003808DD">
              <w:rPr>
                <w:sz w:val="22"/>
                <w:szCs w:val="22"/>
              </w:rPr>
              <w:t>:</w:t>
            </w:r>
          </w:p>
        </w:tc>
        <w:tc>
          <w:tcPr>
            <w:tcW w:w="8938" w:type="dxa"/>
            <w:gridSpan w:val="2"/>
          </w:tcPr>
          <w:p w14:paraId="061FBDC2" w14:textId="6A40916C" w:rsidR="007B6316" w:rsidRPr="003808DD" w:rsidRDefault="004F1CA3" w:rsidP="004F1CA3">
            <w:pPr>
              <w:pStyle w:val="enumlev1"/>
              <w:tabs>
                <w:tab w:val="clear" w:pos="794"/>
                <w:tab w:val="clear" w:pos="1191"/>
                <w:tab w:val="clear" w:pos="1588"/>
                <w:tab w:val="clear" w:pos="1985"/>
              </w:tabs>
              <w:spacing w:before="40" w:after="40"/>
              <w:ind w:left="136" w:firstLine="0"/>
              <w:rPr>
                <w:b/>
                <w:sz w:val="22"/>
                <w:szCs w:val="22"/>
              </w:rPr>
            </w:pPr>
            <w:r w:rsidRPr="003808DD">
              <w:rPr>
                <w:b/>
                <w:bCs/>
                <w:sz w:val="22"/>
                <w:szCs w:val="22"/>
                <w:lang w:val="es-ES"/>
              </w:rPr>
              <w:t xml:space="preserve">Taller de la UIT sobre </w:t>
            </w:r>
            <w:r w:rsidR="0066544B" w:rsidRPr="003808DD">
              <w:rPr>
                <w:b/>
                <w:bCs/>
                <w:sz w:val="22"/>
                <w:szCs w:val="22"/>
                <w:lang w:val="es-ES"/>
              </w:rPr>
              <w:t>"</w:t>
            </w:r>
            <w:r w:rsidRPr="003808DD">
              <w:rPr>
                <w:b/>
                <w:bCs/>
                <w:sz w:val="22"/>
                <w:szCs w:val="22"/>
                <w:lang w:val="es-ES"/>
              </w:rPr>
              <w:t>La evolución de las redes de transporte y acceso para soportar las IMT</w:t>
            </w:r>
            <w:r w:rsidR="00CD2411" w:rsidRPr="003808DD">
              <w:rPr>
                <w:b/>
                <w:bCs/>
                <w:sz w:val="22"/>
                <w:szCs w:val="22"/>
                <w:lang w:val="es-ES"/>
              </w:rPr>
              <w:t xml:space="preserve"> </w:t>
            </w:r>
            <w:r w:rsidRPr="003808DD">
              <w:rPr>
                <w:b/>
                <w:bCs/>
                <w:sz w:val="22"/>
                <w:szCs w:val="22"/>
                <w:lang w:val="es-ES"/>
              </w:rPr>
              <w:t>2030/6G</w:t>
            </w:r>
            <w:r w:rsidR="0066544B" w:rsidRPr="003808DD">
              <w:rPr>
                <w:b/>
                <w:bCs/>
                <w:sz w:val="22"/>
                <w:szCs w:val="22"/>
                <w:lang w:val="es-ES"/>
              </w:rPr>
              <w:t>"</w:t>
            </w:r>
            <w:r w:rsidRPr="003808DD">
              <w:rPr>
                <w:b/>
                <w:bCs/>
                <w:sz w:val="22"/>
                <w:szCs w:val="22"/>
                <w:lang w:val="es-ES"/>
              </w:rPr>
              <w:t xml:space="preserve"> (de fecha 7 de julio de 2024) y el Cuarto Taller conjunto ETSI ISG F5G, BBF, CCSA TC6 y la CE 15 del UIT-T sobre la </w:t>
            </w:r>
            <w:r w:rsidR="0066544B" w:rsidRPr="003808DD">
              <w:rPr>
                <w:b/>
                <w:bCs/>
                <w:sz w:val="22"/>
                <w:szCs w:val="22"/>
                <w:lang w:val="es-ES"/>
              </w:rPr>
              <w:t>"</w:t>
            </w:r>
            <w:r w:rsidRPr="003808DD">
              <w:rPr>
                <w:b/>
                <w:bCs/>
                <w:sz w:val="22"/>
                <w:szCs w:val="22"/>
                <w:lang w:val="es-ES"/>
              </w:rPr>
              <w:t>FTTR</w:t>
            </w:r>
            <w:r w:rsidR="0066544B" w:rsidRPr="003808DD">
              <w:rPr>
                <w:b/>
                <w:bCs/>
                <w:sz w:val="22"/>
                <w:szCs w:val="22"/>
                <w:lang w:val="es-ES"/>
              </w:rPr>
              <w:t>"</w:t>
            </w:r>
            <w:r w:rsidRPr="003808DD">
              <w:rPr>
                <w:b/>
                <w:bCs/>
                <w:sz w:val="22"/>
                <w:szCs w:val="22"/>
                <w:lang w:val="es-ES"/>
              </w:rPr>
              <w:t xml:space="preserve"> (fibra hasta la habitación), (de fecha </w:t>
            </w:r>
            <w:r w:rsidR="0066544B" w:rsidRPr="003808DD">
              <w:rPr>
                <w:b/>
                <w:bCs/>
                <w:sz w:val="22"/>
                <w:szCs w:val="22"/>
                <w:lang w:val="es-ES"/>
              </w:rPr>
              <w:br/>
            </w:r>
            <w:r w:rsidRPr="003808DD">
              <w:rPr>
                <w:b/>
                <w:bCs/>
                <w:sz w:val="22"/>
                <w:szCs w:val="22"/>
                <w:lang w:val="es-ES"/>
              </w:rPr>
              <w:t>10 de julio de 2024)</w:t>
            </w:r>
            <w:r w:rsidR="003808DD">
              <w:rPr>
                <w:b/>
                <w:bCs/>
                <w:sz w:val="22"/>
                <w:szCs w:val="22"/>
                <w:lang w:val="es-ES"/>
              </w:rPr>
              <w:t xml:space="preserve">, </w:t>
            </w:r>
            <w:r w:rsidRPr="003808DD">
              <w:rPr>
                <w:b/>
                <w:bCs/>
                <w:sz w:val="22"/>
                <w:szCs w:val="22"/>
                <w:lang w:val="es-ES"/>
              </w:rPr>
              <w:t>Montreal</w:t>
            </w:r>
            <w:r w:rsidR="003808DD">
              <w:rPr>
                <w:b/>
                <w:bCs/>
                <w:sz w:val="22"/>
                <w:szCs w:val="22"/>
                <w:lang w:val="es-ES"/>
              </w:rPr>
              <w:t xml:space="preserve">, </w:t>
            </w:r>
            <w:r w:rsidRPr="003808DD">
              <w:rPr>
                <w:b/>
                <w:bCs/>
                <w:sz w:val="22"/>
                <w:szCs w:val="22"/>
                <w:lang w:val="es-ES"/>
              </w:rPr>
              <w:t>Canadá</w:t>
            </w:r>
          </w:p>
        </w:tc>
      </w:tr>
    </w:tbl>
    <w:p w14:paraId="7CC3A38D" w14:textId="5EB3589E" w:rsidR="004F1CA3" w:rsidRPr="003808DD" w:rsidRDefault="004F1CA3" w:rsidP="00AA2D7F">
      <w:pPr>
        <w:pStyle w:val="Normalaftertitle"/>
        <w:spacing w:before="240"/>
        <w:rPr>
          <w:sz w:val="22"/>
          <w:szCs w:val="22"/>
          <w:lang w:val="es-ES"/>
        </w:rPr>
      </w:pPr>
      <w:bookmarkStart w:id="1" w:name="StartTyping_S"/>
      <w:bookmarkStart w:id="2" w:name="suitetext"/>
      <w:bookmarkStart w:id="3" w:name="text"/>
      <w:bookmarkEnd w:id="1"/>
      <w:bookmarkEnd w:id="2"/>
      <w:bookmarkEnd w:id="3"/>
      <w:r w:rsidRPr="003808DD">
        <w:rPr>
          <w:sz w:val="22"/>
          <w:szCs w:val="22"/>
          <w:lang w:val="es-ES"/>
        </w:rPr>
        <w:t>Estimado Señor/Estimada Señora</w:t>
      </w:r>
      <w:r w:rsidR="00AA2D7F">
        <w:rPr>
          <w:sz w:val="22"/>
          <w:szCs w:val="22"/>
          <w:lang w:val="es-ES"/>
        </w:rPr>
        <w:t>,</w:t>
      </w:r>
    </w:p>
    <w:p w14:paraId="78664025" w14:textId="5FF353F4" w:rsidR="004F1CA3" w:rsidRPr="003808DD" w:rsidRDefault="004F1CA3" w:rsidP="006B5FF3">
      <w:pPr>
        <w:pStyle w:val="Normalaftertitle"/>
        <w:rPr>
          <w:sz w:val="22"/>
          <w:szCs w:val="22"/>
          <w:lang w:val="es-ES"/>
        </w:rPr>
      </w:pPr>
      <w:r w:rsidRPr="003808DD">
        <w:rPr>
          <w:sz w:val="22"/>
          <w:szCs w:val="22"/>
          <w:lang w:val="es-ES"/>
        </w:rPr>
        <w:t>1</w:t>
      </w:r>
      <w:r w:rsidRPr="003808DD">
        <w:rPr>
          <w:sz w:val="22"/>
          <w:szCs w:val="22"/>
          <w:lang w:val="es-ES"/>
        </w:rPr>
        <w:tab/>
      </w:r>
      <w:proofErr w:type="gramStart"/>
      <w:r w:rsidRPr="003808DD">
        <w:rPr>
          <w:sz w:val="22"/>
          <w:szCs w:val="22"/>
          <w:lang w:val="es-ES"/>
        </w:rPr>
        <w:t>Me</w:t>
      </w:r>
      <w:proofErr w:type="gramEnd"/>
      <w:r w:rsidRPr="003808DD">
        <w:rPr>
          <w:sz w:val="22"/>
          <w:szCs w:val="22"/>
          <w:lang w:val="es-ES"/>
        </w:rPr>
        <w:t xml:space="preserve"> complace informarle que la Unión Internacional de Telecomunicaciones (UIT) está organizando dos talleres en paralelo con la </w:t>
      </w:r>
      <w:hyperlink r:id="rId13" w:history="1">
        <w:r w:rsidRPr="003808DD">
          <w:rPr>
            <w:rStyle w:val="Hyperlink"/>
            <w:b/>
            <w:bCs/>
            <w:sz w:val="22"/>
            <w:szCs w:val="22"/>
            <w:lang w:val="es-ES"/>
          </w:rPr>
          <w:t>reunión de la Comisión de Estudio 15 del UIT-T</w:t>
        </w:r>
      </w:hyperlink>
      <w:r w:rsidRPr="003808DD">
        <w:rPr>
          <w:sz w:val="22"/>
          <w:szCs w:val="22"/>
          <w:lang w:val="es-ES"/>
        </w:rPr>
        <w:t>, que tendrá lugar del 1 al 12 de julio de 2024 en Montreal (Canadá). El amable anfitrión de los talleres será el Departamento de Innovación, Ciencia y Desarrollo Económico (ISED) de Canadá.</w:t>
      </w:r>
    </w:p>
    <w:p w14:paraId="05B7C940" w14:textId="4DDE3064" w:rsidR="004F1CA3" w:rsidRPr="003808DD" w:rsidRDefault="004F1CA3" w:rsidP="004F1CA3">
      <w:pPr>
        <w:rPr>
          <w:sz w:val="22"/>
          <w:szCs w:val="22"/>
          <w:lang w:val="es-ES"/>
        </w:rPr>
      </w:pPr>
      <w:r w:rsidRPr="003808DD">
        <w:rPr>
          <w:sz w:val="22"/>
          <w:szCs w:val="22"/>
          <w:lang w:val="es-ES"/>
        </w:rPr>
        <w:t>2</w:t>
      </w:r>
      <w:r w:rsidRPr="003808DD">
        <w:rPr>
          <w:sz w:val="22"/>
          <w:szCs w:val="22"/>
          <w:lang w:val="es-ES"/>
        </w:rPr>
        <w:tab/>
      </w:r>
      <w:proofErr w:type="gramStart"/>
      <w:r w:rsidRPr="003808DD">
        <w:rPr>
          <w:sz w:val="22"/>
          <w:szCs w:val="22"/>
          <w:lang w:val="es-ES"/>
        </w:rPr>
        <w:t>El</w:t>
      </w:r>
      <w:proofErr w:type="gramEnd"/>
      <w:r w:rsidRPr="003808DD">
        <w:rPr>
          <w:sz w:val="22"/>
          <w:szCs w:val="22"/>
          <w:lang w:val="es-ES"/>
        </w:rPr>
        <w:t xml:space="preserve"> </w:t>
      </w:r>
      <w:r w:rsidRPr="003808DD">
        <w:rPr>
          <w:i/>
          <w:iCs/>
          <w:sz w:val="22"/>
          <w:szCs w:val="22"/>
          <w:lang w:val="es-ES"/>
        </w:rPr>
        <w:t>primer taller</w:t>
      </w:r>
      <w:r w:rsidRPr="003808DD">
        <w:rPr>
          <w:sz w:val="22"/>
          <w:szCs w:val="22"/>
          <w:lang w:val="es-ES"/>
        </w:rPr>
        <w:t xml:space="preserve">, titulado </w:t>
      </w:r>
      <w:r w:rsidR="0066544B" w:rsidRPr="003808DD">
        <w:rPr>
          <w:sz w:val="22"/>
          <w:szCs w:val="22"/>
          <w:lang w:val="es-ES"/>
        </w:rPr>
        <w:t>"</w:t>
      </w:r>
      <w:hyperlink r:id="rId14" w:anchor="/es" w:history="1">
        <w:r w:rsidRPr="003808DD">
          <w:rPr>
            <w:rStyle w:val="Hyperlink"/>
            <w:b/>
            <w:bCs/>
            <w:sz w:val="22"/>
            <w:szCs w:val="22"/>
            <w:lang w:val="es-ES"/>
          </w:rPr>
          <w:t>La evolución de las redes de transporte para soportar las IMT</w:t>
        </w:r>
        <w:r w:rsidR="00CD2411" w:rsidRPr="003808DD">
          <w:rPr>
            <w:rStyle w:val="Hyperlink"/>
            <w:b/>
            <w:bCs/>
            <w:sz w:val="22"/>
            <w:szCs w:val="22"/>
            <w:lang w:val="es-ES"/>
          </w:rPr>
          <w:t> </w:t>
        </w:r>
        <w:r w:rsidRPr="003808DD">
          <w:rPr>
            <w:rStyle w:val="Hyperlink"/>
            <w:b/>
            <w:bCs/>
            <w:sz w:val="22"/>
            <w:szCs w:val="22"/>
            <w:lang w:val="es-ES"/>
          </w:rPr>
          <w:t>2030/6G</w:t>
        </w:r>
      </w:hyperlink>
      <w:r w:rsidR="007F5C10" w:rsidRPr="003808DD">
        <w:rPr>
          <w:sz w:val="22"/>
          <w:szCs w:val="22"/>
          <w:lang w:val="es-ES"/>
        </w:rPr>
        <w:t>"</w:t>
      </w:r>
      <w:r w:rsidRPr="003808DD">
        <w:rPr>
          <w:sz w:val="22"/>
          <w:szCs w:val="22"/>
          <w:lang w:val="es-ES"/>
        </w:rPr>
        <w:t xml:space="preserve">, tendrá lugar el </w:t>
      </w:r>
      <w:r w:rsidRPr="003808DD">
        <w:rPr>
          <w:b/>
          <w:bCs/>
          <w:sz w:val="22"/>
          <w:szCs w:val="22"/>
          <w:lang w:val="es-ES"/>
        </w:rPr>
        <w:t>7 de julio de 2024, de las 14.00 a las 18.00 horas EDT</w:t>
      </w:r>
      <w:r w:rsidRPr="003808DD">
        <w:rPr>
          <w:sz w:val="22"/>
          <w:szCs w:val="22"/>
          <w:lang w:val="es-ES"/>
        </w:rPr>
        <w:t xml:space="preserve">. </w:t>
      </w:r>
      <w:r w:rsidRPr="003808DD">
        <w:rPr>
          <w:b/>
          <w:bCs/>
          <w:sz w:val="22"/>
          <w:szCs w:val="22"/>
          <w:lang w:val="es-ES"/>
        </w:rPr>
        <w:t>Se trata de un acto presencial únicamente.</w:t>
      </w:r>
      <w:r w:rsidRPr="003808DD">
        <w:rPr>
          <w:sz w:val="22"/>
          <w:szCs w:val="22"/>
          <w:lang w:val="es-ES"/>
        </w:rPr>
        <w:t xml:space="preserve"> No habrá participación a distancia.</w:t>
      </w:r>
    </w:p>
    <w:p w14:paraId="76B04ED3" w14:textId="61FD4F75" w:rsidR="004F1CA3" w:rsidRPr="003808DD" w:rsidRDefault="004F1CA3" w:rsidP="004F1CA3">
      <w:pPr>
        <w:rPr>
          <w:sz w:val="22"/>
          <w:szCs w:val="22"/>
          <w:lang w:val="es-ES"/>
        </w:rPr>
      </w:pPr>
      <w:r w:rsidRPr="003808DD">
        <w:rPr>
          <w:sz w:val="22"/>
          <w:szCs w:val="22"/>
          <w:lang w:val="es-ES"/>
        </w:rPr>
        <w:t>3</w:t>
      </w:r>
      <w:r w:rsidRPr="003808DD">
        <w:rPr>
          <w:sz w:val="22"/>
          <w:szCs w:val="22"/>
          <w:lang w:val="es-ES"/>
        </w:rPr>
        <w:tab/>
      </w:r>
      <w:proofErr w:type="gramStart"/>
      <w:r w:rsidRPr="003808DD">
        <w:rPr>
          <w:sz w:val="22"/>
          <w:szCs w:val="22"/>
          <w:lang w:val="es-ES"/>
        </w:rPr>
        <w:t>Este</w:t>
      </w:r>
      <w:proofErr w:type="gramEnd"/>
      <w:r w:rsidRPr="003808DD">
        <w:rPr>
          <w:sz w:val="22"/>
          <w:szCs w:val="22"/>
          <w:lang w:val="es-ES"/>
        </w:rPr>
        <w:t xml:space="preserve"> taller tiene por objeto proporcionar una plataforma para que todas las partes interesadas identifiquen la arquitectura y los requisitos para el soporte de redes de transporte de las redes IMT</w:t>
      </w:r>
      <w:r w:rsidR="00CD2411" w:rsidRPr="003808DD">
        <w:rPr>
          <w:sz w:val="22"/>
          <w:szCs w:val="22"/>
          <w:lang w:val="es-ES"/>
        </w:rPr>
        <w:t xml:space="preserve"> </w:t>
      </w:r>
      <w:r w:rsidRPr="003808DD">
        <w:rPr>
          <w:sz w:val="22"/>
          <w:szCs w:val="22"/>
          <w:lang w:val="es-ES"/>
        </w:rPr>
        <w:t>2030/6G, centrándose en el soporte de la red de acceso radioeléctrico 5G avanzada y 6G especificada por 3GPP.</w:t>
      </w:r>
    </w:p>
    <w:p w14:paraId="64CCE5CB" w14:textId="22884CF6" w:rsidR="004F1CA3" w:rsidRPr="003808DD" w:rsidRDefault="004F1CA3" w:rsidP="004F1CA3">
      <w:pPr>
        <w:rPr>
          <w:sz w:val="22"/>
          <w:szCs w:val="22"/>
          <w:lang w:val="es-ES"/>
        </w:rPr>
      </w:pPr>
      <w:r w:rsidRPr="003808DD">
        <w:rPr>
          <w:sz w:val="22"/>
          <w:szCs w:val="22"/>
          <w:lang w:val="es-ES"/>
        </w:rPr>
        <w:t>4</w:t>
      </w:r>
      <w:r w:rsidRPr="003808DD">
        <w:rPr>
          <w:sz w:val="22"/>
          <w:szCs w:val="22"/>
          <w:lang w:val="es-ES"/>
        </w:rPr>
        <w:tab/>
      </w:r>
      <w:proofErr w:type="gramStart"/>
      <w:r w:rsidRPr="003808DD">
        <w:rPr>
          <w:sz w:val="22"/>
          <w:szCs w:val="22"/>
          <w:lang w:val="es-ES"/>
        </w:rPr>
        <w:t>El</w:t>
      </w:r>
      <w:proofErr w:type="gramEnd"/>
      <w:r w:rsidRPr="003808DD">
        <w:rPr>
          <w:sz w:val="22"/>
          <w:szCs w:val="22"/>
          <w:lang w:val="es-ES"/>
        </w:rPr>
        <w:t xml:space="preserve"> objetivo del taller es ofrecer a los participantes de la CE</w:t>
      </w:r>
      <w:r w:rsidR="007F5C10" w:rsidRPr="003808DD">
        <w:rPr>
          <w:sz w:val="22"/>
          <w:szCs w:val="22"/>
          <w:lang w:val="es-ES"/>
        </w:rPr>
        <w:t xml:space="preserve"> </w:t>
      </w:r>
      <w:r w:rsidRPr="003808DD">
        <w:rPr>
          <w:sz w:val="22"/>
          <w:szCs w:val="22"/>
          <w:lang w:val="es-ES"/>
        </w:rPr>
        <w:t>15 una visión general de la situación actual, los nuevos requisitos y los plazos para las IMT</w:t>
      </w:r>
      <w:r w:rsidR="00CD2411" w:rsidRPr="003808DD">
        <w:rPr>
          <w:sz w:val="22"/>
          <w:szCs w:val="22"/>
          <w:lang w:val="es-ES"/>
        </w:rPr>
        <w:t xml:space="preserve"> </w:t>
      </w:r>
      <w:r w:rsidRPr="003808DD">
        <w:rPr>
          <w:sz w:val="22"/>
          <w:szCs w:val="22"/>
          <w:lang w:val="es-ES"/>
        </w:rPr>
        <w:t>2030/6G. Entre los temas de particular interés figuran:</w:t>
      </w:r>
    </w:p>
    <w:p w14:paraId="23988160" w14:textId="615A7D2C" w:rsidR="004F1CA3" w:rsidRPr="003808DD" w:rsidRDefault="004F1CA3" w:rsidP="004F1CA3">
      <w:pPr>
        <w:pStyle w:val="enumlev1"/>
        <w:rPr>
          <w:sz w:val="22"/>
          <w:szCs w:val="22"/>
          <w:lang w:val="es-ES"/>
        </w:rPr>
      </w:pPr>
      <w:r w:rsidRPr="003808DD">
        <w:rPr>
          <w:sz w:val="22"/>
          <w:szCs w:val="22"/>
          <w:lang w:val="es-ES"/>
        </w:rPr>
        <w:t>–</w:t>
      </w:r>
      <w:r w:rsidRPr="003808DD">
        <w:rPr>
          <w:sz w:val="22"/>
          <w:szCs w:val="22"/>
          <w:lang w:val="es-ES"/>
        </w:rPr>
        <w:tab/>
        <w:t>Identificación de las diferencias entre la topología de la red IMT</w:t>
      </w:r>
      <w:r w:rsidR="00CD2411" w:rsidRPr="003808DD">
        <w:rPr>
          <w:sz w:val="22"/>
          <w:szCs w:val="22"/>
          <w:lang w:val="es-ES"/>
        </w:rPr>
        <w:t xml:space="preserve"> </w:t>
      </w:r>
      <w:r w:rsidRPr="003808DD">
        <w:rPr>
          <w:sz w:val="22"/>
          <w:szCs w:val="22"/>
          <w:lang w:val="es-ES"/>
        </w:rPr>
        <w:t>2030/6G y la topología de la red 5G actual y las redes 5G avanzadas emergentes.</w:t>
      </w:r>
    </w:p>
    <w:p w14:paraId="2CA8178B" w14:textId="1EFDCC5C" w:rsidR="004F1CA3" w:rsidRPr="003808DD" w:rsidRDefault="004F1CA3" w:rsidP="007F5C10">
      <w:pPr>
        <w:pStyle w:val="enumlev2"/>
        <w:numPr>
          <w:ilvl w:val="0"/>
          <w:numId w:val="9"/>
        </w:numPr>
        <w:rPr>
          <w:sz w:val="22"/>
          <w:szCs w:val="22"/>
          <w:lang w:val="es-ES"/>
        </w:rPr>
      </w:pPr>
      <w:r w:rsidRPr="003808DD">
        <w:rPr>
          <w:sz w:val="22"/>
          <w:szCs w:val="22"/>
          <w:lang w:val="es-ES"/>
        </w:rPr>
        <w:t>Estimaciones de la capacidad del enlace y requisitos de latencia</w:t>
      </w:r>
      <w:r w:rsidR="007F5C10" w:rsidRPr="003808DD">
        <w:rPr>
          <w:sz w:val="22"/>
          <w:szCs w:val="22"/>
          <w:lang w:val="es-ES"/>
        </w:rPr>
        <w:t>.</w:t>
      </w:r>
    </w:p>
    <w:p w14:paraId="479BF6E7" w14:textId="5793A896" w:rsidR="004F1CA3" w:rsidRPr="003808DD" w:rsidRDefault="004F1CA3" w:rsidP="004F1CA3">
      <w:pPr>
        <w:pStyle w:val="enumlev1"/>
        <w:rPr>
          <w:sz w:val="22"/>
          <w:szCs w:val="22"/>
          <w:lang w:val="es-ES"/>
        </w:rPr>
      </w:pPr>
      <w:r w:rsidRPr="003808DD">
        <w:rPr>
          <w:sz w:val="22"/>
          <w:szCs w:val="22"/>
          <w:lang w:val="es-ES"/>
        </w:rPr>
        <w:t>–</w:t>
      </w:r>
      <w:r w:rsidRPr="003808DD">
        <w:rPr>
          <w:sz w:val="22"/>
          <w:szCs w:val="22"/>
          <w:lang w:val="es-ES"/>
        </w:rPr>
        <w:tab/>
        <w:t>Apoyo de la red de transporte a los objetivos de eficiencia energética de IMT</w:t>
      </w:r>
      <w:r w:rsidR="00CD2411" w:rsidRPr="003808DD">
        <w:rPr>
          <w:sz w:val="22"/>
          <w:szCs w:val="22"/>
          <w:lang w:val="es-ES"/>
        </w:rPr>
        <w:t xml:space="preserve"> </w:t>
      </w:r>
      <w:r w:rsidRPr="003808DD">
        <w:rPr>
          <w:sz w:val="22"/>
          <w:szCs w:val="22"/>
          <w:lang w:val="es-ES"/>
        </w:rPr>
        <w:t>2030/6G.</w:t>
      </w:r>
    </w:p>
    <w:p w14:paraId="455BD9BA" w14:textId="56E1B212" w:rsidR="004F1CA3" w:rsidRPr="003808DD" w:rsidRDefault="004F1CA3" w:rsidP="004F1CA3">
      <w:pPr>
        <w:pStyle w:val="enumlev1"/>
        <w:rPr>
          <w:sz w:val="22"/>
          <w:szCs w:val="22"/>
          <w:lang w:val="es-ES"/>
        </w:rPr>
      </w:pPr>
      <w:r w:rsidRPr="003808DD">
        <w:rPr>
          <w:sz w:val="22"/>
          <w:szCs w:val="22"/>
          <w:lang w:val="es-ES"/>
        </w:rPr>
        <w:t>–</w:t>
      </w:r>
      <w:r w:rsidRPr="003808DD">
        <w:rPr>
          <w:sz w:val="22"/>
          <w:szCs w:val="22"/>
          <w:lang w:val="es-ES"/>
        </w:rPr>
        <w:tab/>
        <w:t>Posibles beneficios de la integración de la gestión de la red de transporte y acceso y la red IMT</w:t>
      </w:r>
      <w:r w:rsidR="00CD2411" w:rsidRPr="003808DD">
        <w:rPr>
          <w:sz w:val="22"/>
          <w:szCs w:val="22"/>
          <w:lang w:val="es-ES"/>
        </w:rPr>
        <w:t xml:space="preserve"> </w:t>
      </w:r>
      <w:r w:rsidRPr="003808DD">
        <w:rPr>
          <w:sz w:val="22"/>
          <w:szCs w:val="22"/>
          <w:lang w:val="es-ES"/>
        </w:rPr>
        <w:t>2030/6G.</w:t>
      </w:r>
    </w:p>
    <w:p w14:paraId="6FBC9E4B" w14:textId="664180B9" w:rsidR="004F1CA3" w:rsidRPr="003808DD" w:rsidRDefault="004F1CA3" w:rsidP="004F1CA3">
      <w:pPr>
        <w:pStyle w:val="enumlev1"/>
        <w:rPr>
          <w:sz w:val="22"/>
          <w:szCs w:val="22"/>
          <w:lang w:val="es-ES"/>
        </w:rPr>
      </w:pPr>
      <w:r w:rsidRPr="003808DD">
        <w:rPr>
          <w:sz w:val="22"/>
          <w:szCs w:val="22"/>
          <w:lang w:val="es-ES"/>
        </w:rPr>
        <w:t>–</w:t>
      </w:r>
      <w:r w:rsidRPr="003808DD">
        <w:rPr>
          <w:sz w:val="22"/>
          <w:szCs w:val="22"/>
          <w:lang w:val="es-ES"/>
        </w:rPr>
        <w:tab/>
        <w:t>Utilización de la IA/ML para mejorar la coordinación de la red de transporte y acceso con la red IMT</w:t>
      </w:r>
      <w:r w:rsidR="00CD2411" w:rsidRPr="003808DD">
        <w:rPr>
          <w:sz w:val="22"/>
          <w:szCs w:val="22"/>
          <w:lang w:val="es-ES"/>
        </w:rPr>
        <w:t xml:space="preserve"> </w:t>
      </w:r>
      <w:r w:rsidRPr="003808DD">
        <w:rPr>
          <w:sz w:val="22"/>
          <w:szCs w:val="22"/>
          <w:lang w:val="es-ES"/>
        </w:rPr>
        <w:t>2030/6G.</w:t>
      </w:r>
    </w:p>
    <w:p w14:paraId="32118867" w14:textId="242D22CF" w:rsidR="004F1CA3" w:rsidRPr="003808DD" w:rsidRDefault="004F1CA3" w:rsidP="004F1CA3">
      <w:pPr>
        <w:rPr>
          <w:sz w:val="22"/>
          <w:szCs w:val="22"/>
          <w:lang w:val="es-ES"/>
        </w:rPr>
      </w:pPr>
      <w:r w:rsidRPr="003808DD">
        <w:rPr>
          <w:sz w:val="22"/>
          <w:szCs w:val="22"/>
          <w:lang w:val="es-ES"/>
        </w:rPr>
        <w:lastRenderedPageBreak/>
        <w:t>5</w:t>
      </w:r>
      <w:r w:rsidRPr="003808DD">
        <w:rPr>
          <w:sz w:val="22"/>
          <w:szCs w:val="22"/>
          <w:lang w:val="es-ES"/>
        </w:rPr>
        <w:tab/>
      </w:r>
      <w:proofErr w:type="gramStart"/>
      <w:r w:rsidRPr="003808DD">
        <w:rPr>
          <w:sz w:val="22"/>
          <w:szCs w:val="22"/>
          <w:lang w:val="es-ES"/>
        </w:rPr>
        <w:t>Se</w:t>
      </w:r>
      <w:proofErr w:type="gramEnd"/>
      <w:r w:rsidRPr="003808DD">
        <w:rPr>
          <w:sz w:val="22"/>
          <w:szCs w:val="22"/>
          <w:lang w:val="es-ES"/>
        </w:rPr>
        <w:t xml:space="preserve"> invita a participar a los Miembros y no miembros de la UIT, a otras SDO interesadas, a los fabricantes de equipos de red, a los organismos de investigación y, en particular, a los operadores de red de todas las regiones geográficas que han desplegado 5G y prevén desplegar 5G Avanzadas o IMT</w:t>
      </w:r>
      <w:r w:rsidR="00CD2411" w:rsidRPr="003808DD">
        <w:rPr>
          <w:sz w:val="22"/>
          <w:szCs w:val="22"/>
          <w:lang w:val="es-ES"/>
        </w:rPr>
        <w:t xml:space="preserve"> </w:t>
      </w:r>
      <w:r w:rsidRPr="003808DD">
        <w:rPr>
          <w:sz w:val="22"/>
          <w:szCs w:val="22"/>
          <w:lang w:val="es-ES"/>
        </w:rPr>
        <w:t>2030/6G.</w:t>
      </w:r>
    </w:p>
    <w:p w14:paraId="65AA9349" w14:textId="729D2ED8" w:rsidR="004F1CA3" w:rsidRPr="003808DD" w:rsidRDefault="004F1CA3" w:rsidP="004F1CA3">
      <w:pPr>
        <w:rPr>
          <w:b/>
          <w:bCs/>
          <w:sz w:val="22"/>
          <w:szCs w:val="22"/>
          <w:lang w:val="es-ES"/>
        </w:rPr>
      </w:pPr>
      <w:r w:rsidRPr="003808DD">
        <w:rPr>
          <w:sz w:val="22"/>
          <w:szCs w:val="22"/>
          <w:lang w:val="es-ES"/>
        </w:rPr>
        <w:t>6</w:t>
      </w:r>
      <w:r w:rsidRPr="003808DD">
        <w:rPr>
          <w:sz w:val="22"/>
          <w:szCs w:val="22"/>
          <w:lang w:val="es-ES"/>
        </w:rPr>
        <w:tab/>
        <w:t xml:space="preserve">El </w:t>
      </w:r>
      <w:r w:rsidRPr="003808DD">
        <w:rPr>
          <w:i/>
          <w:iCs/>
          <w:sz w:val="22"/>
          <w:szCs w:val="22"/>
          <w:lang w:val="es-ES"/>
        </w:rPr>
        <w:t>segundo taller</w:t>
      </w:r>
      <w:r w:rsidRPr="003808DD">
        <w:rPr>
          <w:sz w:val="22"/>
          <w:szCs w:val="22"/>
          <w:lang w:val="es-ES"/>
        </w:rPr>
        <w:t xml:space="preserve">, organizado conjuntamente con el Instituto Europeo de Normas de Telecomunicaciones </w:t>
      </w:r>
      <w:r w:rsidR="007F5C10" w:rsidRPr="003808DD">
        <w:rPr>
          <w:sz w:val="22"/>
          <w:szCs w:val="22"/>
          <w:lang w:val="es-ES"/>
        </w:rPr>
        <w:t>–</w:t>
      </w:r>
      <w:r w:rsidRPr="003808DD">
        <w:rPr>
          <w:sz w:val="22"/>
          <w:szCs w:val="22"/>
          <w:lang w:val="es-ES"/>
        </w:rPr>
        <w:t>Grupo de Especificación de la Industria</w:t>
      </w:r>
      <w:r w:rsidR="007F5C10" w:rsidRPr="003808DD">
        <w:rPr>
          <w:sz w:val="22"/>
          <w:szCs w:val="22"/>
          <w:lang w:val="es-ES"/>
        </w:rPr>
        <w:t>–</w:t>
      </w:r>
      <w:r w:rsidRPr="003808DD">
        <w:rPr>
          <w:sz w:val="22"/>
          <w:szCs w:val="22"/>
          <w:lang w:val="es-ES"/>
        </w:rPr>
        <w:t xml:space="preserve"> Red fija de quinta generación (ETSI</w:t>
      </w:r>
      <w:r w:rsidR="007F5C10" w:rsidRPr="003808DD">
        <w:rPr>
          <w:sz w:val="22"/>
          <w:szCs w:val="22"/>
          <w:lang w:val="es-ES"/>
        </w:rPr>
        <w:t> </w:t>
      </w:r>
      <w:r w:rsidRPr="003808DD">
        <w:rPr>
          <w:sz w:val="22"/>
          <w:szCs w:val="22"/>
          <w:lang w:val="es-ES"/>
        </w:rPr>
        <w:t xml:space="preserve">ISG F5G), el Foro de la Banda Ancha (BBF) y el Comité Técnico 6 de la Asociación de Normalización de las Comunicaciones de China (CCSA TC6) será el </w:t>
      </w:r>
      <w:hyperlink r:id="rId15" w:anchor="/es" w:history="1">
        <w:r w:rsidRPr="003808DD">
          <w:rPr>
            <w:rStyle w:val="Hyperlink"/>
            <w:b/>
            <w:bCs/>
            <w:sz w:val="22"/>
            <w:szCs w:val="22"/>
            <w:lang w:val="es-ES"/>
          </w:rPr>
          <w:t>Cuarto Taller conjunto ETSI</w:t>
        </w:r>
        <w:r w:rsidR="007F5C10" w:rsidRPr="003808DD">
          <w:rPr>
            <w:rStyle w:val="Hyperlink"/>
            <w:b/>
            <w:bCs/>
            <w:sz w:val="22"/>
            <w:szCs w:val="22"/>
            <w:lang w:val="es-ES"/>
          </w:rPr>
          <w:t> </w:t>
        </w:r>
        <w:r w:rsidRPr="003808DD">
          <w:rPr>
            <w:rStyle w:val="Hyperlink"/>
            <w:b/>
            <w:bCs/>
            <w:sz w:val="22"/>
            <w:szCs w:val="22"/>
            <w:lang w:val="es-ES"/>
          </w:rPr>
          <w:t>ISG</w:t>
        </w:r>
        <w:r w:rsidR="007F5C10" w:rsidRPr="003808DD">
          <w:rPr>
            <w:rStyle w:val="Hyperlink"/>
            <w:b/>
            <w:bCs/>
            <w:sz w:val="22"/>
            <w:szCs w:val="22"/>
            <w:lang w:val="es-ES"/>
          </w:rPr>
          <w:t> </w:t>
        </w:r>
        <w:r w:rsidRPr="003808DD">
          <w:rPr>
            <w:rStyle w:val="Hyperlink"/>
            <w:b/>
            <w:bCs/>
            <w:sz w:val="22"/>
            <w:szCs w:val="22"/>
            <w:lang w:val="es-ES"/>
          </w:rPr>
          <w:t xml:space="preserve">F5G, BBF, CCSA TC6 y la CE 15 del UIT-T sobre la </w:t>
        </w:r>
        <w:r w:rsidR="00A3214F" w:rsidRPr="003808DD">
          <w:rPr>
            <w:rStyle w:val="Hyperlink"/>
            <w:b/>
            <w:bCs/>
            <w:sz w:val="22"/>
            <w:szCs w:val="22"/>
            <w:lang w:val="es-ES"/>
          </w:rPr>
          <w:t>"</w:t>
        </w:r>
        <w:r w:rsidRPr="003808DD">
          <w:rPr>
            <w:rStyle w:val="Hyperlink"/>
            <w:b/>
            <w:bCs/>
            <w:sz w:val="22"/>
            <w:szCs w:val="22"/>
            <w:lang w:val="es-ES"/>
          </w:rPr>
          <w:t>FTTR</w:t>
        </w:r>
        <w:r w:rsidR="00A3214F" w:rsidRPr="003808DD">
          <w:rPr>
            <w:rStyle w:val="Hyperlink"/>
            <w:b/>
            <w:bCs/>
            <w:sz w:val="22"/>
            <w:szCs w:val="22"/>
            <w:lang w:val="es-ES"/>
          </w:rPr>
          <w:t>"</w:t>
        </w:r>
        <w:r w:rsidRPr="003808DD">
          <w:rPr>
            <w:rStyle w:val="Hyperlink"/>
            <w:b/>
            <w:bCs/>
            <w:sz w:val="22"/>
            <w:szCs w:val="22"/>
            <w:lang w:val="es-ES"/>
          </w:rPr>
          <w:t xml:space="preserve"> (fibra hasta la habitación)</w:t>
        </w:r>
      </w:hyperlink>
      <w:r w:rsidRPr="003808DD">
        <w:rPr>
          <w:sz w:val="22"/>
          <w:szCs w:val="22"/>
          <w:lang w:val="es-ES"/>
        </w:rPr>
        <w:t xml:space="preserve">, tendrá lugar el </w:t>
      </w:r>
      <w:r w:rsidRPr="003808DD">
        <w:rPr>
          <w:b/>
          <w:bCs/>
          <w:sz w:val="22"/>
          <w:szCs w:val="22"/>
          <w:lang w:val="es-ES"/>
        </w:rPr>
        <w:t>10 de julio de 2024 de las 8.00 a las 12.00 horas EDT. Para este evento se facilitará la participación a distancia</w:t>
      </w:r>
      <w:r w:rsidR="007F5C10" w:rsidRPr="003808DD">
        <w:rPr>
          <w:b/>
          <w:bCs/>
          <w:sz w:val="22"/>
          <w:szCs w:val="22"/>
          <w:lang w:val="es-ES"/>
        </w:rPr>
        <w:t>.</w:t>
      </w:r>
    </w:p>
    <w:p w14:paraId="5BE13661" w14:textId="131B17E5" w:rsidR="004F1CA3" w:rsidRPr="003808DD" w:rsidRDefault="004F1CA3" w:rsidP="004F1CA3">
      <w:pPr>
        <w:rPr>
          <w:sz w:val="22"/>
          <w:szCs w:val="22"/>
          <w:lang w:val="es-ES"/>
        </w:rPr>
      </w:pPr>
      <w:r w:rsidRPr="003808DD">
        <w:rPr>
          <w:sz w:val="22"/>
          <w:szCs w:val="22"/>
          <w:lang w:val="es-ES"/>
        </w:rPr>
        <w:t>7</w:t>
      </w:r>
      <w:r w:rsidRPr="003808DD">
        <w:rPr>
          <w:sz w:val="22"/>
          <w:szCs w:val="22"/>
          <w:lang w:val="es-ES"/>
        </w:rPr>
        <w:tab/>
      </w:r>
      <w:proofErr w:type="gramStart"/>
      <w:r w:rsidRPr="003808DD">
        <w:rPr>
          <w:sz w:val="22"/>
          <w:szCs w:val="22"/>
          <w:lang w:val="es-ES"/>
        </w:rPr>
        <w:t>Este</w:t>
      </w:r>
      <w:proofErr w:type="gramEnd"/>
      <w:r w:rsidRPr="003808DD">
        <w:rPr>
          <w:sz w:val="22"/>
          <w:szCs w:val="22"/>
          <w:lang w:val="es-ES"/>
        </w:rPr>
        <w:t xml:space="preserve"> taller tiene por objeto ofrecer a todas las partes interesadas la oportunidad de proseguir el debate sobre la FTTR (fibra hasta la habitación). La FTTR es un tema de actualidad en la C3/15 para las redes en las instalaciones. La topología y las funcionalidades en los locales de fibra de las tecnologías FTTR pueden ser diferentes de las tecnologías actuales basadas en fibra en la red de transporte y acceso. Para desarrollar mejor la especificación FTTR y facilitar el despliegue del sistema FTTR, es necesario comprender los casos de uso y los requisitos, los desafíos de implementación y las mejores prácticas de FTTR.</w:t>
      </w:r>
    </w:p>
    <w:p w14:paraId="69EFFF6D" w14:textId="117076C0" w:rsidR="004F1CA3" w:rsidRPr="003808DD" w:rsidRDefault="004F1CA3" w:rsidP="004F1CA3">
      <w:pPr>
        <w:rPr>
          <w:sz w:val="22"/>
          <w:szCs w:val="22"/>
          <w:lang w:val="es-ES"/>
        </w:rPr>
      </w:pPr>
      <w:r w:rsidRPr="003808DD">
        <w:rPr>
          <w:sz w:val="22"/>
          <w:szCs w:val="22"/>
          <w:lang w:val="es-ES"/>
        </w:rPr>
        <w:t>8</w:t>
      </w:r>
      <w:r w:rsidRPr="003808DD">
        <w:rPr>
          <w:sz w:val="22"/>
          <w:szCs w:val="22"/>
          <w:lang w:val="es-ES"/>
        </w:rPr>
        <w:tab/>
      </w:r>
      <w:proofErr w:type="gramStart"/>
      <w:r w:rsidRPr="003808DD">
        <w:rPr>
          <w:sz w:val="22"/>
          <w:szCs w:val="22"/>
          <w:lang w:val="es-ES"/>
        </w:rPr>
        <w:t>La</w:t>
      </w:r>
      <w:proofErr w:type="gramEnd"/>
      <w:r w:rsidRPr="003808DD">
        <w:rPr>
          <w:sz w:val="22"/>
          <w:szCs w:val="22"/>
          <w:lang w:val="es-ES"/>
        </w:rPr>
        <w:t xml:space="preserve"> participación en ambos talleres está abierta a los Estados Miembros, Miembros de Sector, Asociados e Instituciones Académicas de la UIT, a todos los participantes habituales de las reuniones ETSI ISG F5G, BBF, CCSA TC6 y de la CE</w:t>
      </w:r>
      <w:r w:rsidR="00A3214F" w:rsidRPr="003808DD">
        <w:rPr>
          <w:sz w:val="22"/>
          <w:szCs w:val="22"/>
          <w:lang w:val="es-ES"/>
        </w:rPr>
        <w:t xml:space="preserve"> </w:t>
      </w:r>
      <w:r w:rsidRPr="003808DD">
        <w:rPr>
          <w:sz w:val="22"/>
          <w:szCs w:val="22"/>
          <w:lang w:val="es-ES"/>
        </w:rPr>
        <w:t>15 del UIT-T, y a cualquier persona interesada en el tema que desee contribuir a los trabajos. Esto incluye a las personas que también son miembros de organizaciones nacionales, regionales e internacionales. La participación en los talleres es gratuita.</w:t>
      </w:r>
    </w:p>
    <w:p w14:paraId="3726F0C9" w14:textId="6C38449C" w:rsidR="004F1CA3" w:rsidRPr="003808DD" w:rsidRDefault="004F1CA3" w:rsidP="004F1CA3">
      <w:pPr>
        <w:rPr>
          <w:sz w:val="22"/>
          <w:szCs w:val="22"/>
          <w:lang w:val="es-ES"/>
        </w:rPr>
      </w:pPr>
      <w:r w:rsidRPr="003808DD">
        <w:rPr>
          <w:sz w:val="22"/>
          <w:szCs w:val="22"/>
          <w:lang w:val="es-ES"/>
        </w:rPr>
        <w:t>9</w:t>
      </w:r>
      <w:r w:rsidRPr="003808DD">
        <w:rPr>
          <w:sz w:val="22"/>
          <w:szCs w:val="22"/>
          <w:lang w:val="es-ES"/>
        </w:rPr>
        <w:tab/>
      </w:r>
      <w:proofErr w:type="gramStart"/>
      <w:r w:rsidRPr="003808DD">
        <w:rPr>
          <w:sz w:val="22"/>
          <w:szCs w:val="22"/>
          <w:lang w:val="es-ES"/>
        </w:rPr>
        <w:t>Toda</w:t>
      </w:r>
      <w:proofErr w:type="gramEnd"/>
      <w:r w:rsidRPr="003808DD">
        <w:rPr>
          <w:sz w:val="22"/>
          <w:szCs w:val="22"/>
          <w:lang w:val="es-ES"/>
        </w:rPr>
        <w:t xml:space="preserve"> la información pertinente relativa a ambos eventos (por ejemplo, proyecto de programa, lista de oradores, enlace de inscripción) estará disponible en los sitios web de los respectivos eventos. Este sitio web se actualizará periódicamente a medida que se disponga de más información. Se alienta a los participantes a consultar periódicamente el sitio web para conocer las últimas actualizaciones.</w:t>
      </w:r>
    </w:p>
    <w:p w14:paraId="6BF00FFB" w14:textId="45AD18C5" w:rsidR="004F1CA3" w:rsidRPr="003808DD" w:rsidRDefault="004F1CA3" w:rsidP="004F1CA3">
      <w:pPr>
        <w:rPr>
          <w:sz w:val="22"/>
          <w:szCs w:val="22"/>
          <w:lang w:val="es-ES"/>
        </w:rPr>
      </w:pPr>
      <w:r w:rsidRPr="003808DD">
        <w:rPr>
          <w:sz w:val="22"/>
          <w:szCs w:val="22"/>
          <w:lang w:val="es-ES"/>
        </w:rPr>
        <w:t>10</w:t>
      </w:r>
      <w:r w:rsidRPr="003808DD">
        <w:rPr>
          <w:sz w:val="22"/>
          <w:szCs w:val="22"/>
          <w:lang w:val="es-ES"/>
        </w:rPr>
        <w:tab/>
      </w:r>
      <w:proofErr w:type="gramStart"/>
      <w:r w:rsidRPr="003808DD">
        <w:rPr>
          <w:b/>
          <w:bCs/>
          <w:sz w:val="22"/>
          <w:szCs w:val="22"/>
          <w:lang w:val="es-ES"/>
        </w:rPr>
        <w:t>La</w:t>
      </w:r>
      <w:proofErr w:type="gramEnd"/>
      <w:r w:rsidRPr="003808DD">
        <w:rPr>
          <w:b/>
          <w:bCs/>
          <w:sz w:val="22"/>
          <w:szCs w:val="22"/>
          <w:lang w:val="es-ES"/>
        </w:rPr>
        <w:t xml:space="preserve"> inscripción en ambos eventos es obligatoria</w:t>
      </w:r>
      <w:r w:rsidRPr="003808DD">
        <w:rPr>
          <w:sz w:val="22"/>
          <w:szCs w:val="22"/>
          <w:lang w:val="es-ES"/>
        </w:rPr>
        <w:t xml:space="preserve">. Habrá un solo enlace de registro para ambos eventos. Para que la TSB pueda tomar las disposiciones necesarias sobre la organización del taller, le agradecería que se inscribiera lo antes posible en la dirección </w:t>
      </w:r>
      <w:hyperlink r:id="rId16" w:history="1">
        <w:r w:rsidRPr="003808DD">
          <w:rPr>
            <w:rStyle w:val="Hyperlink"/>
            <w:sz w:val="22"/>
            <w:szCs w:val="22"/>
            <w:lang w:val="es-ES"/>
          </w:rPr>
          <w:t>https://www.itu.int/net4/CRM/xreg/web/Login.aspx?src=Registration&amp;Event=C-00014196</w:t>
        </w:r>
      </w:hyperlink>
      <w:r w:rsidRPr="003808DD">
        <w:rPr>
          <w:sz w:val="22"/>
          <w:szCs w:val="22"/>
          <w:lang w:val="es-ES"/>
        </w:rPr>
        <w:t xml:space="preserve">. </w:t>
      </w:r>
      <w:r w:rsidRPr="003808DD">
        <w:rPr>
          <w:b/>
          <w:bCs/>
          <w:sz w:val="22"/>
          <w:szCs w:val="22"/>
          <w:lang w:val="es-ES"/>
        </w:rPr>
        <w:t>Le rogamos tenga en cuenta que la preinscripción de los participantes en estos eventos se lleva a cabo exclusivamente en línea.</w:t>
      </w:r>
    </w:p>
    <w:p w14:paraId="29813A68" w14:textId="1C9C2066" w:rsidR="003808DD" w:rsidRDefault="004F1CA3" w:rsidP="00AA2D7F">
      <w:pPr>
        <w:rPr>
          <w:sz w:val="22"/>
          <w:szCs w:val="22"/>
          <w:lang w:val="es-ES"/>
        </w:rPr>
      </w:pPr>
      <w:r w:rsidRPr="003808DD">
        <w:rPr>
          <w:sz w:val="22"/>
          <w:szCs w:val="22"/>
          <w:lang w:val="es-ES"/>
        </w:rPr>
        <w:t>11</w:t>
      </w:r>
      <w:r w:rsidRPr="003808DD">
        <w:rPr>
          <w:sz w:val="22"/>
          <w:szCs w:val="22"/>
          <w:lang w:val="es-ES"/>
        </w:rPr>
        <w:tab/>
      </w:r>
      <w:proofErr w:type="gramStart"/>
      <w:r w:rsidRPr="003808DD">
        <w:rPr>
          <w:sz w:val="22"/>
          <w:szCs w:val="22"/>
          <w:lang w:val="es-ES"/>
        </w:rPr>
        <w:t>Le</w:t>
      </w:r>
      <w:proofErr w:type="gramEnd"/>
      <w:r w:rsidRPr="003808DD">
        <w:rPr>
          <w:sz w:val="22"/>
          <w:szCs w:val="22"/>
          <w:lang w:val="es-ES"/>
        </w:rPr>
        <w:t xml:space="preserve"> recordamos que los ciudadanos de algunos países necesitan obtener un visado para entrar y permanecer en Canadá. El visado debe solicitarse y obtenerse en la oficina (embajada o consulado) que representa a Canadá en su país o, en su defecto, en la más próxima a su país de partida. Las solicitudes de ayuda para la obtención de visados deberán enviarse directamente al anfitrión del taller. En la </w:t>
      </w:r>
      <w:hyperlink r:id="rId17" w:history="1">
        <w:r w:rsidRPr="003808DD">
          <w:rPr>
            <w:rStyle w:val="Hyperlink"/>
            <w:sz w:val="22"/>
            <w:szCs w:val="22"/>
            <w:lang w:val="es-ES"/>
          </w:rPr>
          <w:t>página web de la CE</w:t>
        </w:r>
        <w:r w:rsidR="00A3214F" w:rsidRPr="003808DD">
          <w:rPr>
            <w:rStyle w:val="Hyperlink"/>
            <w:sz w:val="22"/>
            <w:szCs w:val="22"/>
            <w:lang w:val="es-ES"/>
          </w:rPr>
          <w:t xml:space="preserve"> </w:t>
        </w:r>
        <w:r w:rsidRPr="003808DD">
          <w:rPr>
            <w:rStyle w:val="Hyperlink"/>
            <w:sz w:val="22"/>
            <w:szCs w:val="22"/>
            <w:lang w:val="es-ES"/>
          </w:rPr>
          <w:t>15 del UIT-T</w:t>
        </w:r>
      </w:hyperlink>
      <w:r w:rsidRPr="003808DD">
        <w:rPr>
          <w:sz w:val="22"/>
          <w:szCs w:val="22"/>
          <w:lang w:val="es-ES"/>
        </w:rPr>
        <w:t xml:space="preserve"> figuran más instrucciones sobre ayuda en materia de visados y otros detalles logísticos pertinentes.</w:t>
      </w:r>
    </w:p>
    <w:p w14:paraId="5D2B310C" w14:textId="18EBC166" w:rsidR="007B6316" w:rsidRPr="003808DD" w:rsidRDefault="004F1CA3" w:rsidP="004F1CA3">
      <w:pPr>
        <w:rPr>
          <w:sz w:val="22"/>
          <w:szCs w:val="22"/>
          <w:lang w:val="es-ES"/>
        </w:rPr>
      </w:pPr>
      <w:r w:rsidRPr="003808DD">
        <w:rPr>
          <w:sz w:val="22"/>
          <w:szCs w:val="22"/>
          <w:lang w:val="es-ES"/>
        </w:rPr>
        <w:t>Le saluda atentamente,</w:t>
      </w:r>
    </w:p>
    <w:p w14:paraId="62C52D1D" w14:textId="276731F5" w:rsidR="00A3214F" w:rsidRPr="003808DD" w:rsidRDefault="00AC04D7" w:rsidP="00AA2D7F">
      <w:pPr>
        <w:spacing w:before="840"/>
        <w:rPr>
          <w:sz w:val="22"/>
          <w:szCs w:val="22"/>
        </w:rPr>
      </w:pPr>
      <w:r>
        <w:rPr>
          <w:rFonts w:cstheme="minorHAnsi"/>
          <w:noProof/>
          <w:sz w:val="22"/>
          <w:szCs w:val="22"/>
          <w:lang w:val="es-ES"/>
        </w:rPr>
        <w:drawing>
          <wp:anchor distT="0" distB="0" distL="114300" distR="114300" simplePos="0" relativeHeight="251658240" behindDoc="1" locked="0" layoutInCell="1" allowOverlap="1" wp14:anchorId="60B2553A" wp14:editId="1201350D">
            <wp:simplePos x="0" y="0"/>
            <wp:positionH relativeFrom="column">
              <wp:posOffset>-52705</wp:posOffset>
            </wp:positionH>
            <wp:positionV relativeFrom="paragraph">
              <wp:posOffset>112395</wp:posOffset>
            </wp:positionV>
            <wp:extent cx="824800" cy="371475"/>
            <wp:effectExtent l="0" t="0" r="0" b="0"/>
            <wp:wrapNone/>
            <wp:docPr id="159834829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48294" name="Picture 1" descr="A black and blu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1350B9" w:rsidRPr="003808DD">
        <w:rPr>
          <w:rFonts w:cstheme="minorHAnsi"/>
          <w:sz w:val="22"/>
          <w:szCs w:val="22"/>
          <w:lang w:val="es-ES"/>
        </w:rPr>
        <w:t>Seizo Onoe</w:t>
      </w:r>
      <w:r w:rsidR="007B6316" w:rsidRPr="003808DD">
        <w:rPr>
          <w:sz w:val="22"/>
          <w:szCs w:val="22"/>
        </w:rPr>
        <w:br/>
      </w:r>
      <w:proofErr w:type="gramStart"/>
      <w:r w:rsidR="007B6316" w:rsidRPr="003808DD">
        <w:rPr>
          <w:sz w:val="22"/>
          <w:szCs w:val="22"/>
        </w:rPr>
        <w:t>Director</w:t>
      </w:r>
      <w:proofErr w:type="gramEnd"/>
      <w:r w:rsidR="007B6316" w:rsidRPr="003808DD">
        <w:rPr>
          <w:sz w:val="22"/>
          <w:szCs w:val="22"/>
        </w:rPr>
        <w:t xml:space="preserve"> de la Oficina de </w:t>
      </w:r>
      <w:r w:rsidR="007B6316" w:rsidRPr="003808DD">
        <w:rPr>
          <w:sz w:val="22"/>
          <w:szCs w:val="22"/>
        </w:rPr>
        <w:br/>
        <w:t>Normalización de las Telecomunicaciones</w:t>
      </w:r>
    </w:p>
    <w:sectPr w:rsidR="00A3214F" w:rsidRPr="003808DD" w:rsidSect="00B87E9E">
      <w:head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8522" w14:textId="77777777" w:rsidR="00256755" w:rsidRDefault="00256755">
      <w:r>
        <w:separator/>
      </w:r>
    </w:p>
  </w:endnote>
  <w:endnote w:type="continuationSeparator" w:id="0">
    <w:p w14:paraId="6F10E616" w14:textId="77777777" w:rsidR="00256755" w:rsidRDefault="002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734C"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1CD6" w14:textId="77777777" w:rsidR="00256755" w:rsidRDefault="00256755">
      <w:r>
        <w:t>____________________</w:t>
      </w:r>
    </w:p>
  </w:footnote>
  <w:footnote w:type="continuationSeparator" w:id="0">
    <w:p w14:paraId="53B9028A" w14:textId="77777777" w:rsidR="00256755" w:rsidRDefault="0025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90009"/>
      <w:docPartObj>
        <w:docPartGallery w:val="Page Numbers (Top of Page)"/>
        <w:docPartUnique/>
      </w:docPartObj>
    </w:sdtPr>
    <w:sdtEndPr>
      <w:rPr>
        <w:noProof/>
        <w:sz w:val="18"/>
        <w:szCs w:val="18"/>
      </w:rPr>
    </w:sdtEndPr>
    <w:sdtContent>
      <w:p w14:paraId="795B1101" w14:textId="799CB5BE" w:rsidR="006969B4" w:rsidRPr="00303D62" w:rsidRDefault="004F1CA3" w:rsidP="004F1CA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Pr>
            <w:bCs/>
            <w:sz w:val="18"/>
            <w:szCs w:val="18"/>
          </w:rPr>
          <w:t>Circular TSB 212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97A"/>
    <w:multiLevelType w:val="hybridMultilevel"/>
    <w:tmpl w:val="1BB2BB5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07742"/>
    <w:multiLevelType w:val="hybridMultilevel"/>
    <w:tmpl w:val="464064DE"/>
    <w:lvl w:ilvl="0" w:tplc="ED08FB10">
      <w:numFmt w:val="bullet"/>
      <w:lvlText w:val="-"/>
      <w:lvlJc w:val="left"/>
      <w:pPr>
        <w:ind w:left="360" w:hanging="360"/>
      </w:pPr>
      <w:rPr>
        <w:rFonts w:ascii="Calibri" w:eastAsia="MS Mincho" w:hAnsi="Calibri" w:cs="Calibri" w:hint="default"/>
        <w:sz w:val="24"/>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30E02EF7"/>
    <w:multiLevelType w:val="hybridMultilevel"/>
    <w:tmpl w:val="F50A1D9E"/>
    <w:lvl w:ilvl="0" w:tplc="08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28206216">
    <w:abstractNumId w:val="3"/>
  </w:num>
  <w:num w:numId="2" w16cid:durableId="396170682">
    <w:abstractNumId w:val="7"/>
  </w:num>
  <w:num w:numId="3" w16cid:durableId="1370452711">
    <w:abstractNumId w:val="6"/>
  </w:num>
  <w:num w:numId="4" w16cid:durableId="1773890129">
    <w:abstractNumId w:val="4"/>
  </w:num>
  <w:num w:numId="5" w16cid:durableId="1932927639">
    <w:abstractNumId w:val="1"/>
  </w:num>
  <w:num w:numId="6" w16cid:durableId="1904874526">
    <w:abstractNumId w:val="5"/>
  </w:num>
  <w:num w:numId="7" w16cid:durableId="2131777677">
    <w:abstractNumId w:val="5"/>
  </w:num>
  <w:num w:numId="8" w16cid:durableId="653726327">
    <w:abstractNumId w:val="0"/>
  </w:num>
  <w:num w:numId="9" w16cid:durableId="121951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8C"/>
    <w:rsid w:val="00002529"/>
    <w:rsid w:val="00085662"/>
    <w:rsid w:val="000C382F"/>
    <w:rsid w:val="001173CC"/>
    <w:rsid w:val="001350B9"/>
    <w:rsid w:val="0014464D"/>
    <w:rsid w:val="00152D8C"/>
    <w:rsid w:val="001A54CC"/>
    <w:rsid w:val="001C5057"/>
    <w:rsid w:val="00256755"/>
    <w:rsid w:val="00257FB4"/>
    <w:rsid w:val="002E496E"/>
    <w:rsid w:val="00303D62"/>
    <w:rsid w:val="00335367"/>
    <w:rsid w:val="00370C2D"/>
    <w:rsid w:val="003808DD"/>
    <w:rsid w:val="003D1E8D"/>
    <w:rsid w:val="003D673B"/>
    <w:rsid w:val="003F2855"/>
    <w:rsid w:val="00401C20"/>
    <w:rsid w:val="0049243D"/>
    <w:rsid w:val="004A7957"/>
    <w:rsid w:val="004C4144"/>
    <w:rsid w:val="004F1CA3"/>
    <w:rsid w:val="005308F2"/>
    <w:rsid w:val="0055719E"/>
    <w:rsid w:val="00600CA0"/>
    <w:rsid w:val="0066544B"/>
    <w:rsid w:val="006969B4"/>
    <w:rsid w:val="006B5FF3"/>
    <w:rsid w:val="006E4F7B"/>
    <w:rsid w:val="00704DC9"/>
    <w:rsid w:val="00781E2A"/>
    <w:rsid w:val="007933A2"/>
    <w:rsid w:val="007B6316"/>
    <w:rsid w:val="007F5C10"/>
    <w:rsid w:val="00814503"/>
    <w:rsid w:val="008258C2"/>
    <w:rsid w:val="008505BD"/>
    <w:rsid w:val="00850C78"/>
    <w:rsid w:val="00876165"/>
    <w:rsid w:val="00884D12"/>
    <w:rsid w:val="0088595C"/>
    <w:rsid w:val="008C17AD"/>
    <w:rsid w:val="008D02CD"/>
    <w:rsid w:val="0091370C"/>
    <w:rsid w:val="0095172A"/>
    <w:rsid w:val="0098716A"/>
    <w:rsid w:val="009A0BA0"/>
    <w:rsid w:val="009B74DC"/>
    <w:rsid w:val="00A3214F"/>
    <w:rsid w:val="00A52F7C"/>
    <w:rsid w:val="00A54E47"/>
    <w:rsid w:val="00A80C65"/>
    <w:rsid w:val="00AA2D7F"/>
    <w:rsid w:val="00AA4393"/>
    <w:rsid w:val="00AB6E3A"/>
    <w:rsid w:val="00AC04D7"/>
    <w:rsid w:val="00AE7093"/>
    <w:rsid w:val="00B422BC"/>
    <w:rsid w:val="00B43F77"/>
    <w:rsid w:val="00B55A3E"/>
    <w:rsid w:val="00B87E9E"/>
    <w:rsid w:val="00B95F0A"/>
    <w:rsid w:val="00B96180"/>
    <w:rsid w:val="00BE0CA6"/>
    <w:rsid w:val="00C116FE"/>
    <w:rsid w:val="00C17AC0"/>
    <w:rsid w:val="00C34772"/>
    <w:rsid w:val="00C5465A"/>
    <w:rsid w:val="00CD2411"/>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F1579"/>
  <w15:docId w15:val="{34BFA42D-754F-4646-9489-A864C36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52D8C"/>
    <w:rPr>
      <w:color w:val="605E5C"/>
      <w:shd w:val="clear" w:color="auto" w:fill="E1DFDD"/>
    </w:rPr>
  </w:style>
  <w:style w:type="paragraph" w:customStyle="1" w:styleId="Reasons">
    <w:name w:val="Reasons"/>
    <w:basedOn w:val="Normal"/>
    <w:qFormat/>
    <w:rsid w:val="0049243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1829">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08457974">
      <w:bodyDiv w:val="1"/>
      <w:marLeft w:val="0"/>
      <w:marRight w:val="0"/>
      <w:marTop w:val="0"/>
      <w:marBottom w:val="0"/>
      <w:divBdr>
        <w:top w:val="none" w:sz="0" w:space="0" w:color="auto"/>
        <w:left w:val="none" w:sz="0" w:space="0" w:color="auto"/>
        <w:bottom w:val="none" w:sz="0" w:space="0" w:color="auto"/>
        <w:right w:val="none" w:sz="0" w:space="0" w:color="auto"/>
      </w:divBdr>
    </w:div>
    <w:div w:id="17724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s/ITU-T/studygroups/2022-2024/15/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munozmi\Downloads\tsbevents@itu.int" TargetMode="External"/><Relationship Id="rId17" Type="http://schemas.openxmlformats.org/officeDocument/2006/relationships/hyperlink" Target="https://www.itu.int/es/ITU-T/studygroups/2022-2024/15/Pages/default.aspx" TargetMode="External"/><Relationship Id="rId2" Type="http://schemas.openxmlformats.org/officeDocument/2006/relationships/customXml" Target="../customXml/item2.xml"/><Relationship Id="rId16" Type="http://schemas.openxmlformats.org/officeDocument/2006/relationships/hyperlink" Target="https://www.itu.int/net4/CRM/xreg/web/Login.aspx?src=Registration&amp;Event=C-000141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Workshops-and-Seminars/2024/0710/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4/0707/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4368FD9E91FF4A8B92A2E5E7C9DE99" ma:contentTypeVersion="5" ma:contentTypeDescription="Create a new document." ma:contentTypeScope="" ma:versionID="4bee0a7f284c466c76100454c8b82f84">
  <xsd:schema xmlns:xsd="http://www.w3.org/2001/XMLSchema" xmlns:xs="http://www.w3.org/2001/XMLSchema" xmlns:p="http://schemas.microsoft.com/office/2006/metadata/properties" xmlns:ns3="af721c1f-c22f-4062-a6ff-5f3287c1ee7e" targetNamespace="http://schemas.microsoft.com/office/2006/metadata/properties" ma:root="true" ma:fieldsID="093c9d6abb86df112cabc39555c90e8b" ns3:_="">
    <xsd:import namespace="af721c1f-c22f-4062-a6ff-5f3287c1ee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21c1f-c22f-4062-a6ff-5f3287c1ee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3BD4B-59C7-450E-B466-4B3EB6557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3.xml><?xml version="1.0" encoding="utf-8"?>
<ds:datastoreItem xmlns:ds="http://schemas.openxmlformats.org/officeDocument/2006/customXml" ds:itemID="{4D700102-A911-42A0-919C-D1BE34C4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21c1f-c22f-4062-a6ff-5f3287c1e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86327-E89D-4F96-9B87-5DCF9D193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62</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6724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Galvez Calleja, Julieta</dc:creator>
  <cp:lastModifiedBy>Braud, Olivia</cp:lastModifiedBy>
  <cp:revision>16</cp:revision>
  <cp:lastPrinted>2024-06-19T09:39:00Z</cp:lastPrinted>
  <dcterms:created xsi:type="dcterms:W3CDTF">2024-06-11T08:11:00Z</dcterms:created>
  <dcterms:modified xsi:type="dcterms:W3CDTF">2024-06-19T09:39:00Z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0x010100F74368FD9E91FF4A8B92A2E5E7C9DE99</vt:lpwstr>
  </property>
</Properties>
</file>