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CellMar>
          <w:left w:w="0" w:type="dxa"/>
          <w:right w:w="0" w:type="dxa"/>
        </w:tblCellMar>
        <w:tblLook w:val="0000" w:firstRow="0" w:lastRow="0" w:firstColumn="0" w:lastColumn="0" w:noHBand="0" w:noVBand="0"/>
      </w:tblPr>
      <w:tblGrid>
        <w:gridCol w:w="1303"/>
        <w:gridCol w:w="3496"/>
        <w:gridCol w:w="5072"/>
      </w:tblGrid>
      <w:tr w:rsidR="00EF6A23" w:rsidRPr="005311AD" w14:paraId="3D4D4FDE" w14:textId="77777777" w:rsidTr="00C05627">
        <w:trPr>
          <w:cantSplit/>
        </w:trPr>
        <w:tc>
          <w:tcPr>
            <w:tcW w:w="1421" w:type="dxa"/>
            <w:vAlign w:val="center"/>
          </w:tcPr>
          <w:p w14:paraId="76404B3E" w14:textId="77777777" w:rsidR="00EF6A23" w:rsidRPr="005311AD" w:rsidRDefault="00EF6A23" w:rsidP="004F0742">
            <w:pPr>
              <w:tabs>
                <w:tab w:val="right" w:pos="8732"/>
              </w:tabs>
              <w:spacing w:before="0"/>
              <w:rPr>
                <w:b/>
                <w:bCs/>
                <w:iCs/>
                <w:color w:val="FFFFFF"/>
                <w:sz w:val="30"/>
                <w:szCs w:val="30"/>
              </w:rPr>
            </w:pPr>
            <w:r w:rsidRPr="005311AD">
              <w:rPr>
                <w:noProof/>
                <w:lang w:eastAsia="zh-CN"/>
              </w:rPr>
              <w:drawing>
                <wp:inline distT="0" distB="0" distL="0" distR="0" wp14:anchorId="09FBE980" wp14:editId="20397D2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1B938C80" w14:textId="77777777" w:rsidR="00EF6A23" w:rsidRPr="005311AD" w:rsidRDefault="00EF6A23" w:rsidP="004F0742">
            <w:pPr>
              <w:spacing w:before="0"/>
              <w:rPr>
                <w:rFonts w:cs="Times New Roman Bold"/>
                <w:b/>
                <w:bCs/>
                <w:iCs/>
                <w:smallCaps/>
                <w:sz w:val="34"/>
                <w:szCs w:val="34"/>
              </w:rPr>
            </w:pPr>
            <w:r w:rsidRPr="005311AD">
              <w:rPr>
                <w:rFonts w:cs="Times New Roman Bold"/>
                <w:b/>
                <w:bCs/>
                <w:iCs/>
                <w:smallCaps/>
                <w:sz w:val="34"/>
                <w:szCs w:val="34"/>
              </w:rPr>
              <w:t>Union internationale des télécommunications</w:t>
            </w:r>
          </w:p>
          <w:p w14:paraId="0681D176" w14:textId="77777777" w:rsidR="00EF6A23" w:rsidRPr="005311AD" w:rsidRDefault="00EF6A23" w:rsidP="004F0742">
            <w:pPr>
              <w:spacing w:before="0"/>
              <w:rPr>
                <w:color w:val="FFFFFF"/>
                <w:sz w:val="26"/>
                <w:szCs w:val="26"/>
              </w:rPr>
            </w:pPr>
            <w:r w:rsidRPr="005311AD">
              <w:rPr>
                <w:rFonts w:cs="Times New Roman Bold"/>
                <w:b/>
                <w:bCs/>
                <w:iCs/>
                <w:smallCaps/>
                <w:sz w:val="28"/>
                <w:szCs w:val="28"/>
              </w:rPr>
              <w:t>B</w:t>
            </w:r>
            <w:r w:rsidRPr="005311AD">
              <w:rPr>
                <w:b/>
                <w:bCs/>
                <w:iCs/>
                <w:smallCaps/>
                <w:sz w:val="28"/>
                <w:szCs w:val="28"/>
              </w:rPr>
              <w:t>ureau de la Normalisation des Télécommunications</w:t>
            </w:r>
          </w:p>
        </w:tc>
      </w:tr>
      <w:tr w:rsidR="00036F4F" w:rsidRPr="00701DE3" w14:paraId="4CC46133" w14:textId="77777777" w:rsidTr="00C05627">
        <w:trPr>
          <w:cantSplit/>
        </w:trPr>
        <w:tc>
          <w:tcPr>
            <w:tcW w:w="1421" w:type="dxa"/>
          </w:tcPr>
          <w:p w14:paraId="59FDD3BC" w14:textId="77777777" w:rsidR="00036F4F" w:rsidRPr="00701DE3" w:rsidRDefault="00036F4F" w:rsidP="004F0742">
            <w:pPr>
              <w:tabs>
                <w:tab w:val="left" w:pos="4111"/>
              </w:tabs>
              <w:spacing w:before="10"/>
              <w:ind w:left="57"/>
              <w:rPr>
                <w:sz w:val="22"/>
                <w:szCs w:val="22"/>
              </w:rPr>
            </w:pPr>
          </w:p>
        </w:tc>
        <w:tc>
          <w:tcPr>
            <w:tcW w:w="3430" w:type="dxa"/>
          </w:tcPr>
          <w:p w14:paraId="79B0B633" w14:textId="77777777" w:rsidR="00036F4F" w:rsidRPr="00701DE3" w:rsidRDefault="00036F4F" w:rsidP="004F0742">
            <w:pPr>
              <w:tabs>
                <w:tab w:val="left" w:pos="4111"/>
              </w:tabs>
              <w:spacing w:before="10"/>
              <w:ind w:left="57"/>
              <w:rPr>
                <w:b/>
                <w:sz w:val="22"/>
                <w:szCs w:val="22"/>
              </w:rPr>
            </w:pPr>
          </w:p>
        </w:tc>
        <w:tc>
          <w:tcPr>
            <w:tcW w:w="5020" w:type="dxa"/>
          </w:tcPr>
          <w:p w14:paraId="0B4AB9BE" w14:textId="11C44CED" w:rsidR="00036F4F" w:rsidRPr="00701DE3" w:rsidRDefault="00036F4F" w:rsidP="004F0742">
            <w:pPr>
              <w:tabs>
                <w:tab w:val="clear" w:pos="794"/>
                <w:tab w:val="clear" w:pos="1191"/>
                <w:tab w:val="clear" w:pos="1588"/>
                <w:tab w:val="clear" w:pos="1985"/>
                <w:tab w:val="left" w:pos="284"/>
              </w:tabs>
              <w:spacing w:after="120"/>
              <w:ind w:left="284" w:hanging="227"/>
              <w:rPr>
                <w:sz w:val="22"/>
                <w:szCs w:val="22"/>
              </w:rPr>
            </w:pPr>
            <w:r w:rsidRPr="00701DE3">
              <w:rPr>
                <w:sz w:val="22"/>
                <w:szCs w:val="22"/>
              </w:rPr>
              <w:t>Genève, le</w:t>
            </w:r>
            <w:r w:rsidR="004419E9" w:rsidRPr="00701DE3">
              <w:rPr>
                <w:sz w:val="22"/>
                <w:szCs w:val="22"/>
              </w:rPr>
              <w:t xml:space="preserve"> </w:t>
            </w:r>
            <w:r w:rsidR="00915F62" w:rsidRPr="00701DE3">
              <w:rPr>
                <w:sz w:val="22"/>
                <w:szCs w:val="22"/>
              </w:rPr>
              <w:t>10 juin 2024</w:t>
            </w:r>
          </w:p>
        </w:tc>
      </w:tr>
      <w:tr w:rsidR="00445B68" w:rsidRPr="00701DE3" w14:paraId="04F6BE47" w14:textId="77777777" w:rsidTr="00C05627">
        <w:trPr>
          <w:cantSplit/>
          <w:trHeight w:val="340"/>
        </w:trPr>
        <w:tc>
          <w:tcPr>
            <w:tcW w:w="1421" w:type="dxa"/>
          </w:tcPr>
          <w:p w14:paraId="24D1BDB1" w14:textId="77777777" w:rsidR="00445B68" w:rsidRPr="00701DE3" w:rsidRDefault="00445B68" w:rsidP="004F0742">
            <w:pPr>
              <w:tabs>
                <w:tab w:val="left" w:pos="4111"/>
              </w:tabs>
              <w:spacing w:before="10"/>
              <w:ind w:left="57"/>
              <w:rPr>
                <w:b/>
                <w:bCs/>
                <w:sz w:val="22"/>
                <w:szCs w:val="22"/>
              </w:rPr>
            </w:pPr>
            <w:proofErr w:type="gramStart"/>
            <w:r w:rsidRPr="00701DE3">
              <w:rPr>
                <w:b/>
                <w:bCs/>
                <w:sz w:val="22"/>
                <w:szCs w:val="22"/>
              </w:rPr>
              <w:t>Réf.:</w:t>
            </w:r>
            <w:proofErr w:type="gramEnd"/>
          </w:p>
        </w:tc>
        <w:tc>
          <w:tcPr>
            <w:tcW w:w="3430" w:type="dxa"/>
          </w:tcPr>
          <w:p w14:paraId="1D66F2D0" w14:textId="5144EFF8" w:rsidR="00445B68" w:rsidRPr="00701DE3" w:rsidRDefault="00445B68" w:rsidP="004F0742">
            <w:pPr>
              <w:tabs>
                <w:tab w:val="left" w:pos="4111"/>
              </w:tabs>
              <w:spacing w:before="10"/>
              <w:ind w:left="57"/>
              <w:rPr>
                <w:b/>
                <w:sz w:val="22"/>
                <w:szCs w:val="22"/>
              </w:rPr>
            </w:pPr>
            <w:r w:rsidRPr="00701DE3">
              <w:rPr>
                <w:b/>
                <w:sz w:val="22"/>
                <w:szCs w:val="22"/>
              </w:rPr>
              <w:t xml:space="preserve">Circulaire TSB </w:t>
            </w:r>
            <w:r w:rsidR="00915F62" w:rsidRPr="00701DE3">
              <w:rPr>
                <w:b/>
                <w:sz w:val="22"/>
                <w:szCs w:val="22"/>
              </w:rPr>
              <w:t>212</w:t>
            </w:r>
          </w:p>
          <w:p w14:paraId="117DE24B" w14:textId="38D42542" w:rsidR="00445B68" w:rsidRPr="00701DE3" w:rsidRDefault="00915F62" w:rsidP="004F0742">
            <w:pPr>
              <w:tabs>
                <w:tab w:val="left" w:pos="4111"/>
              </w:tabs>
              <w:spacing w:before="10"/>
              <w:ind w:left="57"/>
              <w:rPr>
                <w:sz w:val="22"/>
                <w:szCs w:val="22"/>
              </w:rPr>
            </w:pPr>
            <w:r w:rsidRPr="00701DE3">
              <w:rPr>
                <w:sz w:val="22"/>
                <w:szCs w:val="22"/>
              </w:rPr>
              <w:t>Manifestations du TSB/HO</w:t>
            </w:r>
          </w:p>
        </w:tc>
        <w:tc>
          <w:tcPr>
            <w:tcW w:w="5020" w:type="dxa"/>
            <w:vMerge w:val="restart"/>
          </w:tcPr>
          <w:p w14:paraId="255F0AB9" w14:textId="77777777" w:rsidR="00307FB4" w:rsidRPr="00701DE3" w:rsidRDefault="00307FB4" w:rsidP="004F0742">
            <w:pPr>
              <w:tabs>
                <w:tab w:val="left" w:pos="226"/>
                <w:tab w:val="left" w:pos="4111"/>
              </w:tabs>
              <w:spacing w:before="0"/>
              <w:ind w:left="226" w:hanging="226"/>
              <w:rPr>
                <w:b/>
                <w:bCs/>
                <w:sz w:val="22"/>
                <w:szCs w:val="22"/>
              </w:rPr>
            </w:pPr>
            <w:bookmarkStart w:id="0" w:name="Addressee_F"/>
            <w:bookmarkEnd w:id="0"/>
            <w:proofErr w:type="gramStart"/>
            <w:r w:rsidRPr="00701DE3">
              <w:rPr>
                <w:b/>
                <w:bCs/>
                <w:sz w:val="22"/>
                <w:szCs w:val="22"/>
              </w:rPr>
              <w:t>Aux:</w:t>
            </w:r>
            <w:proofErr w:type="gramEnd"/>
          </w:p>
          <w:p w14:paraId="4A2B2CE1" w14:textId="569EE395" w:rsidR="00307FB4" w:rsidRPr="00701DE3" w:rsidRDefault="00307FB4" w:rsidP="004F0742">
            <w:pPr>
              <w:tabs>
                <w:tab w:val="left" w:pos="4111"/>
              </w:tabs>
              <w:spacing w:before="0"/>
              <w:ind w:left="426" w:hanging="426"/>
              <w:rPr>
                <w:sz w:val="22"/>
                <w:szCs w:val="22"/>
              </w:rPr>
            </w:pPr>
            <w:r w:rsidRPr="00701DE3">
              <w:rPr>
                <w:sz w:val="22"/>
                <w:szCs w:val="22"/>
              </w:rPr>
              <w:t>–</w:t>
            </w:r>
            <w:r w:rsidRPr="00701DE3">
              <w:rPr>
                <w:sz w:val="22"/>
                <w:szCs w:val="22"/>
              </w:rPr>
              <w:tab/>
              <w:t xml:space="preserve">Administrations des États Membres de </w:t>
            </w:r>
            <w:proofErr w:type="gramStart"/>
            <w:r w:rsidRPr="00701DE3">
              <w:rPr>
                <w:sz w:val="22"/>
                <w:szCs w:val="22"/>
              </w:rPr>
              <w:t>l</w:t>
            </w:r>
            <w:r w:rsidR="003219F7" w:rsidRPr="00701DE3">
              <w:rPr>
                <w:sz w:val="22"/>
                <w:szCs w:val="22"/>
              </w:rPr>
              <w:t>'</w:t>
            </w:r>
            <w:r w:rsidRPr="00701DE3">
              <w:rPr>
                <w:sz w:val="22"/>
                <w:szCs w:val="22"/>
              </w:rPr>
              <w:t>Union;</w:t>
            </w:r>
            <w:proofErr w:type="gramEnd"/>
          </w:p>
          <w:p w14:paraId="75658D20" w14:textId="5DB0C7BF" w:rsidR="00307FB4" w:rsidRPr="00701DE3" w:rsidRDefault="00307FB4" w:rsidP="004F0742">
            <w:pPr>
              <w:tabs>
                <w:tab w:val="left" w:pos="4111"/>
              </w:tabs>
              <w:spacing w:before="0"/>
              <w:ind w:left="426" w:hanging="426"/>
              <w:rPr>
                <w:sz w:val="22"/>
                <w:szCs w:val="22"/>
              </w:rPr>
            </w:pPr>
            <w:r w:rsidRPr="00701DE3">
              <w:rPr>
                <w:sz w:val="22"/>
                <w:szCs w:val="22"/>
              </w:rPr>
              <w:t>–</w:t>
            </w:r>
            <w:r w:rsidRPr="00701DE3">
              <w:rPr>
                <w:sz w:val="22"/>
                <w:szCs w:val="22"/>
              </w:rPr>
              <w:tab/>
              <w:t>Membres du Secteur de l</w:t>
            </w:r>
            <w:r w:rsidR="003219F7" w:rsidRPr="00701DE3">
              <w:rPr>
                <w:sz w:val="22"/>
                <w:szCs w:val="22"/>
              </w:rPr>
              <w:t>'</w:t>
            </w:r>
            <w:r w:rsidRPr="00701DE3">
              <w:rPr>
                <w:sz w:val="22"/>
                <w:szCs w:val="22"/>
              </w:rPr>
              <w:t>UIT-</w:t>
            </w:r>
            <w:proofErr w:type="gramStart"/>
            <w:r w:rsidRPr="00701DE3">
              <w:rPr>
                <w:sz w:val="22"/>
                <w:szCs w:val="22"/>
              </w:rPr>
              <w:t>T;</w:t>
            </w:r>
            <w:proofErr w:type="gramEnd"/>
          </w:p>
          <w:p w14:paraId="53E3F936" w14:textId="2EB6A104" w:rsidR="00307FB4" w:rsidRPr="00701DE3" w:rsidRDefault="00307FB4" w:rsidP="004F0742">
            <w:pPr>
              <w:tabs>
                <w:tab w:val="left" w:pos="4111"/>
              </w:tabs>
              <w:spacing w:before="0"/>
              <w:ind w:left="426" w:hanging="426"/>
              <w:rPr>
                <w:sz w:val="22"/>
                <w:szCs w:val="22"/>
              </w:rPr>
            </w:pPr>
            <w:r w:rsidRPr="00701DE3">
              <w:rPr>
                <w:sz w:val="22"/>
                <w:szCs w:val="22"/>
              </w:rPr>
              <w:t>–</w:t>
            </w:r>
            <w:r w:rsidRPr="00701DE3">
              <w:rPr>
                <w:sz w:val="22"/>
                <w:szCs w:val="22"/>
              </w:rPr>
              <w:tab/>
              <w:t>Associés de l</w:t>
            </w:r>
            <w:r w:rsidR="003219F7" w:rsidRPr="00701DE3">
              <w:rPr>
                <w:sz w:val="22"/>
                <w:szCs w:val="22"/>
              </w:rPr>
              <w:t>'</w:t>
            </w:r>
            <w:r w:rsidRPr="00701DE3">
              <w:rPr>
                <w:sz w:val="22"/>
                <w:szCs w:val="22"/>
              </w:rPr>
              <w:t>UIT-</w:t>
            </w:r>
            <w:proofErr w:type="gramStart"/>
            <w:r w:rsidRPr="00701DE3">
              <w:rPr>
                <w:sz w:val="22"/>
                <w:szCs w:val="22"/>
              </w:rPr>
              <w:t>T;</w:t>
            </w:r>
            <w:proofErr w:type="gramEnd"/>
          </w:p>
          <w:p w14:paraId="6BDC7EBB" w14:textId="0EF802CD" w:rsidR="00445B68" w:rsidRPr="00701DE3" w:rsidRDefault="00307FB4" w:rsidP="004F0742">
            <w:pPr>
              <w:tabs>
                <w:tab w:val="left" w:pos="4111"/>
              </w:tabs>
              <w:spacing w:before="0"/>
              <w:ind w:left="426" w:hanging="426"/>
              <w:rPr>
                <w:sz w:val="22"/>
                <w:szCs w:val="22"/>
              </w:rPr>
            </w:pPr>
            <w:r w:rsidRPr="00701DE3">
              <w:rPr>
                <w:sz w:val="22"/>
                <w:szCs w:val="22"/>
              </w:rPr>
              <w:t>–</w:t>
            </w:r>
            <w:r w:rsidRPr="00701DE3">
              <w:rPr>
                <w:sz w:val="22"/>
                <w:szCs w:val="22"/>
              </w:rPr>
              <w:tab/>
              <w:t>Établissements universitaires participant aux travaux de l</w:t>
            </w:r>
            <w:r w:rsidR="003219F7" w:rsidRPr="00701DE3">
              <w:rPr>
                <w:sz w:val="22"/>
                <w:szCs w:val="22"/>
              </w:rPr>
              <w:t>'</w:t>
            </w:r>
            <w:r w:rsidRPr="00701DE3">
              <w:rPr>
                <w:sz w:val="22"/>
                <w:szCs w:val="22"/>
              </w:rPr>
              <w:t>UIT</w:t>
            </w:r>
          </w:p>
        </w:tc>
      </w:tr>
      <w:tr w:rsidR="00307FB4" w:rsidRPr="00701DE3" w14:paraId="1430096B" w14:textId="77777777" w:rsidTr="00C05627">
        <w:trPr>
          <w:cantSplit/>
          <w:trHeight w:val="340"/>
        </w:trPr>
        <w:tc>
          <w:tcPr>
            <w:tcW w:w="1421" w:type="dxa"/>
          </w:tcPr>
          <w:p w14:paraId="08EE6477" w14:textId="77777777" w:rsidR="00307FB4" w:rsidRPr="00701DE3" w:rsidRDefault="00307FB4" w:rsidP="004F0742">
            <w:pPr>
              <w:tabs>
                <w:tab w:val="left" w:pos="4111"/>
              </w:tabs>
              <w:spacing w:before="10"/>
              <w:ind w:left="57"/>
              <w:rPr>
                <w:b/>
                <w:bCs/>
                <w:sz w:val="22"/>
                <w:szCs w:val="22"/>
              </w:rPr>
            </w:pPr>
            <w:proofErr w:type="gramStart"/>
            <w:r w:rsidRPr="00701DE3">
              <w:rPr>
                <w:b/>
                <w:bCs/>
                <w:sz w:val="22"/>
                <w:szCs w:val="22"/>
              </w:rPr>
              <w:t>Contact:</w:t>
            </w:r>
            <w:proofErr w:type="gramEnd"/>
          </w:p>
        </w:tc>
        <w:tc>
          <w:tcPr>
            <w:tcW w:w="3430" w:type="dxa"/>
          </w:tcPr>
          <w:p w14:paraId="3C90E553" w14:textId="18C9FD34" w:rsidR="00307FB4" w:rsidRPr="00701DE3" w:rsidRDefault="00915F62" w:rsidP="004F0742">
            <w:pPr>
              <w:tabs>
                <w:tab w:val="left" w:pos="4111"/>
              </w:tabs>
              <w:spacing w:before="10"/>
              <w:ind w:left="57"/>
              <w:rPr>
                <w:b/>
                <w:sz w:val="22"/>
                <w:szCs w:val="22"/>
              </w:rPr>
            </w:pPr>
            <w:r w:rsidRPr="00701DE3">
              <w:rPr>
                <w:b/>
                <w:sz w:val="22"/>
                <w:szCs w:val="22"/>
              </w:rPr>
              <w:t>Hiroshi Ota</w:t>
            </w:r>
          </w:p>
        </w:tc>
        <w:tc>
          <w:tcPr>
            <w:tcW w:w="5020" w:type="dxa"/>
            <w:vMerge/>
          </w:tcPr>
          <w:p w14:paraId="1DBA6E8E" w14:textId="77777777" w:rsidR="00307FB4" w:rsidRPr="00701DE3" w:rsidRDefault="00307FB4" w:rsidP="004F0742">
            <w:pPr>
              <w:tabs>
                <w:tab w:val="clear" w:pos="794"/>
                <w:tab w:val="clear" w:pos="1191"/>
                <w:tab w:val="clear" w:pos="1588"/>
                <w:tab w:val="clear" w:pos="1985"/>
                <w:tab w:val="left" w:pos="284"/>
              </w:tabs>
              <w:spacing w:before="0"/>
              <w:ind w:left="284" w:hanging="227"/>
              <w:rPr>
                <w:sz w:val="22"/>
                <w:szCs w:val="22"/>
              </w:rPr>
            </w:pPr>
          </w:p>
        </w:tc>
      </w:tr>
      <w:tr w:rsidR="00445B68" w:rsidRPr="00701DE3" w14:paraId="79A6F7AE" w14:textId="77777777" w:rsidTr="00C05627">
        <w:trPr>
          <w:cantSplit/>
        </w:trPr>
        <w:tc>
          <w:tcPr>
            <w:tcW w:w="1421" w:type="dxa"/>
          </w:tcPr>
          <w:p w14:paraId="11E5FA75" w14:textId="77777777" w:rsidR="00445B68" w:rsidRPr="00701DE3" w:rsidRDefault="00445B68" w:rsidP="004F0742">
            <w:pPr>
              <w:tabs>
                <w:tab w:val="left" w:pos="4111"/>
              </w:tabs>
              <w:spacing w:before="10"/>
              <w:ind w:left="57"/>
              <w:rPr>
                <w:b/>
                <w:bCs/>
                <w:sz w:val="22"/>
                <w:szCs w:val="22"/>
              </w:rPr>
            </w:pPr>
            <w:proofErr w:type="gramStart"/>
            <w:r w:rsidRPr="00701DE3">
              <w:rPr>
                <w:b/>
                <w:bCs/>
                <w:sz w:val="22"/>
                <w:szCs w:val="22"/>
              </w:rPr>
              <w:t>Tél.:</w:t>
            </w:r>
            <w:proofErr w:type="gramEnd"/>
          </w:p>
        </w:tc>
        <w:tc>
          <w:tcPr>
            <w:tcW w:w="3430" w:type="dxa"/>
          </w:tcPr>
          <w:p w14:paraId="3EC610E7" w14:textId="07DA068D" w:rsidR="00445B68" w:rsidRPr="00701DE3" w:rsidRDefault="00445B68" w:rsidP="004F0742">
            <w:pPr>
              <w:tabs>
                <w:tab w:val="left" w:pos="4111"/>
              </w:tabs>
              <w:spacing w:before="0"/>
              <w:ind w:left="57"/>
              <w:rPr>
                <w:sz w:val="22"/>
                <w:szCs w:val="22"/>
              </w:rPr>
            </w:pPr>
            <w:r w:rsidRPr="00701DE3">
              <w:rPr>
                <w:sz w:val="22"/>
                <w:szCs w:val="22"/>
              </w:rPr>
              <w:t>+41 22 730</w:t>
            </w:r>
            <w:r w:rsidR="00307FB4" w:rsidRPr="00701DE3">
              <w:rPr>
                <w:sz w:val="22"/>
                <w:szCs w:val="22"/>
              </w:rPr>
              <w:t xml:space="preserve"> 6</w:t>
            </w:r>
            <w:r w:rsidR="00915F62" w:rsidRPr="00701DE3">
              <w:rPr>
                <w:sz w:val="22"/>
                <w:szCs w:val="22"/>
              </w:rPr>
              <w:t>356</w:t>
            </w:r>
          </w:p>
        </w:tc>
        <w:tc>
          <w:tcPr>
            <w:tcW w:w="5020" w:type="dxa"/>
            <w:vMerge/>
          </w:tcPr>
          <w:p w14:paraId="4F8342D0" w14:textId="77777777" w:rsidR="00445B68" w:rsidRPr="00701DE3" w:rsidRDefault="00445B68" w:rsidP="004F0742">
            <w:pPr>
              <w:tabs>
                <w:tab w:val="left" w:pos="226"/>
                <w:tab w:val="left" w:pos="4111"/>
              </w:tabs>
              <w:spacing w:before="0"/>
              <w:ind w:left="226" w:hanging="226"/>
              <w:rPr>
                <w:b/>
                <w:sz w:val="22"/>
                <w:szCs w:val="22"/>
              </w:rPr>
            </w:pPr>
          </w:p>
        </w:tc>
      </w:tr>
      <w:tr w:rsidR="00307FB4" w:rsidRPr="00701DE3" w14:paraId="2E5D05AC" w14:textId="77777777" w:rsidTr="00C05627">
        <w:trPr>
          <w:cantSplit/>
          <w:trHeight w:val="586"/>
        </w:trPr>
        <w:tc>
          <w:tcPr>
            <w:tcW w:w="1421" w:type="dxa"/>
          </w:tcPr>
          <w:p w14:paraId="1578D16A" w14:textId="77777777" w:rsidR="00307FB4" w:rsidRPr="00701DE3" w:rsidRDefault="00307FB4" w:rsidP="004F0742">
            <w:pPr>
              <w:tabs>
                <w:tab w:val="left" w:pos="4111"/>
              </w:tabs>
              <w:spacing w:before="10"/>
              <w:ind w:left="57"/>
              <w:rPr>
                <w:b/>
                <w:bCs/>
                <w:sz w:val="22"/>
                <w:szCs w:val="22"/>
              </w:rPr>
            </w:pPr>
            <w:proofErr w:type="gramStart"/>
            <w:r w:rsidRPr="00701DE3">
              <w:rPr>
                <w:b/>
                <w:bCs/>
                <w:sz w:val="22"/>
                <w:szCs w:val="22"/>
              </w:rPr>
              <w:t>Télécopie:</w:t>
            </w:r>
            <w:proofErr w:type="gramEnd"/>
          </w:p>
        </w:tc>
        <w:tc>
          <w:tcPr>
            <w:tcW w:w="3430" w:type="dxa"/>
          </w:tcPr>
          <w:p w14:paraId="57068515" w14:textId="77777777" w:rsidR="00307FB4" w:rsidRPr="00701DE3" w:rsidRDefault="00307FB4" w:rsidP="004F0742">
            <w:pPr>
              <w:tabs>
                <w:tab w:val="left" w:pos="4111"/>
              </w:tabs>
              <w:spacing w:before="0"/>
              <w:ind w:left="57"/>
              <w:rPr>
                <w:sz w:val="22"/>
                <w:szCs w:val="22"/>
              </w:rPr>
            </w:pPr>
            <w:r w:rsidRPr="00701DE3">
              <w:rPr>
                <w:sz w:val="22"/>
                <w:szCs w:val="22"/>
              </w:rPr>
              <w:t>+41 22 730 5853</w:t>
            </w:r>
          </w:p>
        </w:tc>
        <w:tc>
          <w:tcPr>
            <w:tcW w:w="5020" w:type="dxa"/>
            <w:vMerge/>
          </w:tcPr>
          <w:p w14:paraId="302C4B99" w14:textId="77777777" w:rsidR="00307FB4" w:rsidRPr="00701DE3" w:rsidRDefault="00307FB4" w:rsidP="004F0742">
            <w:pPr>
              <w:tabs>
                <w:tab w:val="left" w:pos="226"/>
                <w:tab w:val="left" w:pos="4111"/>
              </w:tabs>
              <w:spacing w:before="0"/>
              <w:ind w:left="226" w:hanging="226"/>
              <w:rPr>
                <w:b/>
                <w:sz w:val="22"/>
                <w:szCs w:val="22"/>
              </w:rPr>
            </w:pPr>
          </w:p>
        </w:tc>
      </w:tr>
      <w:tr w:rsidR="00307FB4" w:rsidRPr="00701DE3" w14:paraId="2E614378" w14:textId="77777777" w:rsidTr="00C05627">
        <w:trPr>
          <w:cantSplit/>
        </w:trPr>
        <w:tc>
          <w:tcPr>
            <w:tcW w:w="1421" w:type="dxa"/>
          </w:tcPr>
          <w:p w14:paraId="41AF7033" w14:textId="77777777" w:rsidR="00307FB4" w:rsidRPr="00701DE3" w:rsidRDefault="00307FB4" w:rsidP="004F0742">
            <w:pPr>
              <w:tabs>
                <w:tab w:val="left" w:pos="4111"/>
              </w:tabs>
              <w:spacing w:before="10"/>
              <w:ind w:left="57"/>
              <w:rPr>
                <w:b/>
                <w:bCs/>
                <w:sz w:val="22"/>
                <w:szCs w:val="22"/>
              </w:rPr>
            </w:pPr>
            <w:proofErr w:type="gramStart"/>
            <w:r w:rsidRPr="00701DE3">
              <w:rPr>
                <w:b/>
                <w:bCs/>
                <w:sz w:val="22"/>
                <w:szCs w:val="22"/>
              </w:rPr>
              <w:t>Courriel:</w:t>
            </w:r>
            <w:proofErr w:type="gramEnd"/>
          </w:p>
        </w:tc>
        <w:tc>
          <w:tcPr>
            <w:tcW w:w="3430" w:type="dxa"/>
          </w:tcPr>
          <w:p w14:paraId="027030C5" w14:textId="6B36321B" w:rsidR="00307FB4" w:rsidRPr="00701DE3" w:rsidRDefault="00605A6B" w:rsidP="004F0742">
            <w:pPr>
              <w:tabs>
                <w:tab w:val="left" w:pos="4111"/>
              </w:tabs>
              <w:spacing w:before="0"/>
              <w:ind w:left="57"/>
              <w:rPr>
                <w:sz w:val="22"/>
                <w:szCs w:val="22"/>
              </w:rPr>
            </w:pPr>
            <w:hyperlink r:id="rId9" w:history="1">
              <w:r w:rsidR="004F0742" w:rsidRPr="00701DE3">
                <w:rPr>
                  <w:rStyle w:val="Hyperlink"/>
                  <w:sz w:val="22"/>
                  <w:szCs w:val="22"/>
                </w:rPr>
                <w:t>tsbevents@itu.int</w:t>
              </w:r>
            </w:hyperlink>
          </w:p>
        </w:tc>
        <w:tc>
          <w:tcPr>
            <w:tcW w:w="5020" w:type="dxa"/>
          </w:tcPr>
          <w:p w14:paraId="250B99AF" w14:textId="77777777" w:rsidR="00307FB4" w:rsidRPr="00701DE3" w:rsidRDefault="00307FB4" w:rsidP="004F0742">
            <w:pPr>
              <w:tabs>
                <w:tab w:val="clear" w:pos="794"/>
                <w:tab w:val="left" w:pos="226"/>
                <w:tab w:val="left" w:pos="4111"/>
              </w:tabs>
              <w:spacing w:before="0"/>
              <w:ind w:left="226" w:hanging="226"/>
              <w:rPr>
                <w:b/>
                <w:bCs/>
                <w:sz w:val="22"/>
                <w:szCs w:val="22"/>
              </w:rPr>
            </w:pPr>
            <w:proofErr w:type="gramStart"/>
            <w:r w:rsidRPr="00701DE3">
              <w:rPr>
                <w:b/>
                <w:bCs/>
                <w:sz w:val="22"/>
                <w:szCs w:val="22"/>
              </w:rPr>
              <w:t>Copie:</w:t>
            </w:r>
            <w:proofErr w:type="gramEnd"/>
          </w:p>
          <w:p w14:paraId="4913972F" w14:textId="4D1EA73F" w:rsidR="00307FB4" w:rsidRPr="00701DE3" w:rsidRDefault="00307FB4" w:rsidP="004F0742">
            <w:pPr>
              <w:tabs>
                <w:tab w:val="clear" w:pos="794"/>
                <w:tab w:val="left" w:pos="4111"/>
              </w:tabs>
              <w:spacing w:before="0"/>
              <w:ind w:left="426" w:hanging="426"/>
              <w:rPr>
                <w:sz w:val="22"/>
                <w:szCs w:val="22"/>
              </w:rPr>
            </w:pPr>
            <w:r w:rsidRPr="00701DE3">
              <w:rPr>
                <w:sz w:val="22"/>
                <w:szCs w:val="22"/>
              </w:rPr>
              <w:t>–</w:t>
            </w:r>
            <w:r w:rsidRPr="00701DE3">
              <w:rPr>
                <w:sz w:val="22"/>
                <w:szCs w:val="22"/>
              </w:rPr>
              <w:tab/>
              <w:t>Aux Présidents et Vice-Présidents des Commissions d</w:t>
            </w:r>
            <w:r w:rsidR="003219F7" w:rsidRPr="00701DE3">
              <w:rPr>
                <w:sz w:val="22"/>
                <w:szCs w:val="22"/>
              </w:rPr>
              <w:t>'</w:t>
            </w:r>
            <w:r w:rsidRPr="00701DE3">
              <w:rPr>
                <w:sz w:val="22"/>
                <w:szCs w:val="22"/>
              </w:rPr>
              <w:t>études</w:t>
            </w:r>
            <w:r w:rsidR="00915F62" w:rsidRPr="00701DE3">
              <w:rPr>
                <w:sz w:val="22"/>
                <w:szCs w:val="22"/>
              </w:rPr>
              <w:t xml:space="preserve"> de l</w:t>
            </w:r>
            <w:r w:rsidR="003219F7" w:rsidRPr="00701DE3">
              <w:rPr>
                <w:sz w:val="22"/>
                <w:szCs w:val="22"/>
              </w:rPr>
              <w:t>'</w:t>
            </w:r>
            <w:r w:rsidR="00915F62" w:rsidRPr="00701DE3">
              <w:rPr>
                <w:sz w:val="22"/>
                <w:szCs w:val="22"/>
              </w:rPr>
              <w:t>UIT-</w:t>
            </w:r>
            <w:proofErr w:type="gramStart"/>
            <w:r w:rsidR="00915F62" w:rsidRPr="00701DE3">
              <w:rPr>
                <w:sz w:val="22"/>
                <w:szCs w:val="22"/>
              </w:rPr>
              <w:t>T</w:t>
            </w:r>
            <w:r w:rsidRPr="00701DE3">
              <w:rPr>
                <w:sz w:val="22"/>
                <w:szCs w:val="22"/>
              </w:rPr>
              <w:t>;</w:t>
            </w:r>
            <w:proofErr w:type="gramEnd"/>
          </w:p>
          <w:p w14:paraId="0F9BB0EE" w14:textId="77777777" w:rsidR="00307FB4" w:rsidRPr="00701DE3" w:rsidRDefault="00307FB4" w:rsidP="004F0742">
            <w:pPr>
              <w:tabs>
                <w:tab w:val="clear" w:pos="794"/>
                <w:tab w:val="left" w:pos="4111"/>
              </w:tabs>
              <w:spacing w:before="0"/>
              <w:ind w:left="426" w:hanging="426"/>
              <w:rPr>
                <w:sz w:val="22"/>
                <w:szCs w:val="22"/>
              </w:rPr>
            </w:pPr>
            <w:r w:rsidRPr="00701DE3">
              <w:rPr>
                <w:sz w:val="22"/>
                <w:szCs w:val="22"/>
              </w:rPr>
              <w:t>–</w:t>
            </w:r>
            <w:r w:rsidRPr="00701DE3">
              <w:rPr>
                <w:sz w:val="22"/>
                <w:szCs w:val="22"/>
              </w:rPr>
              <w:tab/>
              <w:t xml:space="preserve">Au Directeur du Bureau de développement des </w:t>
            </w:r>
            <w:proofErr w:type="gramStart"/>
            <w:r w:rsidRPr="00701DE3">
              <w:rPr>
                <w:sz w:val="22"/>
                <w:szCs w:val="22"/>
              </w:rPr>
              <w:t>télécommunications;</w:t>
            </w:r>
            <w:proofErr w:type="gramEnd"/>
          </w:p>
          <w:p w14:paraId="62DF5F8B" w14:textId="77777777" w:rsidR="00307FB4" w:rsidRPr="00701DE3" w:rsidRDefault="00307FB4" w:rsidP="004F0742">
            <w:pPr>
              <w:tabs>
                <w:tab w:val="clear" w:pos="794"/>
                <w:tab w:val="left" w:pos="4111"/>
              </w:tabs>
              <w:spacing w:before="0"/>
              <w:ind w:left="426" w:hanging="426"/>
              <w:rPr>
                <w:sz w:val="22"/>
                <w:szCs w:val="22"/>
              </w:rPr>
            </w:pPr>
            <w:r w:rsidRPr="00701DE3">
              <w:rPr>
                <w:sz w:val="22"/>
                <w:szCs w:val="22"/>
              </w:rPr>
              <w:t>–</w:t>
            </w:r>
            <w:r w:rsidRPr="00701DE3">
              <w:rPr>
                <w:sz w:val="22"/>
                <w:szCs w:val="22"/>
              </w:rPr>
              <w:tab/>
              <w:t>Au Directeur du Bureau des radiocommunications</w:t>
            </w:r>
          </w:p>
        </w:tc>
      </w:tr>
      <w:tr w:rsidR="00517A03" w:rsidRPr="00701DE3" w14:paraId="7CA43359" w14:textId="77777777" w:rsidTr="00C05627">
        <w:trPr>
          <w:cantSplit/>
          <w:trHeight w:val="397"/>
        </w:trPr>
        <w:tc>
          <w:tcPr>
            <w:tcW w:w="1421" w:type="dxa"/>
          </w:tcPr>
          <w:p w14:paraId="6466229E" w14:textId="77777777" w:rsidR="00517A03" w:rsidRPr="00701DE3" w:rsidRDefault="00517A03" w:rsidP="004F0742">
            <w:pPr>
              <w:tabs>
                <w:tab w:val="left" w:pos="4111"/>
              </w:tabs>
              <w:ind w:left="57"/>
              <w:rPr>
                <w:b/>
                <w:bCs/>
                <w:sz w:val="22"/>
                <w:szCs w:val="22"/>
              </w:rPr>
            </w:pPr>
            <w:proofErr w:type="gramStart"/>
            <w:r w:rsidRPr="00701DE3">
              <w:rPr>
                <w:b/>
                <w:bCs/>
                <w:sz w:val="22"/>
                <w:szCs w:val="22"/>
              </w:rPr>
              <w:t>Objet:</w:t>
            </w:r>
            <w:proofErr w:type="gramEnd"/>
          </w:p>
        </w:tc>
        <w:tc>
          <w:tcPr>
            <w:tcW w:w="0" w:type="auto"/>
            <w:gridSpan w:val="2"/>
          </w:tcPr>
          <w:p w14:paraId="3D4AE0F0" w14:textId="63DE7FDF" w:rsidR="00517A03" w:rsidRPr="00701DE3" w:rsidRDefault="00915F62" w:rsidP="004F0742">
            <w:pPr>
              <w:tabs>
                <w:tab w:val="left" w:pos="4111"/>
              </w:tabs>
              <w:spacing w:after="120"/>
              <w:ind w:left="57" w:right="89"/>
              <w:rPr>
                <w:b/>
                <w:bCs/>
                <w:sz w:val="22"/>
                <w:szCs w:val="22"/>
              </w:rPr>
            </w:pPr>
            <w:r w:rsidRPr="00701DE3">
              <w:rPr>
                <w:b/>
                <w:bCs/>
                <w:sz w:val="22"/>
                <w:szCs w:val="22"/>
              </w:rPr>
              <w:t>Atelier de l</w:t>
            </w:r>
            <w:r w:rsidR="003219F7" w:rsidRPr="00701DE3">
              <w:rPr>
                <w:b/>
                <w:bCs/>
                <w:sz w:val="22"/>
                <w:szCs w:val="22"/>
              </w:rPr>
              <w:t>'</w:t>
            </w:r>
            <w:r w:rsidRPr="00701DE3">
              <w:rPr>
                <w:b/>
                <w:bCs/>
                <w:sz w:val="22"/>
                <w:szCs w:val="22"/>
              </w:rPr>
              <w:t>UIT sur le thème "L</w:t>
            </w:r>
            <w:r w:rsidR="003219F7" w:rsidRPr="00701DE3">
              <w:rPr>
                <w:b/>
                <w:bCs/>
                <w:sz w:val="22"/>
                <w:szCs w:val="22"/>
              </w:rPr>
              <w:t>'</w:t>
            </w:r>
            <w:r w:rsidRPr="00701DE3">
              <w:rPr>
                <w:b/>
                <w:bCs/>
                <w:sz w:val="22"/>
                <w:szCs w:val="22"/>
              </w:rPr>
              <w:t>évolution des réseaux de transport et d</w:t>
            </w:r>
            <w:r w:rsidR="003219F7" w:rsidRPr="00701DE3">
              <w:rPr>
                <w:b/>
                <w:bCs/>
                <w:sz w:val="22"/>
                <w:szCs w:val="22"/>
              </w:rPr>
              <w:t>'</w:t>
            </w:r>
            <w:r w:rsidRPr="00701DE3">
              <w:rPr>
                <w:b/>
                <w:bCs/>
                <w:sz w:val="22"/>
                <w:szCs w:val="22"/>
              </w:rPr>
              <w:t>accès pour la prise en charge des IMT 2030/6G", 7 juillet 2024, et quatrième atelier commun du Groupe ISG F5G de l</w:t>
            </w:r>
            <w:r w:rsidR="003219F7" w:rsidRPr="00701DE3">
              <w:rPr>
                <w:b/>
                <w:bCs/>
                <w:sz w:val="22"/>
                <w:szCs w:val="22"/>
              </w:rPr>
              <w:t>'</w:t>
            </w:r>
            <w:r w:rsidRPr="00701DE3">
              <w:rPr>
                <w:b/>
                <w:bCs/>
                <w:sz w:val="22"/>
                <w:szCs w:val="22"/>
              </w:rPr>
              <w:t>ETSI, du BBF, du Comité technique 6 de la CCSA et de l</w:t>
            </w:r>
            <w:r w:rsidR="004F0742" w:rsidRPr="00701DE3">
              <w:rPr>
                <w:b/>
                <w:bCs/>
                <w:sz w:val="22"/>
                <w:szCs w:val="22"/>
              </w:rPr>
              <w:t xml:space="preserve">a </w:t>
            </w:r>
            <w:r w:rsidRPr="00701DE3">
              <w:rPr>
                <w:b/>
                <w:bCs/>
                <w:sz w:val="22"/>
                <w:szCs w:val="22"/>
              </w:rPr>
              <w:t>CE 15 de l</w:t>
            </w:r>
            <w:r w:rsidR="003219F7" w:rsidRPr="00701DE3">
              <w:rPr>
                <w:b/>
                <w:bCs/>
                <w:sz w:val="22"/>
                <w:szCs w:val="22"/>
              </w:rPr>
              <w:t>'</w:t>
            </w:r>
            <w:r w:rsidRPr="00701DE3">
              <w:rPr>
                <w:b/>
                <w:bCs/>
                <w:sz w:val="22"/>
                <w:szCs w:val="22"/>
              </w:rPr>
              <w:t>UIT-T sur la technologie FTTR (fibre jusqu</w:t>
            </w:r>
            <w:r w:rsidR="003219F7" w:rsidRPr="00701DE3">
              <w:rPr>
                <w:b/>
                <w:bCs/>
                <w:sz w:val="22"/>
                <w:szCs w:val="22"/>
              </w:rPr>
              <w:t>'</w:t>
            </w:r>
            <w:r w:rsidRPr="00701DE3">
              <w:rPr>
                <w:b/>
                <w:bCs/>
                <w:sz w:val="22"/>
                <w:szCs w:val="22"/>
              </w:rPr>
              <w:t xml:space="preserve">à la pièce), </w:t>
            </w:r>
            <w:r w:rsidR="008E1264">
              <w:rPr>
                <w:b/>
                <w:bCs/>
                <w:sz w:val="22"/>
                <w:szCs w:val="22"/>
              </w:rPr>
              <w:t>(</w:t>
            </w:r>
            <w:r w:rsidRPr="00701DE3">
              <w:rPr>
                <w:b/>
                <w:bCs/>
                <w:sz w:val="22"/>
                <w:szCs w:val="22"/>
              </w:rPr>
              <w:t>10 juillet 2024</w:t>
            </w:r>
            <w:r w:rsidR="008E1264">
              <w:rPr>
                <w:b/>
                <w:bCs/>
                <w:sz w:val="22"/>
                <w:szCs w:val="22"/>
              </w:rPr>
              <w:t>)</w:t>
            </w:r>
            <w:r w:rsidR="007656E2">
              <w:rPr>
                <w:b/>
                <w:bCs/>
                <w:sz w:val="22"/>
                <w:szCs w:val="22"/>
              </w:rPr>
              <w:t>,</w:t>
            </w:r>
            <w:r w:rsidR="00EA0538" w:rsidRPr="00701DE3">
              <w:rPr>
                <w:b/>
                <w:bCs/>
                <w:sz w:val="22"/>
                <w:szCs w:val="22"/>
              </w:rPr>
              <w:t xml:space="preserve"> </w:t>
            </w:r>
            <w:r w:rsidRPr="00701DE3">
              <w:rPr>
                <w:b/>
                <w:bCs/>
                <w:sz w:val="22"/>
                <w:szCs w:val="22"/>
              </w:rPr>
              <w:t>Montréal</w:t>
            </w:r>
            <w:r w:rsidR="00EA0538" w:rsidRPr="00701DE3">
              <w:rPr>
                <w:b/>
                <w:bCs/>
                <w:sz w:val="22"/>
                <w:szCs w:val="22"/>
              </w:rPr>
              <w:t xml:space="preserve">, </w:t>
            </w:r>
            <w:r w:rsidRPr="00701DE3">
              <w:rPr>
                <w:b/>
                <w:bCs/>
                <w:sz w:val="22"/>
                <w:szCs w:val="22"/>
              </w:rPr>
              <w:t>Canada</w:t>
            </w:r>
          </w:p>
        </w:tc>
      </w:tr>
    </w:tbl>
    <w:p w14:paraId="4252C735" w14:textId="77777777" w:rsidR="00517A03" w:rsidRPr="00701DE3" w:rsidRDefault="00517A03" w:rsidP="004F0742">
      <w:pPr>
        <w:pStyle w:val="Normalaftertitle"/>
        <w:rPr>
          <w:sz w:val="22"/>
          <w:szCs w:val="22"/>
        </w:rPr>
      </w:pPr>
      <w:bookmarkStart w:id="1" w:name="StartTyping_F"/>
      <w:bookmarkEnd w:id="1"/>
      <w:r w:rsidRPr="00701DE3">
        <w:rPr>
          <w:sz w:val="22"/>
          <w:szCs w:val="22"/>
        </w:rPr>
        <w:t>Madame, Monsieur,</w:t>
      </w:r>
    </w:p>
    <w:p w14:paraId="23512770" w14:textId="78DE5237" w:rsidR="00915F62" w:rsidRPr="00701DE3" w:rsidRDefault="00915F62" w:rsidP="004F0742">
      <w:pPr>
        <w:rPr>
          <w:sz w:val="22"/>
          <w:szCs w:val="22"/>
        </w:rPr>
      </w:pPr>
      <w:r w:rsidRPr="00701DE3">
        <w:rPr>
          <w:sz w:val="22"/>
          <w:szCs w:val="22"/>
        </w:rPr>
        <w:t>1</w:t>
      </w:r>
      <w:r w:rsidRPr="00701DE3">
        <w:rPr>
          <w:sz w:val="22"/>
          <w:szCs w:val="22"/>
        </w:rPr>
        <w:tab/>
        <w:t>J</w:t>
      </w:r>
      <w:r w:rsidR="003219F7" w:rsidRPr="00701DE3">
        <w:rPr>
          <w:sz w:val="22"/>
          <w:szCs w:val="22"/>
        </w:rPr>
        <w:t>'</w:t>
      </w:r>
      <w:r w:rsidRPr="00701DE3">
        <w:rPr>
          <w:sz w:val="22"/>
          <w:szCs w:val="22"/>
        </w:rPr>
        <w:t>ai l</w:t>
      </w:r>
      <w:r w:rsidR="003219F7" w:rsidRPr="00701DE3">
        <w:rPr>
          <w:sz w:val="22"/>
          <w:szCs w:val="22"/>
        </w:rPr>
        <w:t>'</w:t>
      </w:r>
      <w:r w:rsidRPr="00701DE3">
        <w:rPr>
          <w:sz w:val="22"/>
          <w:szCs w:val="22"/>
        </w:rPr>
        <w:t>honneur de vous informer que l</w:t>
      </w:r>
      <w:r w:rsidR="003219F7" w:rsidRPr="00701DE3">
        <w:rPr>
          <w:sz w:val="22"/>
          <w:szCs w:val="22"/>
        </w:rPr>
        <w:t>'</w:t>
      </w:r>
      <w:r w:rsidRPr="00701DE3">
        <w:rPr>
          <w:sz w:val="22"/>
          <w:szCs w:val="22"/>
        </w:rPr>
        <w:t xml:space="preserve">Union internationale des télécommunications (UIT) organise deux ateliers dans le cadre de la </w:t>
      </w:r>
      <w:hyperlink r:id="rId10" w:history="1">
        <w:r w:rsidRPr="00701DE3">
          <w:rPr>
            <w:rStyle w:val="Hyperlink"/>
            <w:b/>
            <w:bCs/>
            <w:sz w:val="22"/>
            <w:szCs w:val="22"/>
          </w:rPr>
          <w:t>réunion de la Commission d</w:t>
        </w:r>
        <w:r w:rsidR="003219F7" w:rsidRPr="00701DE3">
          <w:rPr>
            <w:rStyle w:val="Hyperlink"/>
            <w:b/>
            <w:bCs/>
            <w:sz w:val="22"/>
            <w:szCs w:val="22"/>
          </w:rPr>
          <w:t>'</w:t>
        </w:r>
        <w:r w:rsidRPr="00701DE3">
          <w:rPr>
            <w:rStyle w:val="Hyperlink"/>
            <w:b/>
            <w:bCs/>
            <w:sz w:val="22"/>
            <w:szCs w:val="22"/>
          </w:rPr>
          <w:t>études 15</w:t>
        </w:r>
      </w:hyperlink>
      <w:r w:rsidRPr="00701DE3">
        <w:rPr>
          <w:sz w:val="22"/>
          <w:szCs w:val="22"/>
        </w:rPr>
        <w:t xml:space="preserve"> de l</w:t>
      </w:r>
      <w:r w:rsidR="003219F7" w:rsidRPr="00701DE3">
        <w:rPr>
          <w:sz w:val="22"/>
          <w:szCs w:val="22"/>
        </w:rPr>
        <w:t>'</w:t>
      </w:r>
      <w:r w:rsidRPr="00701DE3">
        <w:rPr>
          <w:sz w:val="22"/>
          <w:szCs w:val="22"/>
        </w:rPr>
        <w:t>UIT-T qui se tiendra du 1er au 12 juillet 2024 à Montréal (Canada). Les ateliers seront organisés à l</w:t>
      </w:r>
      <w:r w:rsidR="003219F7" w:rsidRPr="00701DE3">
        <w:rPr>
          <w:sz w:val="22"/>
          <w:szCs w:val="22"/>
        </w:rPr>
        <w:t>'</w:t>
      </w:r>
      <w:r w:rsidRPr="00701DE3">
        <w:rPr>
          <w:sz w:val="22"/>
          <w:szCs w:val="22"/>
        </w:rPr>
        <w:t>aimable invitation du Département de l</w:t>
      </w:r>
      <w:r w:rsidR="003219F7" w:rsidRPr="00701DE3">
        <w:rPr>
          <w:sz w:val="22"/>
          <w:szCs w:val="22"/>
        </w:rPr>
        <w:t>'</w:t>
      </w:r>
      <w:r w:rsidRPr="00701DE3">
        <w:rPr>
          <w:sz w:val="22"/>
          <w:szCs w:val="22"/>
        </w:rPr>
        <w:t>innovation, des sciences et du développement économique (ISDE) du Canada.</w:t>
      </w:r>
    </w:p>
    <w:p w14:paraId="7B62BC67" w14:textId="2E1DBEC1" w:rsidR="00915F62" w:rsidRPr="00701DE3" w:rsidRDefault="00915F62" w:rsidP="004F0742">
      <w:pPr>
        <w:rPr>
          <w:sz w:val="22"/>
          <w:szCs w:val="22"/>
        </w:rPr>
      </w:pPr>
      <w:r w:rsidRPr="00701DE3">
        <w:rPr>
          <w:sz w:val="22"/>
          <w:szCs w:val="22"/>
        </w:rPr>
        <w:t>2</w:t>
      </w:r>
      <w:r w:rsidRPr="00701DE3">
        <w:rPr>
          <w:sz w:val="22"/>
          <w:szCs w:val="22"/>
        </w:rPr>
        <w:tab/>
        <w:t xml:space="preserve">Le </w:t>
      </w:r>
      <w:r w:rsidRPr="00701DE3">
        <w:rPr>
          <w:i/>
          <w:iCs/>
          <w:sz w:val="22"/>
          <w:szCs w:val="22"/>
        </w:rPr>
        <w:t>premier atelier</w:t>
      </w:r>
      <w:r w:rsidRPr="00701DE3">
        <w:rPr>
          <w:sz w:val="22"/>
          <w:szCs w:val="22"/>
        </w:rPr>
        <w:t>, intitulé "</w:t>
      </w:r>
      <w:hyperlink r:id="rId11" w:history="1">
        <w:r w:rsidRPr="00701DE3">
          <w:rPr>
            <w:rStyle w:val="Hyperlink"/>
            <w:b/>
            <w:bCs/>
            <w:sz w:val="22"/>
            <w:szCs w:val="22"/>
          </w:rPr>
          <w:t>L</w:t>
        </w:r>
        <w:r w:rsidR="003219F7" w:rsidRPr="00701DE3">
          <w:rPr>
            <w:rStyle w:val="Hyperlink"/>
            <w:b/>
            <w:bCs/>
            <w:sz w:val="22"/>
            <w:szCs w:val="22"/>
          </w:rPr>
          <w:t>'</w:t>
        </w:r>
        <w:r w:rsidRPr="00701DE3">
          <w:rPr>
            <w:rStyle w:val="Hyperlink"/>
            <w:b/>
            <w:bCs/>
            <w:sz w:val="22"/>
            <w:szCs w:val="22"/>
          </w:rPr>
          <w:t>évolution des réseaux de transport et d</w:t>
        </w:r>
        <w:r w:rsidR="003219F7" w:rsidRPr="00701DE3">
          <w:rPr>
            <w:rStyle w:val="Hyperlink"/>
            <w:b/>
            <w:bCs/>
            <w:sz w:val="22"/>
            <w:szCs w:val="22"/>
          </w:rPr>
          <w:t>'</w:t>
        </w:r>
        <w:r w:rsidRPr="00701DE3">
          <w:rPr>
            <w:rStyle w:val="Hyperlink"/>
            <w:b/>
            <w:bCs/>
            <w:sz w:val="22"/>
            <w:szCs w:val="22"/>
          </w:rPr>
          <w:t>accès pour la prise en charge des IMT 2030/6G</w:t>
        </w:r>
      </w:hyperlink>
      <w:r w:rsidRPr="00701DE3">
        <w:rPr>
          <w:sz w:val="22"/>
          <w:szCs w:val="22"/>
        </w:rPr>
        <w:t xml:space="preserve">", aura lieu le </w:t>
      </w:r>
      <w:r w:rsidRPr="00701DE3">
        <w:rPr>
          <w:b/>
          <w:sz w:val="22"/>
          <w:szCs w:val="22"/>
        </w:rPr>
        <w:t>7 juillet 2024 de 14 h 00 à 18 h 00 EDT. Cet atelier se déroulera uniquement en présentiel</w:t>
      </w:r>
      <w:r w:rsidRPr="00701DE3">
        <w:rPr>
          <w:sz w:val="22"/>
          <w:szCs w:val="22"/>
        </w:rPr>
        <w:t>. Il ne sera pas possible d</w:t>
      </w:r>
      <w:r w:rsidR="003219F7" w:rsidRPr="00701DE3">
        <w:rPr>
          <w:sz w:val="22"/>
          <w:szCs w:val="22"/>
        </w:rPr>
        <w:t>'</w:t>
      </w:r>
      <w:r w:rsidRPr="00701DE3">
        <w:rPr>
          <w:sz w:val="22"/>
          <w:szCs w:val="22"/>
        </w:rPr>
        <w:t>y participer à distance.</w:t>
      </w:r>
    </w:p>
    <w:p w14:paraId="15E2B345" w14:textId="477E303E" w:rsidR="00915F62" w:rsidRPr="00701DE3" w:rsidRDefault="00915F62" w:rsidP="004F0742">
      <w:pPr>
        <w:rPr>
          <w:sz w:val="22"/>
          <w:szCs w:val="22"/>
        </w:rPr>
      </w:pPr>
      <w:r w:rsidRPr="00701DE3">
        <w:rPr>
          <w:sz w:val="22"/>
          <w:szCs w:val="22"/>
        </w:rPr>
        <w:t>3</w:t>
      </w:r>
      <w:r w:rsidRPr="00701DE3">
        <w:rPr>
          <w:sz w:val="22"/>
          <w:szCs w:val="22"/>
        </w:rPr>
        <w:tab/>
        <w:t>L</w:t>
      </w:r>
      <w:r w:rsidR="003219F7" w:rsidRPr="00701DE3">
        <w:rPr>
          <w:sz w:val="22"/>
          <w:szCs w:val="22"/>
        </w:rPr>
        <w:t>'</w:t>
      </w:r>
      <w:r w:rsidRPr="00701DE3">
        <w:rPr>
          <w:sz w:val="22"/>
          <w:szCs w:val="22"/>
        </w:rPr>
        <w:t>atelier a pour objet d</w:t>
      </w:r>
      <w:r w:rsidR="003219F7" w:rsidRPr="00701DE3">
        <w:rPr>
          <w:sz w:val="22"/>
          <w:szCs w:val="22"/>
        </w:rPr>
        <w:t>'</w:t>
      </w:r>
      <w:r w:rsidRPr="00701DE3">
        <w:rPr>
          <w:sz w:val="22"/>
          <w:szCs w:val="22"/>
        </w:rPr>
        <w:t>offrir à toutes les parties concernées un cadre pour déterminer l</w:t>
      </w:r>
      <w:r w:rsidR="003219F7" w:rsidRPr="00701DE3">
        <w:rPr>
          <w:sz w:val="22"/>
          <w:szCs w:val="22"/>
        </w:rPr>
        <w:t>'</w:t>
      </w:r>
      <w:r w:rsidRPr="00701DE3">
        <w:rPr>
          <w:sz w:val="22"/>
          <w:szCs w:val="22"/>
        </w:rPr>
        <w:t>architecture et les exigences nécessaires à la prise en charge des réseaux IMT 2030/6G par les réseaux de transport, l</w:t>
      </w:r>
      <w:r w:rsidR="003219F7" w:rsidRPr="00701DE3">
        <w:rPr>
          <w:sz w:val="22"/>
          <w:szCs w:val="22"/>
        </w:rPr>
        <w:t>'</w:t>
      </w:r>
      <w:r w:rsidRPr="00701DE3">
        <w:rPr>
          <w:sz w:val="22"/>
          <w:szCs w:val="22"/>
        </w:rPr>
        <w:t>accent étant mis sur la prise en charge du réseau d</w:t>
      </w:r>
      <w:r w:rsidR="003219F7" w:rsidRPr="00701DE3">
        <w:rPr>
          <w:sz w:val="22"/>
          <w:szCs w:val="22"/>
        </w:rPr>
        <w:t>'</w:t>
      </w:r>
      <w:r w:rsidRPr="00701DE3">
        <w:rPr>
          <w:sz w:val="22"/>
          <w:szCs w:val="22"/>
        </w:rPr>
        <w:t>accès radioélectrique 5G avancé et 6G selon les spécifications du Partenariat 3GPP.</w:t>
      </w:r>
    </w:p>
    <w:p w14:paraId="350412E4" w14:textId="3DCE995A" w:rsidR="00915F62" w:rsidRPr="00701DE3" w:rsidRDefault="00915F62" w:rsidP="004F0742">
      <w:pPr>
        <w:rPr>
          <w:sz w:val="22"/>
          <w:szCs w:val="22"/>
        </w:rPr>
      </w:pPr>
      <w:r w:rsidRPr="00701DE3">
        <w:rPr>
          <w:sz w:val="22"/>
          <w:szCs w:val="22"/>
        </w:rPr>
        <w:t>4</w:t>
      </w:r>
      <w:r w:rsidRPr="00701DE3">
        <w:rPr>
          <w:sz w:val="22"/>
          <w:szCs w:val="22"/>
        </w:rPr>
        <w:tab/>
        <w:t>L</w:t>
      </w:r>
      <w:r w:rsidR="003219F7" w:rsidRPr="00701DE3">
        <w:rPr>
          <w:sz w:val="22"/>
          <w:szCs w:val="22"/>
        </w:rPr>
        <w:t>'</w:t>
      </w:r>
      <w:r w:rsidRPr="00701DE3">
        <w:rPr>
          <w:sz w:val="22"/>
          <w:szCs w:val="22"/>
        </w:rPr>
        <w:t>objectif de l</w:t>
      </w:r>
      <w:r w:rsidR="003219F7" w:rsidRPr="00701DE3">
        <w:rPr>
          <w:sz w:val="22"/>
          <w:szCs w:val="22"/>
        </w:rPr>
        <w:t>'</w:t>
      </w:r>
      <w:r w:rsidRPr="00701DE3">
        <w:rPr>
          <w:sz w:val="22"/>
          <w:szCs w:val="22"/>
        </w:rPr>
        <w:t>atelier est de présenter aux participants de la Commission d</w:t>
      </w:r>
      <w:r w:rsidR="003219F7" w:rsidRPr="00701DE3">
        <w:rPr>
          <w:sz w:val="22"/>
          <w:szCs w:val="22"/>
        </w:rPr>
        <w:t>'</w:t>
      </w:r>
      <w:r w:rsidRPr="00701DE3">
        <w:rPr>
          <w:sz w:val="22"/>
          <w:szCs w:val="22"/>
        </w:rPr>
        <w:t>études 15 une vue d</w:t>
      </w:r>
      <w:r w:rsidR="003219F7" w:rsidRPr="00701DE3">
        <w:rPr>
          <w:sz w:val="22"/>
          <w:szCs w:val="22"/>
        </w:rPr>
        <w:t>'</w:t>
      </w:r>
      <w:r w:rsidRPr="00701DE3">
        <w:rPr>
          <w:sz w:val="22"/>
          <w:szCs w:val="22"/>
        </w:rPr>
        <w:t xml:space="preserve">ensemble de la situation actuelle, des nouvelles exigences et des échéances en ce qui concerne les IMT 2030/6G. Les questions qui présentent un intérêt particulier sont les </w:t>
      </w:r>
      <w:proofErr w:type="gramStart"/>
      <w:r w:rsidRPr="00701DE3">
        <w:rPr>
          <w:sz w:val="22"/>
          <w:szCs w:val="22"/>
        </w:rPr>
        <w:t>suivantes:</w:t>
      </w:r>
      <w:proofErr w:type="gramEnd"/>
    </w:p>
    <w:p w14:paraId="785590D6" w14:textId="51C9D15E" w:rsidR="00915F62" w:rsidRPr="00701DE3" w:rsidRDefault="00E301FC" w:rsidP="004F0742">
      <w:pPr>
        <w:pStyle w:val="enumlev1"/>
        <w:rPr>
          <w:sz w:val="22"/>
          <w:szCs w:val="22"/>
        </w:rPr>
      </w:pPr>
      <w:r w:rsidRPr="00701DE3">
        <w:rPr>
          <w:sz w:val="22"/>
          <w:szCs w:val="22"/>
        </w:rPr>
        <w:t>–</w:t>
      </w:r>
      <w:r w:rsidR="00915F62" w:rsidRPr="00701DE3">
        <w:rPr>
          <w:sz w:val="22"/>
          <w:szCs w:val="22"/>
        </w:rPr>
        <w:tab/>
      </w:r>
      <w:r w:rsidR="00DA3A51" w:rsidRPr="00701DE3">
        <w:rPr>
          <w:sz w:val="22"/>
          <w:szCs w:val="22"/>
        </w:rPr>
        <w:t>l</w:t>
      </w:r>
      <w:r w:rsidR="00915F62" w:rsidRPr="00701DE3">
        <w:rPr>
          <w:sz w:val="22"/>
          <w:szCs w:val="22"/>
        </w:rPr>
        <w:t xml:space="preserve">e relevé des différences entre la topologie du réseau IMT 2030/6G et la topologie du réseau 5G actuel et des réseaux 5G avancés </w:t>
      </w:r>
      <w:proofErr w:type="gramStart"/>
      <w:r w:rsidR="00915F62" w:rsidRPr="00701DE3">
        <w:rPr>
          <w:sz w:val="22"/>
          <w:szCs w:val="22"/>
        </w:rPr>
        <w:t>émergents</w:t>
      </w:r>
      <w:r w:rsidR="004F0742" w:rsidRPr="00701DE3">
        <w:rPr>
          <w:sz w:val="22"/>
          <w:szCs w:val="22"/>
        </w:rPr>
        <w:t>:</w:t>
      </w:r>
      <w:proofErr w:type="gramEnd"/>
    </w:p>
    <w:p w14:paraId="05A2640C" w14:textId="7982BADE" w:rsidR="00915F62" w:rsidRPr="00701DE3" w:rsidRDefault="00E301FC" w:rsidP="004F0742">
      <w:pPr>
        <w:pStyle w:val="enumlev2"/>
        <w:rPr>
          <w:sz w:val="22"/>
          <w:szCs w:val="22"/>
        </w:rPr>
      </w:pPr>
      <w:r w:rsidRPr="00701DE3">
        <w:rPr>
          <w:sz w:val="22"/>
          <w:szCs w:val="22"/>
        </w:rPr>
        <w:t>•</w:t>
      </w:r>
      <w:r w:rsidR="00915F62" w:rsidRPr="00701DE3">
        <w:rPr>
          <w:sz w:val="22"/>
          <w:szCs w:val="22"/>
        </w:rPr>
        <w:tab/>
      </w:r>
      <w:r w:rsidR="00701DE3">
        <w:rPr>
          <w:sz w:val="22"/>
          <w:szCs w:val="22"/>
        </w:rPr>
        <w:t>e</w:t>
      </w:r>
      <w:r w:rsidR="00915F62" w:rsidRPr="00701DE3">
        <w:rPr>
          <w:sz w:val="22"/>
          <w:szCs w:val="22"/>
        </w:rPr>
        <w:t xml:space="preserve">stimation des exigences relatives à la capacité des liaisons et au temps de </w:t>
      </w:r>
      <w:proofErr w:type="gramStart"/>
      <w:r w:rsidR="00915F62" w:rsidRPr="00701DE3">
        <w:rPr>
          <w:sz w:val="22"/>
          <w:szCs w:val="22"/>
        </w:rPr>
        <w:t>latence</w:t>
      </w:r>
      <w:r w:rsidR="00DA3A51" w:rsidRPr="00701DE3">
        <w:rPr>
          <w:sz w:val="22"/>
          <w:szCs w:val="22"/>
        </w:rPr>
        <w:t>;</w:t>
      </w:r>
      <w:proofErr w:type="gramEnd"/>
    </w:p>
    <w:p w14:paraId="41E4CF0A" w14:textId="0E7CDCA8" w:rsidR="00915F62" w:rsidRPr="00701DE3" w:rsidRDefault="00E301FC" w:rsidP="004F0742">
      <w:pPr>
        <w:pStyle w:val="enumlev1"/>
        <w:rPr>
          <w:sz w:val="22"/>
          <w:szCs w:val="22"/>
        </w:rPr>
      </w:pPr>
      <w:r w:rsidRPr="00701DE3">
        <w:rPr>
          <w:sz w:val="22"/>
          <w:szCs w:val="22"/>
        </w:rPr>
        <w:t>–</w:t>
      </w:r>
      <w:r w:rsidR="00915F62" w:rsidRPr="00701DE3">
        <w:rPr>
          <w:sz w:val="22"/>
          <w:szCs w:val="22"/>
        </w:rPr>
        <w:tab/>
      </w:r>
      <w:r w:rsidR="00DA3A51" w:rsidRPr="00701DE3">
        <w:rPr>
          <w:sz w:val="22"/>
          <w:szCs w:val="22"/>
        </w:rPr>
        <w:t>l</w:t>
      </w:r>
      <w:r w:rsidR="00915F62" w:rsidRPr="00701DE3">
        <w:rPr>
          <w:sz w:val="22"/>
          <w:szCs w:val="22"/>
        </w:rPr>
        <w:t>a prise en charge par le réseau de transport des objectifs d</w:t>
      </w:r>
      <w:r w:rsidR="003219F7" w:rsidRPr="00701DE3">
        <w:rPr>
          <w:sz w:val="22"/>
          <w:szCs w:val="22"/>
        </w:rPr>
        <w:t>'</w:t>
      </w:r>
      <w:r w:rsidR="00915F62" w:rsidRPr="00701DE3">
        <w:rPr>
          <w:sz w:val="22"/>
          <w:szCs w:val="22"/>
        </w:rPr>
        <w:t>efficacité énergétique des</w:t>
      </w:r>
      <w:r w:rsidR="00DA3A51" w:rsidRPr="00701DE3">
        <w:rPr>
          <w:sz w:val="22"/>
          <w:szCs w:val="22"/>
        </w:rPr>
        <w:t> </w:t>
      </w:r>
      <w:r w:rsidR="00915F62" w:rsidRPr="00701DE3">
        <w:rPr>
          <w:sz w:val="22"/>
          <w:szCs w:val="22"/>
        </w:rPr>
        <w:t>IMT</w:t>
      </w:r>
      <w:r w:rsidR="00DA3A51" w:rsidRPr="00701DE3">
        <w:rPr>
          <w:sz w:val="22"/>
          <w:szCs w:val="22"/>
        </w:rPr>
        <w:t> </w:t>
      </w:r>
      <w:r w:rsidR="00915F62" w:rsidRPr="00701DE3">
        <w:rPr>
          <w:sz w:val="22"/>
          <w:szCs w:val="22"/>
        </w:rPr>
        <w:t>2030/6</w:t>
      </w:r>
      <w:proofErr w:type="gramStart"/>
      <w:r w:rsidR="00915F62" w:rsidRPr="00701DE3">
        <w:rPr>
          <w:sz w:val="22"/>
          <w:szCs w:val="22"/>
        </w:rPr>
        <w:t>G</w:t>
      </w:r>
      <w:r w:rsidR="00DA3A51" w:rsidRPr="00701DE3">
        <w:rPr>
          <w:sz w:val="22"/>
          <w:szCs w:val="22"/>
        </w:rPr>
        <w:t>;</w:t>
      </w:r>
      <w:proofErr w:type="gramEnd"/>
    </w:p>
    <w:p w14:paraId="01E792B2" w14:textId="190C7109" w:rsidR="00915F62" w:rsidRPr="00701DE3" w:rsidRDefault="00E301FC" w:rsidP="004F0742">
      <w:pPr>
        <w:pStyle w:val="enumlev1"/>
        <w:rPr>
          <w:sz w:val="22"/>
          <w:szCs w:val="22"/>
        </w:rPr>
      </w:pPr>
      <w:r w:rsidRPr="00701DE3">
        <w:rPr>
          <w:sz w:val="22"/>
          <w:szCs w:val="22"/>
        </w:rPr>
        <w:t>–</w:t>
      </w:r>
      <w:r w:rsidR="00915F62" w:rsidRPr="00701DE3">
        <w:rPr>
          <w:sz w:val="22"/>
          <w:szCs w:val="22"/>
        </w:rPr>
        <w:tab/>
      </w:r>
      <w:r w:rsidR="00DA3A51" w:rsidRPr="00701DE3">
        <w:rPr>
          <w:sz w:val="22"/>
          <w:szCs w:val="22"/>
        </w:rPr>
        <w:t>l</w:t>
      </w:r>
      <w:r w:rsidR="00915F62" w:rsidRPr="00701DE3">
        <w:rPr>
          <w:sz w:val="22"/>
          <w:szCs w:val="22"/>
        </w:rPr>
        <w:t>es avantages potentiels de l</w:t>
      </w:r>
      <w:r w:rsidR="003219F7" w:rsidRPr="00701DE3">
        <w:rPr>
          <w:sz w:val="22"/>
          <w:szCs w:val="22"/>
        </w:rPr>
        <w:t>'</w:t>
      </w:r>
      <w:r w:rsidR="00915F62" w:rsidRPr="00701DE3">
        <w:rPr>
          <w:sz w:val="22"/>
          <w:szCs w:val="22"/>
        </w:rPr>
        <w:t>intégration de la gestion des réseaux de transport et d</w:t>
      </w:r>
      <w:r w:rsidR="003219F7" w:rsidRPr="00701DE3">
        <w:rPr>
          <w:sz w:val="22"/>
          <w:szCs w:val="22"/>
        </w:rPr>
        <w:t>'</w:t>
      </w:r>
      <w:r w:rsidR="00915F62" w:rsidRPr="00701DE3">
        <w:rPr>
          <w:sz w:val="22"/>
          <w:szCs w:val="22"/>
        </w:rPr>
        <w:t>accès et du réseau IMT 2030/6</w:t>
      </w:r>
      <w:proofErr w:type="gramStart"/>
      <w:r w:rsidR="00915F62" w:rsidRPr="00701DE3">
        <w:rPr>
          <w:sz w:val="22"/>
          <w:szCs w:val="22"/>
        </w:rPr>
        <w:t>G;</w:t>
      </w:r>
      <w:proofErr w:type="gramEnd"/>
    </w:p>
    <w:p w14:paraId="2BF364E5" w14:textId="4FDB8EC6" w:rsidR="00915F62" w:rsidRPr="00701DE3" w:rsidRDefault="00E301FC" w:rsidP="004F0742">
      <w:pPr>
        <w:pStyle w:val="enumlev1"/>
        <w:rPr>
          <w:sz w:val="22"/>
          <w:szCs w:val="22"/>
        </w:rPr>
      </w:pPr>
      <w:r w:rsidRPr="00701DE3">
        <w:rPr>
          <w:sz w:val="22"/>
          <w:szCs w:val="22"/>
        </w:rPr>
        <w:t>–</w:t>
      </w:r>
      <w:r w:rsidR="00915F62" w:rsidRPr="00701DE3">
        <w:rPr>
          <w:sz w:val="22"/>
          <w:szCs w:val="22"/>
        </w:rPr>
        <w:tab/>
      </w:r>
      <w:r w:rsidR="00DA3A51" w:rsidRPr="00701DE3">
        <w:rPr>
          <w:sz w:val="22"/>
          <w:szCs w:val="22"/>
        </w:rPr>
        <w:t>l</w:t>
      </w:r>
      <w:r w:rsidR="003219F7" w:rsidRPr="00701DE3">
        <w:rPr>
          <w:sz w:val="22"/>
          <w:szCs w:val="22"/>
        </w:rPr>
        <w:t>'</w:t>
      </w:r>
      <w:r w:rsidR="00915F62" w:rsidRPr="00701DE3">
        <w:rPr>
          <w:sz w:val="22"/>
          <w:szCs w:val="22"/>
        </w:rPr>
        <w:t>utilisation de l</w:t>
      </w:r>
      <w:r w:rsidR="003219F7" w:rsidRPr="00701DE3">
        <w:rPr>
          <w:sz w:val="22"/>
          <w:szCs w:val="22"/>
        </w:rPr>
        <w:t>'</w:t>
      </w:r>
      <w:r w:rsidR="00915F62" w:rsidRPr="00701DE3">
        <w:rPr>
          <w:sz w:val="22"/>
          <w:szCs w:val="22"/>
        </w:rPr>
        <w:t>IA et de l</w:t>
      </w:r>
      <w:r w:rsidR="003219F7" w:rsidRPr="00701DE3">
        <w:rPr>
          <w:sz w:val="22"/>
          <w:szCs w:val="22"/>
        </w:rPr>
        <w:t>'</w:t>
      </w:r>
      <w:r w:rsidR="00915F62" w:rsidRPr="00701DE3">
        <w:rPr>
          <w:sz w:val="22"/>
          <w:szCs w:val="22"/>
        </w:rPr>
        <w:t>apprentissage automatique pour améliorer la coordination des réseaux de transport et d</w:t>
      </w:r>
      <w:r w:rsidR="003219F7" w:rsidRPr="00701DE3">
        <w:rPr>
          <w:sz w:val="22"/>
          <w:szCs w:val="22"/>
        </w:rPr>
        <w:t>'</w:t>
      </w:r>
      <w:r w:rsidR="00915F62" w:rsidRPr="00701DE3">
        <w:rPr>
          <w:sz w:val="22"/>
          <w:szCs w:val="22"/>
        </w:rPr>
        <w:t>accès avec le réseau IMT 2030/6G.</w:t>
      </w:r>
    </w:p>
    <w:p w14:paraId="337281CE" w14:textId="3DF4A4B7" w:rsidR="00915F62" w:rsidRPr="00701DE3" w:rsidRDefault="00915F62" w:rsidP="004F0742">
      <w:pPr>
        <w:rPr>
          <w:sz w:val="22"/>
          <w:szCs w:val="22"/>
        </w:rPr>
      </w:pPr>
      <w:r w:rsidRPr="00701DE3">
        <w:rPr>
          <w:sz w:val="22"/>
          <w:szCs w:val="22"/>
        </w:rPr>
        <w:lastRenderedPageBreak/>
        <w:t>5</w:t>
      </w:r>
      <w:r w:rsidRPr="00701DE3">
        <w:rPr>
          <w:sz w:val="22"/>
          <w:szCs w:val="22"/>
        </w:rPr>
        <w:tab/>
        <w:t>Sont invités à y participer les Membres de l</w:t>
      </w:r>
      <w:r w:rsidR="003219F7" w:rsidRPr="00701DE3">
        <w:rPr>
          <w:sz w:val="22"/>
          <w:szCs w:val="22"/>
        </w:rPr>
        <w:t>'</w:t>
      </w:r>
      <w:r w:rsidRPr="00701DE3">
        <w:rPr>
          <w:sz w:val="22"/>
          <w:szCs w:val="22"/>
        </w:rPr>
        <w:t xml:space="preserve">UIT et les entités </w:t>
      </w:r>
      <w:proofErr w:type="gramStart"/>
      <w:r w:rsidRPr="00701DE3">
        <w:rPr>
          <w:sz w:val="22"/>
          <w:szCs w:val="22"/>
        </w:rPr>
        <w:t>non membres</w:t>
      </w:r>
      <w:proofErr w:type="gramEnd"/>
      <w:r w:rsidRPr="00701DE3">
        <w:rPr>
          <w:sz w:val="22"/>
          <w:szCs w:val="22"/>
        </w:rPr>
        <w:t>, les organismes de normalisation intéressés, les fournisseurs d</w:t>
      </w:r>
      <w:r w:rsidR="003219F7" w:rsidRPr="00701DE3">
        <w:rPr>
          <w:sz w:val="22"/>
          <w:szCs w:val="22"/>
        </w:rPr>
        <w:t>'</w:t>
      </w:r>
      <w:r w:rsidRPr="00701DE3">
        <w:rPr>
          <w:sz w:val="22"/>
          <w:szCs w:val="22"/>
        </w:rPr>
        <w:t>équipements de réseau et les organismes de recherche, ainsi que, en particulier, les opérateurs de réseau de toutes les régions géographiques qui ont déployé la 5G et prévoient de déployer la 5G évoluée ou les IMT 2030/6G.</w:t>
      </w:r>
    </w:p>
    <w:p w14:paraId="4AEA99CC" w14:textId="2D2CA337" w:rsidR="00915F62" w:rsidRPr="00701DE3" w:rsidRDefault="00915F62" w:rsidP="004F0742">
      <w:pPr>
        <w:rPr>
          <w:sz w:val="22"/>
          <w:szCs w:val="22"/>
        </w:rPr>
      </w:pPr>
      <w:r w:rsidRPr="00701DE3">
        <w:rPr>
          <w:sz w:val="22"/>
          <w:szCs w:val="22"/>
        </w:rPr>
        <w:t>6</w:t>
      </w:r>
      <w:r w:rsidRPr="00701DE3">
        <w:rPr>
          <w:sz w:val="22"/>
          <w:szCs w:val="22"/>
        </w:rPr>
        <w:tab/>
        <w:t xml:space="preserve">Le </w:t>
      </w:r>
      <w:r w:rsidRPr="00701DE3">
        <w:rPr>
          <w:i/>
          <w:iCs/>
          <w:sz w:val="22"/>
          <w:szCs w:val="22"/>
        </w:rPr>
        <w:t>second atelier</w:t>
      </w:r>
      <w:r w:rsidRPr="00701DE3">
        <w:rPr>
          <w:sz w:val="22"/>
          <w:szCs w:val="22"/>
        </w:rPr>
        <w:t>, organisé conjointement avec le Groupe chargé des spécifications sur le réseau fixe de cinquième génération (Groupe ISG F5G de l</w:t>
      </w:r>
      <w:r w:rsidR="003219F7" w:rsidRPr="00701DE3">
        <w:rPr>
          <w:sz w:val="22"/>
          <w:szCs w:val="22"/>
        </w:rPr>
        <w:t>'</w:t>
      </w:r>
      <w:r w:rsidRPr="00701DE3">
        <w:rPr>
          <w:sz w:val="22"/>
          <w:szCs w:val="22"/>
        </w:rPr>
        <w:t>ETSI) de l</w:t>
      </w:r>
      <w:r w:rsidR="003219F7" w:rsidRPr="00701DE3">
        <w:rPr>
          <w:sz w:val="22"/>
          <w:szCs w:val="22"/>
        </w:rPr>
        <w:t>'</w:t>
      </w:r>
      <w:r w:rsidRPr="00701DE3">
        <w:rPr>
          <w:sz w:val="22"/>
          <w:szCs w:val="22"/>
        </w:rPr>
        <w:t>Institut européen des normes de télécommunication, le BBF (Broadband Forum) et le Comité technique 6 de l</w:t>
      </w:r>
      <w:r w:rsidR="003219F7" w:rsidRPr="00701DE3">
        <w:rPr>
          <w:sz w:val="22"/>
          <w:szCs w:val="22"/>
        </w:rPr>
        <w:t>'</w:t>
      </w:r>
      <w:r w:rsidRPr="00701DE3">
        <w:rPr>
          <w:sz w:val="22"/>
          <w:szCs w:val="22"/>
        </w:rPr>
        <w:t>Association chinoise de normalisation des communications (Comité technique 6 de la CCSA), constituera le</w:t>
      </w:r>
      <w:r w:rsidR="00720695" w:rsidRPr="00701DE3">
        <w:rPr>
          <w:sz w:val="22"/>
          <w:szCs w:val="22"/>
        </w:rPr>
        <w:t> </w:t>
      </w:r>
      <w:hyperlink r:id="rId12" w:history="1">
        <w:r w:rsidRPr="00701DE3">
          <w:rPr>
            <w:rStyle w:val="Hyperlink"/>
            <w:b/>
            <w:bCs/>
            <w:sz w:val="22"/>
            <w:szCs w:val="22"/>
          </w:rPr>
          <w:t>quatrième atelier commun du Groupe ISG F5G de l</w:t>
        </w:r>
        <w:r w:rsidR="003219F7" w:rsidRPr="00701DE3">
          <w:rPr>
            <w:rStyle w:val="Hyperlink"/>
            <w:b/>
            <w:bCs/>
            <w:sz w:val="22"/>
            <w:szCs w:val="22"/>
          </w:rPr>
          <w:t>'</w:t>
        </w:r>
        <w:r w:rsidRPr="00701DE3">
          <w:rPr>
            <w:rStyle w:val="Hyperlink"/>
            <w:b/>
            <w:bCs/>
            <w:sz w:val="22"/>
            <w:szCs w:val="22"/>
          </w:rPr>
          <w:t>ETSI, du BBF, du Comité technique 6 de la</w:t>
        </w:r>
        <w:r w:rsidR="005311AD" w:rsidRPr="00701DE3">
          <w:rPr>
            <w:rStyle w:val="Hyperlink"/>
            <w:b/>
            <w:bCs/>
            <w:sz w:val="22"/>
            <w:szCs w:val="22"/>
          </w:rPr>
          <w:t> </w:t>
        </w:r>
        <w:r w:rsidRPr="00701DE3">
          <w:rPr>
            <w:rStyle w:val="Hyperlink"/>
            <w:b/>
            <w:bCs/>
            <w:sz w:val="22"/>
            <w:szCs w:val="22"/>
          </w:rPr>
          <w:t>CCSA et de la CE 15 de l</w:t>
        </w:r>
        <w:r w:rsidR="003219F7" w:rsidRPr="00701DE3">
          <w:rPr>
            <w:rStyle w:val="Hyperlink"/>
            <w:b/>
            <w:bCs/>
            <w:sz w:val="22"/>
            <w:szCs w:val="22"/>
          </w:rPr>
          <w:t>'</w:t>
        </w:r>
        <w:r w:rsidRPr="00701DE3">
          <w:rPr>
            <w:rStyle w:val="Hyperlink"/>
            <w:b/>
            <w:bCs/>
            <w:sz w:val="22"/>
            <w:szCs w:val="22"/>
          </w:rPr>
          <w:t>UIT-T sur la technologie FTTR (fibre jusqu</w:t>
        </w:r>
        <w:r w:rsidR="003219F7" w:rsidRPr="00701DE3">
          <w:rPr>
            <w:rStyle w:val="Hyperlink"/>
            <w:b/>
            <w:bCs/>
            <w:sz w:val="22"/>
            <w:szCs w:val="22"/>
          </w:rPr>
          <w:t>'</w:t>
        </w:r>
        <w:r w:rsidRPr="00701DE3">
          <w:rPr>
            <w:rStyle w:val="Hyperlink"/>
            <w:b/>
            <w:bCs/>
            <w:sz w:val="22"/>
            <w:szCs w:val="22"/>
          </w:rPr>
          <w:t>à la pièce)</w:t>
        </w:r>
      </w:hyperlink>
      <w:r w:rsidRPr="00701DE3">
        <w:rPr>
          <w:sz w:val="22"/>
          <w:szCs w:val="22"/>
        </w:rPr>
        <w:t>, et aura lieu le</w:t>
      </w:r>
      <w:r w:rsidR="00474473" w:rsidRPr="00701DE3">
        <w:rPr>
          <w:sz w:val="22"/>
          <w:szCs w:val="22"/>
        </w:rPr>
        <w:t> </w:t>
      </w:r>
      <w:r w:rsidRPr="00701DE3">
        <w:rPr>
          <w:b/>
          <w:sz w:val="22"/>
          <w:szCs w:val="22"/>
        </w:rPr>
        <w:t>10</w:t>
      </w:r>
      <w:r w:rsidR="00474473" w:rsidRPr="00701DE3">
        <w:rPr>
          <w:b/>
          <w:sz w:val="22"/>
          <w:szCs w:val="22"/>
        </w:rPr>
        <w:t> </w:t>
      </w:r>
      <w:r w:rsidRPr="00701DE3">
        <w:rPr>
          <w:b/>
          <w:sz w:val="22"/>
          <w:szCs w:val="22"/>
        </w:rPr>
        <w:t>juillet</w:t>
      </w:r>
      <w:r w:rsidR="00474473" w:rsidRPr="00701DE3">
        <w:rPr>
          <w:b/>
          <w:sz w:val="22"/>
          <w:szCs w:val="22"/>
        </w:rPr>
        <w:t> </w:t>
      </w:r>
      <w:r w:rsidRPr="00701DE3">
        <w:rPr>
          <w:b/>
          <w:sz w:val="22"/>
          <w:szCs w:val="22"/>
        </w:rPr>
        <w:t>2024 de 8 h 00 à 12 h 00 EDT. La participation à distance sera possible pour cette manifestation</w:t>
      </w:r>
      <w:r w:rsidRPr="00701DE3">
        <w:rPr>
          <w:sz w:val="22"/>
          <w:szCs w:val="22"/>
        </w:rPr>
        <w:t>.</w:t>
      </w:r>
    </w:p>
    <w:p w14:paraId="251AF869" w14:textId="6D90F0A8" w:rsidR="00915F62" w:rsidRPr="00701DE3" w:rsidRDefault="00915F62" w:rsidP="004F0742">
      <w:pPr>
        <w:rPr>
          <w:sz w:val="22"/>
          <w:szCs w:val="22"/>
        </w:rPr>
      </w:pPr>
      <w:r w:rsidRPr="00701DE3">
        <w:rPr>
          <w:sz w:val="22"/>
          <w:szCs w:val="22"/>
        </w:rPr>
        <w:t>7</w:t>
      </w:r>
      <w:r w:rsidRPr="00701DE3">
        <w:rPr>
          <w:sz w:val="22"/>
          <w:szCs w:val="22"/>
        </w:rPr>
        <w:tab/>
        <w:t>Le but de l</w:t>
      </w:r>
      <w:r w:rsidR="003219F7" w:rsidRPr="00701DE3">
        <w:rPr>
          <w:sz w:val="22"/>
          <w:szCs w:val="22"/>
        </w:rPr>
        <w:t>'</w:t>
      </w:r>
      <w:r w:rsidRPr="00701DE3">
        <w:rPr>
          <w:sz w:val="22"/>
          <w:szCs w:val="22"/>
        </w:rPr>
        <w:t>atelier est de donner l</w:t>
      </w:r>
      <w:r w:rsidR="003219F7" w:rsidRPr="00701DE3">
        <w:rPr>
          <w:sz w:val="22"/>
          <w:szCs w:val="22"/>
        </w:rPr>
        <w:t>'</w:t>
      </w:r>
      <w:r w:rsidRPr="00701DE3">
        <w:rPr>
          <w:sz w:val="22"/>
          <w:szCs w:val="22"/>
        </w:rPr>
        <w:t>occasion, pour toutes les parties concernées, de continuer le débat sur la technologie FTTR (fibre jusqu</w:t>
      </w:r>
      <w:r w:rsidR="003219F7" w:rsidRPr="00701DE3">
        <w:rPr>
          <w:sz w:val="22"/>
          <w:szCs w:val="22"/>
        </w:rPr>
        <w:t>'</w:t>
      </w:r>
      <w:r w:rsidRPr="00701DE3">
        <w:rPr>
          <w:sz w:val="22"/>
          <w:szCs w:val="22"/>
        </w:rPr>
        <w:t>à la pièce). Cette technologie est un sujet d</w:t>
      </w:r>
      <w:r w:rsidR="003219F7" w:rsidRPr="00701DE3">
        <w:rPr>
          <w:sz w:val="22"/>
          <w:szCs w:val="22"/>
        </w:rPr>
        <w:t>'</w:t>
      </w:r>
      <w:r w:rsidRPr="00701DE3">
        <w:rPr>
          <w:sz w:val="22"/>
          <w:szCs w:val="22"/>
        </w:rPr>
        <w:t>actualité qui est étudié au titre de la Question 3/15 relative aux réseaux dans les locaux de l</w:t>
      </w:r>
      <w:r w:rsidR="003219F7" w:rsidRPr="00701DE3">
        <w:rPr>
          <w:sz w:val="22"/>
          <w:szCs w:val="22"/>
        </w:rPr>
        <w:t>'</w:t>
      </w:r>
      <w:r w:rsidRPr="00701DE3">
        <w:rPr>
          <w:sz w:val="22"/>
          <w:szCs w:val="22"/>
        </w:rPr>
        <w:t>abonné. La topologie dans les locaux de l</w:t>
      </w:r>
      <w:r w:rsidR="003219F7" w:rsidRPr="00701DE3">
        <w:rPr>
          <w:sz w:val="22"/>
          <w:szCs w:val="22"/>
        </w:rPr>
        <w:t>'</w:t>
      </w:r>
      <w:r w:rsidRPr="00701DE3">
        <w:rPr>
          <w:sz w:val="22"/>
          <w:szCs w:val="22"/>
        </w:rPr>
        <w:t>abonné et les fonctionnalités concernant la technologie</w:t>
      </w:r>
      <w:r w:rsidR="003219F7" w:rsidRPr="00701DE3">
        <w:rPr>
          <w:sz w:val="22"/>
          <w:szCs w:val="22"/>
        </w:rPr>
        <w:t> </w:t>
      </w:r>
      <w:r w:rsidRPr="00701DE3">
        <w:rPr>
          <w:sz w:val="22"/>
          <w:szCs w:val="22"/>
        </w:rPr>
        <w:t>FTTR peuvent être différentes de celles relatives aux technologies actuelles fondées sur la fibre dans les réseaux de transport et d</w:t>
      </w:r>
      <w:r w:rsidR="003219F7" w:rsidRPr="00701DE3">
        <w:rPr>
          <w:sz w:val="22"/>
          <w:szCs w:val="22"/>
        </w:rPr>
        <w:t>'</w:t>
      </w:r>
      <w:r w:rsidRPr="00701DE3">
        <w:rPr>
          <w:sz w:val="22"/>
          <w:szCs w:val="22"/>
        </w:rPr>
        <w:t>accès. Pour parfaire l</w:t>
      </w:r>
      <w:r w:rsidR="003219F7" w:rsidRPr="00701DE3">
        <w:rPr>
          <w:sz w:val="22"/>
          <w:szCs w:val="22"/>
        </w:rPr>
        <w:t>'</w:t>
      </w:r>
      <w:r w:rsidRPr="00701DE3">
        <w:rPr>
          <w:sz w:val="22"/>
          <w:szCs w:val="22"/>
        </w:rPr>
        <w:t>élaboration de la spécification relative à la technologie FTTR, et faciliter le déploiement des systèmes FTTR, il est nécessaire de comprendre les cas d</w:t>
      </w:r>
      <w:r w:rsidR="003219F7" w:rsidRPr="00701DE3">
        <w:rPr>
          <w:sz w:val="22"/>
          <w:szCs w:val="22"/>
        </w:rPr>
        <w:t>'</w:t>
      </w:r>
      <w:r w:rsidRPr="00701DE3">
        <w:rPr>
          <w:sz w:val="22"/>
          <w:szCs w:val="22"/>
        </w:rPr>
        <w:t>utilisation de cette technologie, les exigences correspondantes, les obstacles à son déploiement et les meilleures pratiques liées à son application.</w:t>
      </w:r>
    </w:p>
    <w:p w14:paraId="16B88AB2" w14:textId="1BE64245" w:rsidR="00915F62" w:rsidRPr="00701DE3" w:rsidRDefault="00915F62" w:rsidP="004F0742">
      <w:pPr>
        <w:rPr>
          <w:sz w:val="22"/>
          <w:szCs w:val="22"/>
        </w:rPr>
      </w:pPr>
      <w:r w:rsidRPr="00701DE3">
        <w:rPr>
          <w:sz w:val="22"/>
          <w:szCs w:val="22"/>
        </w:rPr>
        <w:t>8</w:t>
      </w:r>
      <w:r w:rsidRPr="00701DE3">
        <w:rPr>
          <w:sz w:val="22"/>
          <w:szCs w:val="22"/>
        </w:rPr>
        <w:tab/>
        <w:t>La participation aux deux ateliers est ouverte aux États Membres, aux Membres de Secteur, aux Associés de l</w:t>
      </w:r>
      <w:r w:rsidR="003219F7" w:rsidRPr="00701DE3">
        <w:rPr>
          <w:sz w:val="22"/>
          <w:szCs w:val="22"/>
        </w:rPr>
        <w:t>'</w:t>
      </w:r>
      <w:r w:rsidRPr="00701DE3">
        <w:rPr>
          <w:sz w:val="22"/>
          <w:szCs w:val="22"/>
        </w:rPr>
        <w:t>UIT et aux établissements universitaires participant aux travaux de l</w:t>
      </w:r>
      <w:r w:rsidR="003219F7" w:rsidRPr="00701DE3">
        <w:rPr>
          <w:sz w:val="22"/>
          <w:szCs w:val="22"/>
        </w:rPr>
        <w:t>'</w:t>
      </w:r>
      <w:r w:rsidRPr="00701DE3">
        <w:rPr>
          <w:sz w:val="22"/>
          <w:szCs w:val="22"/>
        </w:rPr>
        <w:t>UIT, à tous les participants réguliers des réunions du Groupe ISG F5G de l</w:t>
      </w:r>
      <w:r w:rsidR="003219F7" w:rsidRPr="00701DE3">
        <w:rPr>
          <w:sz w:val="22"/>
          <w:szCs w:val="22"/>
        </w:rPr>
        <w:t>'</w:t>
      </w:r>
      <w:r w:rsidRPr="00701DE3">
        <w:rPr>
          <w:sz w:val="22"/>
          <w:szCs w:val="22"/>
        </w:rPr>
        <w:t>ETSI, du BBF, du Comité technique 6 de la CCSA et de la CE 15 de l</w:t>
      </w:r>
      <w:r w:rsidR="003219F7" w:rsidRPr="00701DE3">
        <w:rPr>
          <w:sz w:val="22"/>
          <w:szCs w:val="22"/>
        </w:rPr>
        <w:t>'</w:t>
      </w:r>
      <w:r w:rsidRPr="00701DE3">
        <w:rPr>
          <w:sz w:val="22"/>
          <w:szCs w:val="22"/>
        </w:rPr>
        <w:t>UIT-T et à toute personne issue d</w:t>
      </w:r>
      <w:r w:rsidR="003219F7" w:rsidRPr="00701DE3">
        <w:rPr>
          <w:sz w:val="22"/>
          <w:szCs w:val="22"/>
        </w:rPr>
        <w:t>'</w:t>
      </w:r>
      <w:r w:rsidRPr="00701DE3">
        <w:rPr>
          <w:sz w:val="22"/>
          <w:szCs w:val="22"/>
        </w:rPr>
        <w:t>un pays Membre de l</w:t>
      </w:r>
      <w:r w:rsidR="003219F7" w:rsidRPr="00701DE3">
        <w:rPr>
          <w:sz w:val="22"/>
          <w:szCs w:val="22"/>
        </w:rPr>
        <w:t>'</w:t>
      </w:r>
      <w:r w:rsidRPr="00701DE3">
        <w:rPr>
          <w:sz w:val="22"/>
          <w:szCs w:val="22"/>
        </w:rPr>
        <w:t>UIT qui souhaite contribuer aux travaux. Il peut s</w:t>
      </w:r>
      <w:r w:rsidR="003219F7" w:rsidRPr="00701DE3">
        <w:rPr>
          <w:sz w:val="22"/>
          <w:szCs w:val="22"/>
        </w:rPr>
        <w:t>'</w:t>
      </w:r>
      <w:r w:rsidRPr="00701DE3">
        <w:rPr>
          <w:sz w:val="22"/>
          <w:szCs w:val="22"/>
        </w:rPr>
        <w:t>agir de personnes qui sont aussi membres d</w:t>
      </w:r>
      <w:r w:rsidR="003219F7" w:rsidRPr="00701DE3">
        <w:rPr>
          <w:sz w:val="22"/>
          <w:szCs w:val="22"/>
        </w:rPr>
        <w:t>'</w:t>
      </w:r>
      <w:r w:rsidRPr="00701DE3">
        <w:rPr>
          <w:sz w:val="22"/>
          <w:szCs w:val="22"/>
        </w:rPr>
        <w:t>organisations internationales, régionales ou nationales. La participation aux ateliers est gratuite.</w:t>
      </w:r>
    </w:p>
    <w:p w14:paraId="40AD8B22" w14:textId="058DF6FF" w:rsidR="00915F62" w:rsidRPr="00701DE3" w:rsidRDefault="00915F62" w:rsidP="004F0742">
      <w:pPr>
        <w:rPr>
          <w:sz w:val="22"/>
          <w:szCs w:val="22"/>
        </w:rPr>
      </w:pPr>
      <w:r w:rsidRPr="00701DE3">
        <w:rPr>
          <w:sz w:val="22"/>
          <w:szCs w:val="22"/>
        </w:rPr>
        <w:t>9</w:t>
      </w:r>
      <w:r w:rsidRPr="00701DE3">
        <w:rPr>
          <w:sz w:val="22"/>
          <w:szCs w:val="22"/>
        </w:rPr>
        <w:tab/>
        <w:t>Toutes les informations relatives aux deux manifestations, notamment le projet de programme, la liste des orateurs et le lien pour l</w:t>
      </w:r>
      <w:r w:rsidR="003219F7" w:rsidRPr="00701DE3">
        <w:rPr>
          <w:sz w:val="22"/>
          <w:szCs w:val="22"/>
        </w:rPr>
        <w:t>'</w:t>
      </w:r>
      <w:r w:rsidRPr="00701DE3">
        <w:rPr>
          <w:sz w:val="22"/>
          <w:szCs w:val="22"/>
        </w:rPr>
        <w:t>inscription, seront disponibles sur les sites web respectifs des manifestations. Ces sites web seront actualisés périodiquement, à mesure que parviendront des informations nouvelles. Il est recommandé aux participants de consulter régulièrement les sites web pour prendre connaissance des dernières informations.</w:t>
      </w:r>
    </w:p>
    <w:p w14:paraId="5CBF613B" w14:textId="5513E3F5" w:rsidR="00915F62" w:rsidRPr="00701DE3" w:rsidRDefault="00915F62" w:rsidP="004F0742">
      <w:pPr>
        <w:rPr>
          <w:sz w:val="22"/>
          <w:szCs w:val="22"/>
        </w:rPr>
      </w:pPr>
      <w:r w:rsidRPr="00701DE3">
        <w:rPr>
          <w:sz w:val="22"/>
          <w:szCs w:val="22"/>
        </w:rPr>
        <w:t>10</w:t>
      </w:r>
      <w:r w:rsidRPr="00701DE3">
        <w:rPr>
          <w:sz w:val="22"/>
          <w:szCs w:val="22"/>
        </w:rPr>
        <w:tab/>
      </w:r>
      <w:r w:rsidRPr="00701DE3">
        <w:rPr>
          <w:b/>
          <w:sz w:val="22"/>
          <w:szCs w:val="22"/>
        </w:rPr>
        <w:t>L</w:t>
      </w:r>
      <w:r w:rsidR="003219F7" w:rsidRPr="00701DE3">
        <w:rPr>
          <w:b/>
          <w:sz w:val="22"/>
          <w:szCs w:val="22"/>
        </w:rPr>
        <w:t>'</w:t>
      </w:r>
      <w:r w:rsidRPr="00701DE3">
        <w:rPr>
          <w:b/>
          <w:sz w:val="22"/>
          <w:szCs w:val="22"/>
        </w:rPr>
        <w:t>inscription est obligatoire pour les deux manifestations</w:t>
      </w:r>
      <w:r w:rsidRPr="00701DE3">
        <w:rPr>
          <w:b/>
          <w:bCs/>
          <w:sz w:val="22"/>
          <w:szCs w:val="22"/>
        </w:rPr>
        <w:t>.</w:t>
      </w:r>
      <w:r w:rsidRPr="00701DE3">
        <w:rPr>
          <w:sz w:val="22"/>
          <w:szCs w:val="22"/>
        </w:rPr>
        <w:t xml:space="preserve"> Elle se fera par un lien d</w:t>
      </w:r>
      <w:r w:rsidR="003219F7" w:rsidRPr="00701DE3">
        <w:rPr>
          <w:sz w:val="22"/>
          <w:szCs w:val="22"/>
        </w:rPr>
        <w:t>'</w:t>
      </w:r>
      <w:r w:rsidRPr="00701DE3">
        <w:rPr>
          <w:sz w:val="22"/>
          <w:szCs w:val="22"/>
        </w:rPr>
        <w:t>inscription unique. Afin de permettre au TSB de prendre les dispositions nécessaires concernant l</w:t>
      </w:r>
      <w:r w:rsidR="003219F7" w:rsidRPr="00701DE3">
        <w:rPr>
          <w:sz w:val="22"/>
          <w:szCs w:val="22"/>
        </w:rPr>
        <w:t>'</w:t>
      </w:r>
      <w:r w:rsidRPr="00701DE3">
        <w:rPr>
          <w:sz w:val="22"/>
          <w:szCs w:val="22"/>
        </w:rPr>
        <w:t>organisation de l</w:t>
      </w:r>
      <w:r w:rsidR="003219F7" w:rsidRPr="00701DE3">
        <w:rPr>
          <w:sz w:val="22"/>
          <w:szCs w:val="22"/>
        </w:rPr>
        <w:t>'</w:t>
      </w:r>
      <w:r w:rsidRPr="00701DE3">
        <w:rPr>
          <w:sz w:val="22"/>
          <w:szCs w:val="22"/>
        </w:rPr>
        <w:t>atelier, je vous saurais gré de bien vouloir vous inscrire dès que possible à l</w:t>
      </w:r>
      <w:r w:rsidR="003219F7" w:rsidRPr="00701DE3">
        <w:rPr>
          <w:sz w:val="22"/>
          <w:szCs w:val="22"/>
        </w:rPr>
        <w:t>'</w:t>
      </w:r>
      <w:r w:rsidRPr="00701DE3">
        <w:rPr>
          <w:sz w:val="22"/>
          <w:szCs w:val="22"/>
        </w:rPr>
        <w:t xml:space="preserve">adresse </w:t>
      </w:r>
      <w:proofErr w:type="gramStart"/>
      <w:r w:rsidRPr="00701DE3">
        <w:rPr>
          <w:sz w:val="22"/>
          <w:szCs w:val="22"/>
        </w:rPr>
        <w:t>suivante:</w:t>
      </w:r>
      <w:proofErr w:type="gramEnd"/>
      <w:r w:rsidRPr="00701DE3">
        <w:rPr>
          <w:sz w:val="22"/>
          <w:szCs w:val="22"/>
        </w:rPr>
        <w:t xml:space="preserve"> </w:t>
      </w:r>
      <w:hyperlink r:id="rId13" w:history="1">
        <w:r w:rsidR="0070424D" w:rsidRPr="00701DE3">
          <w:rPr>
            <w:rStyle w:val="Hyperlink"/>
            <w:bCs/>
            <w:sz w:val="22"/>
            <w:szCs w:val="22"/>
          </w:rPr>
          <w:t>https://www.itu.int/net4/CRM/xreg/web/Login.aspx?src=Registration&amp;Event=C-00014196</w:t>
        </w:r>
      </w:hyperlink>
      <w:r w:rsidRPr="00701DE3">
        <w:rPr>
          <w:sz w:val="22"/>
          <w:szCs w:val="22"/>
        </w:rPr>
        <w:t xml:space="preserve">. </w:t>
      </w:r>
      <w:r w:rsidRPr="00701DE3">
        <w:rPr>
          <w:b/>
          <w:sz w:val="22"/>
          <w:szCs w:val="22"/>
        </w:rPr>
        <w:t>Veuillez noter que l</w:t>
      </w:r>
      <w:r w:rsidR="003219F7" w:rsidRPr="00701DE3">
        <w:rPr>
          <w:b/>
          <w:sz w:val="22"/>
          <w:szCs w:val="22"/>
        </w:rPr>
        <w:t>'</w:t>
      </w:r>
      <w:r w:rsidRPr="00701DE3">
        <w:rPr>
          <w:b/>
          <w:sz w:val="22"/>
          <w:szCs w:val="22"/>
        </w:rPr>
        <w:t>inscription préalable des participants aux ateliers se fait exclusivement en ligne</w:t>
      </w:r>
      <w:r w:rsidRPr="00701DE3">
        <w:rPr>
          <w:b/>
          <w:bCs/>
          <w:sz w:val="22"/>
          <w:szCs w:val="22"/>
        </w:rPr>
        <w:t>.</w:t>
      </w:r>
    </w:p>
    <w:p w14:paraId="7CB1090D" w14:textId="5A2FD1BE" w:rsidR="00307FB4" w:rsidRPr="00701DE3" w:rsidRDefault="00915F62" w:rsidP="004F0742">
      <w:pPr>
        <w:rPr>
          <w:sz w:val="22"/>
          <w:szCs w:val="22"/>
        </w:rPr>
      </w:pPr>
      <w:r w:rsidRPr="00701DE3">
        <w:rPr>
          <w:sz w:val="22"/>
          <w:szCs w:val="22"/>
        </w:rPr>
        <w:t>11</w:t>
      </w:r>
      <w:r w:rsidRPr="00701DE3">
        <w:rPr>
          <w:sz w:val="22"/>
          <w:szCs w:val="22"/>
        </w:rPr>
        <w:tab/>
        <w:t>Je vous rappelle que, pour les ressortissants de certains pays, l</w:t>
      </w:r>
      <w:r w:rsidR="003219F7" w:rsidRPr="00701DE3">
        <w:rPr>
          <w:sz w:val="22"/>
          <w:szCs w:val="22"/>
        </w:rPr>
        <w:t>'</w:t>
      </w:r>
      <w:r w:rsidRPr="00701DE3">
        <w:rPr>
          <w:sz w:val="22"/>
          <w:szCs w:val="22"/>
        </w:rPr>
        <w:t>entrée et le séjour, quelle</w:t>
      </w:r>
      <w:r w:rsidR="00474473" w:rsidRPr="00701DE3">
        <w:rPr>
          <w:sz w:val="22"/>
          <w:szCs w:val="22"/>
        </w:rPr>
        <w:t> </w:t>
      </w:r>
      <w:r w:rsidRPr="00701DE3">
        <w:rPr>
          <w:sz w:val="22"/>
          <w:szCs w:val="22"/>
        </w:rPr>
        <w:t>qu</w:t>
      </w:r>
      <w:r w:rsidR="003219F7" w:rsidRPr="00701DE3">
        <w:rPr>
          <w:sz w:val="22"/>
          <w:szCs w:val="22"/>
        </w:rPr>
        <w:t>'</w:t>
      </w:r>
      <w:r w:rsidRPr="00701DE3">
        <w:rPr>
          <w:sz w:val="22"/>
          <w:szCs w:val="22"/>
        </w:rPr>
        <w:t>en soit la durée, sur le territoire du Canada sont soumis à l</w:t>
      </w:r>
      <w:r w:rsidR="003219F7" w:rsidRPr="00701DE3">
        <w:rPr>
          <w:sz w:val="22"/>
          <w:szCs w:val="22"/>
        </w:rPr>
        <w:t>'</w:t>
      </w:r>
      <w:r w:rsidRPr="00701DE3">
        <w:rPr>
          <w:sz w:val="22"/>
          <w:szCs w:val="22"/>
        </w:rPr>
        <w:t>obtention d</w:t>
      </w:r>
      <w:r w:rsidR="003219F7" w:rsidRPr="00701DE3">
        <w:rPr>
          <w:sz w:val="22"/>
          <w:szCs w:val="22"/>
        </w:rPr>
        <w:t>'</w:t>
      </w:r>
      <w:r w:rsidRPr="00701DE3">
        <w:rPr>
          <w:sz w:val="22"/>
          <w:szCs w:val="22"/>
        </w:rPr>
        <w:t>un visa. Ce visa doit être demandé et obtenu auprès de la représentation du Canada (ambassade ou consulat) dans votre pays ou, à défaut, dans le pays le plus proche de votre pays de départ. Les demandes d</w:t>
      </w:r>
      <w:r w:rsidR="003219F7" w:rsidRPr="00701DE3">
        <w:rPr>
          <w:sz w:val="22"/>
          <w:szCs w:val="22"/>
        </w:rPr>
        <w:t>'</w:t>
      </w:r>
      <w:r w:rsidRPr="00701DE3">
        <w:rPr>
          <w:sz w:val="22"/>
          <w:szCs w:val="22"/>
        </w:rPr>
        <w:t>assistance pour l</w:t>
      </w:r>
      <w:r w:rsidR="003219F7" w:rsidRPr="00701DE3">
        <w:rPr>
          <w:sz w:val="22"/>
          <w:szCs w:val="22"/>
        </w:rPr>
        <w:t>'</w:t>
      </w:r>
      <w:r w:rsidRPr="00701DE3">
        <w:rPr>
          <w:sz w:val="22"/>
          <w:szCs w:val="22"/>
        </w:rPr>
        <w:t>obtention d</w:t>
      </w:r>
      <w:r w:rsidR="003219F7" w:rsidRPr="00701DE3">
        <w:rPr>
          <w:sz w:val="22"/>
          <w:szCs w:val="22"/>
        </w:rPr>
        <w:t>'</w:t>
      </w:r>
      <w:r w:rsidRPr="00701DE3">
        <w:rPr>
          <w:sz w:val="22"/>
          <w:szCs w:val="22"/>
        </w:rPr>
        <w:t>un visa doivent être adressées directement à l</w:t>
      </w:r>
      <w:r w:rsidR="003219F7" w:rsidRPr="00701DE3">
        <w:rPr>
          <w:sz w:val="22"/>
          <w:szCs w:val="22"/>
        </w:rPr>
        <w:t>'</w:t>
      </w:r>
      <w:r w:rsidRPr="00701DE3">
        <w:rPr>
          <w:sz w:val="22"/>
          <w:szCs w:val="22"/>
        </w:rPr>
        <w:t>hôte de l</w:t>
      </w:r>
      <w:r w:rsidR="003219F7" w:rsidRPr="00701DE3">
        <w:rPr>
          <w:sz w:val="22"/>
          <w:szCs w:val="22"/>
        </w:rPr>
        <w:t>'</w:t>
      </w:r>
      <w:r w:rsidRPr="00701DE3">
        <w:rPr>
          <w:sz w:val="22"/>
          <w:szCs w:val="22"/>
        </w:rPr>
        <w:t>atelier. Vous trouverez d</w:t>
      </w:r>
      <w:r w:rsidR="003219F7" w:rsidRPr="00701DE3">
        <w:rPr>
          <w:sz w:val="22"/>
          <w:szCs w:val="22"/>
        </w:rPr>
        <w:t>'</w:t>
      </w:r>
      <w:r w:rsidRPr="00701DE3">
        <w:rPr>
          <w:sz w:val="22"/>
          <w:szCs w:val="22"/>
        </w:rPr>
        <w:t>autres instructions concernant les demandes de visa et d</w:t>
      </w:r>
      <w:r w:rsidR="003219F7" w:rsidRPr="00701DE3">
        <w:rPr>
          <w:sz w:val="22"/>
          <w:szCs w:val="22"/>
        </w:rPr>
        <w:t>'</w:t>
      </w:r>
      <w:r w:rsidRPr="00701DE3">
        <w:rPr>
          <w:sz w:val="22"/>
          <w:szCs w:val="22"/>
        </w:rPr>
        <w:t xml:space="preserve">autres renseignements pratiques connexes sur la </w:t>
      </w:r>
      <w:hyperlink r:id="rId14" w:history="1">
        <w:r w:rsidRPr="00701DE3">
          <w:rPr>
            <w:rStyle w:val="Hyperlink"/>
            <w:bCs/>
            <w:sz w:val="22"/>
            <w:szCs w:val="22"/>
          </w:rPr>
          <w:t>page d</w:t>
        </w:r>
        <w:r w:rsidR="003219F7" w:rsidRPr="00701DE3">
          <w:rPr>
            <w:rStyle w:val="Hyperlink"/>
            <w:bCs/>
            <w:sz w:val="22"/>
            <w:szCs w:val="22"/>
          </w:rPr>
          <w:t>'</w:t>
        </w:r>
        <w:r w:rsidRPr="00701DE3">
          <w:rPr>
            <w:rStyle w:val="Hyperlink"/>
            <w:bCs/>
            <w:sz w:val="22"/>
            <w:szCs w:val="22"/>
          </w:rPr>
          <w:t>accueil de la Commission d</w:t>
        </w:r>
        <w:r w:rsidR="003219F7" w:rsidRPr="00701DE3">
          <w:rPr>
            <w:rStyle w:val="Hyperlink"/>
            <w:bCs/>
            <w:sz w:val="22"/>
            <w:szCs w:val="22"/>
          </w:rPr>
          <w:t>'</w:t>
        </w:r>
        <w:r w:rsidRPr="00701DE3">
          <w:rPr>
            <w:rStyle w:val="Hyperlink"/>
            <w:bCs/>
            <w:sz w:val="22"/>
            <w:szCs w:val="22"/>
          </w:rPr>
          <w:t>études 15 de l</w:t>
        </w:r>
        <w:r w:rsidR="003219F7" w:rsidRPr="00701DE3">
          <w:rPr>
            <w:rStyle w:val="Hyperlink"/>
            <w:bCs/>
            <w:sz w:val="22"/>
            <w:szCs w:val="22"/>
          </w:rPr>
          <w:t>'</w:t>
        </w:r>
        <w:r w:rsidRPr="00701DE3">
          <w:rPr>
            <w:rStyle w:val="Hyperlink"/>
            <w:bCs/>
            <w:sz w:val="22"/>
            <w:szCs w:val="22"/>
          </w:rPr>
          <w:t>UIT-T</w:t>
        </w:r>
      </w:hyperlink>
      <w:r w:rsidRPr="00701DE3">
        <w:rPr>
          <w:sz w:val="22"/>
          <w:szCs w:val="22"/>
        </w:rPr>
        <w:t>.</w:t>
      </w:r>
    </w:p>
    <w:p w14:paraId="2EB53EE5" w14:textId="1556C0C7" w:rsidR="00307FB4" w:rsidRPr="00701DE3" w:rsidRDefault="00307FB4" w:rsidP="004F0742">
      <w:pPr>
        <w:rPr>
          <w:sz w:val="22"/>
          <w:szCs w:val="22"/>
        </w:rPr>
      </w:pPr>
      <w:r w:rsidRPr="00701DE3">
        <w:rPr>
          <w:sz w:val="22"/>
          <w:szCs w:val="22"/>
        </w:rPr>
        <w:t>Veuillez agréer, Madame, Monsieur, l</w:t>
      </w:r>
      <w:r w:rsidR="003219F7" w:rsidRPr="00701DE3">
        <w:rPr>
          <w:sz w:val="22"/>
          <w:szCs w:val="22"/>
        </w:rPr>
        <w:t>'</w:t>
      </w:r>
      <w:r w:rsidRPr="00701DE3">
        <w:rPr>
          <w:sz w:val="22"/>
          <w:szCs w:val="22"/>
        </w:rPr>
        <w:t>assurance de ma considération distinguée.</w:t>
      </w:r>
    </w:p>
    <w:p w14:paraId="405B4F3F" w14:textId="2BCF0413" w:rsidR="00517A03" w:rsidRPr="00701DE3" w:rsidRDefault="00605A6B" w:rsidP="00C05627">
      <w:pPr>
        <w:spacing w:before="840"/>
        <w:rPr>
          <w:bCs/>
          <w:sz w:val="22"/>
          <w:szCs w:val="22"/>
        </w:rPr>
      </w:pPr>
      <w:r>
        <w:rPr>
          <w:bCs/>
          <w:noProof/>
          <w:sz w:val="22"/>
          <w:szCs w:val="22"/>
        </w:rPr>
        <w:drawing>
          <wp:anchor distT="0" distB="0" distL="114300" distR="114300" simplePos="0" relativeHeight="251659264" behindDoc="1" locked="0" layoutInCell="1" allowOverlap="1" wp14:anchorId="3FDC2159" wp14:editId="39944EFF">
            <wp:simplePos x="0" y="0"/>
            <wp:positionH relativeFrom="column">
              <wp:posOffset>635</wp:posOffset>
            </wp:positionH>
            <wp:positionV relativeFrom="paragraph">
              <wp:posOffset>93980</wp:posOffset>
            </wp:positionV>
            <wp:extent cx="571499" cy="428625"/>
            <wp:effectExtent l="0" t="0" r="635" b="0"/>
            <wp:wrapNone/>
            <wp:docPr id="85444893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48932"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307FB4" w:rsidRPr="00701DE3">
        <w:rPr>
          <w:bCs/>
          <w:sz w:val="22"/>
          <w:szCs w:val="22"/>
        </w:rPr>
        <w:t>Seizo Onoe</w:t>
      </w:r>
      <w:r w:rsidR="00B60868" w:rsidRPr="00701DE3">
        <w:rPr>
          <w:bCs/>
          <w:sz w:val="22"/>
          <w:szCs w:val="22"/>
        </w:rPr>
        <w:br/>
      </w:r>
      <w:r w:rsidR="00307FB4" w:rsidRPr="00701DE3">
        <w:rPr>
          <w:bCs/>
          <w:sz w:val="22"/>
          <w:szCs w:val="22"/>
        </w:rPr>
        <w:t>Directeur du Bureau de la normalisation</w:t>
      </w:r>
      <w:r w:rsidR="00B60868" w:rsidRPr="00701DE3">
        <w:rPr>
          <w:bCs/>
          <w:sz w:val="22"/>
          <w:szCs w:val="22"/>
        </w:rPr>
        <w:br/>
      </w:r>
      <w:r w:rsidR="00307FB4" w:rsidRPr="00701DE3">
        <w:rPr>
          <w:bCs/>
          <w:sz w:val="22"/>
          <w:szCs w:val="22"/>
        </w:rPr>
        <w:t>des télécommunications</w:t>
      </w:r>
    </w:p>
    <w:sectPr w:rsidR="00517A03" w:rsidRPr="00701DE3"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E000" w14:textId="77777777" w:rsidR="00F30617" w:rsidRDefault="00F30617">
      <w:r>
        <w:separator/>
      </w:r>
    </w:p>
  </w:endnote>
  <w:endnote w:type="continuationSeparator" w:id="0">
    <w:p w14:paraId="03CF9389" w14:textId="77777777" w:rsidR="00F30617" w:rsidRDefault="00F3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EFE2"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0B3B" w14:textId="77777777" w:rsidR="00F30617" w:rsidRDefault="00F30617">
      <w:r>
        <w:t>____________________</w:t>
      </w:r>
    </w:p>
  </w:footnote>
  <w:footnote w:type="continuationSeparator" w:id="0">
    <w:p w14:paraId="591898FA" w14:textId="77777777" w:rsidR="00F30617" w:rsidRDefault="00F3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1A69" w14:textId="5690099C" w:rsidR="00697BC1" w:rsidRPr="00697BC1" w:rsidRDefault="00605A6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701DE3">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701DE3">
          <w:rPr>
            <w:noProof/>
            <w:sz w:val="18"/>
            <w:szCs w:val="16"/>
          </w:rPr>
          <w:t xml:space="preserve"> -</w:t>
        </w:r>
      </w:sdtContent>
    </w:sdt>
    <w:r w:rsidR="00AF0D7D">
      <w:rPr>
        <w:noProof/>
        <w:sz w:val="18"/>
        <w:szCs w:val="16"/>
      </w:rPr>
      <w:br/>
      <w:t xml:space="preserve">Circulaire TSB </w:t>
    </w:r>
    <w:r w:rsidR="009D3838">
      <w:rPr>
        <w:noProof/>
        <w:sz w:val="18"/>
        <w:szCs w:val="16"/>
      </w:rPr>
      <w:t>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219F7"/>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74473"/>
    <w:rsid w:val="0048088B"/>
    <w:rsid w:val="004977C9"/>
    <w:rsid w:val="004B732E"/>
    <w:rsid w:val="004D51F4"/>
    <w:rsid w:val="004D64E0"/>
    <w:rsid w:val="004F0742"/>
    <w:rsid w:val="005120A2"/>
    <w:rsid w:val="0051210D"/>
    <w:rsid w:val="005136D2"/>
    <w:rsid w:val="00517A03"/>
    <w:rsid w:val="005311AD"/>
    <w:rsid w:val="005A3DD9"/>
    <w:rsid w:val="005B1DFC"/>
    <w:rsid w:val="00601682"/>
    <w:rsid w:val="00603470"/>
    <w:rsid w:val="00605A6B"/>
    <w:rsid w:val="00625E79"/>
    <w:rsid w:val="006333F7"/>
    <w:rsid w:val="006427A1"/>
    <w:rsid w:val="00644741"/>
    <w:rsid w:val="00697BC1"/>
    <w:rsid w:val="006A6FFE"/>
    <w:rsid w:val="006C5A91"/>
    <w:rsid w:val="006F52F7"/>
    <w:rsid w:val="00701DE3"/>
    <w:rsid w:val="0070424D"/>
    <w:rsid w:val="00716BBC"/>
    <w:rsid w:val="00720695"/>
    <w:rsid w:val="007321BC"/>
    <w:rsid w:val="00760063"/>
    <w:rsid w:val="007656E2"/>
    <w:rsid w:val="00775E4B"/>
    <w:rsid w:val="0079553B"/>
    <w:rsid w:val="00795679"/>
    <w:rsid w:val="007A40FE"/>
    <w:rsid w:val="00810105"/>
    <w:rsid w:val="008157E0"/>
    <w:rsid w:val="008415A1"/>
    <w:rsid w:val="00850477"/>
    <w:rsid w:val="00854E1D"/>
    <w:rsid w:val="00887FA6"/>
    <w:rsid w:val="008C4397"/>
    <w:rsid w:val="008C465A"/>
    <w:rsid w:val="008E1264"/>
    <w:rsid w:val="008F2C9B"/>
    <w:rsid w:val="00915F62"/>
    <w:rsid w:val="00923CD6"/>
    <w:rsid w:val="00935AA8"/>
    <w:rsid w:val="00971C9A"/>
    <w:rsid w:val="00986949"/>
    <w:rsid w:val="009D3838"/>
    <w:rsid w:val="009D51FA"/>
    <w:rsid w:val="009E5FBB"/>
    <w:rsid w:val="009F1E23"/>
    <w:rsid w:val="00A15179"/>
    <w:rsid w:val="00A2459E"/>
    <w:rsid w:val="00A51537"/>
    <w:rsid w:val="00A5280F"/>
    <w:rsid w:val="00A52F7C"/>
    <w:rsid w:val="00A5645A"/>
    <w:rsid w:val="00A60FC1"/>
    <w:rsid w:val="00A97C37"/>
    <w:rsid w:val="00AA131B"/>
    <w:rsid w:val="00AC37B5"/>
    <w:rsid w:val="00AD752F"/>
    <w:rsid w:val="00AF08A4"/>
    <w:rsid w:val="00AF0D7D"/>
    <w:rsid w:val="00B27B41"/>
    <w:rsid w:val="00B42659"/>
    <w:rsid w:val="00B46F2D"/>
    <w:rsid w:val="00B5504A"/>
    <w:rsid w:val="00B60868"/>
    <w:rsid w:val="00B8573E"/>
    <w:rsid w:val="00BB24C0"/>
    <w:rsid w:val="00BD6ECF"/>
    <w:rsid w:val="00C05627"/>
    <w:rsid w:val="00C26F2E"/>
    <w:rsid w:val="00C302E3"/>
    <w:rsid w:val="00C41B89"/>
    <w:rsid w:val="00C45376"/>
    <w:rsid w:val="00C4590C"/>
    <w:rsid w:val="00C9028F"/>
    <w:rsid w:val="00CA0416"/>
    <w:rsid w:val="00CB1125"/>
    <w:rsid w:val="00CB4E80"/>
    <w:rsid w:val="00CD042E"/>
    <w:rsid w:val="00CF2560"/>
    <w:rsid w:val="00CF5B46"/>
    <w:rsid w:val="00D46B68"/>
    <w:rsid w:val="00D542A5"/>
    <w:rsid w:val="00DA3A51"/>
    <w:rsid w:val="00DC3D47"/>
    <w:rsid w:val="00DD77DA"/>
    <w:rsid w:val="00E06C61"/>
    <w:rsid w:val="00E13DB3"/>
    <w:rsid w:val="00E2408B"/>
    <w:rsid w:val="00E301FC"/>
    <w:rsid w:val="00E62CEA"/>
    <w:rsid w:val="00E72AE1"/>
    <w:rsid w:val="00EA0538"/>
    <w:rsid w:val="00ED6A7A"/>
    <w:rsid w:val="00EE4C36"/>
    <w:rsid w:val="00EF6A23"/>
    <w:rsid w:val="00F3061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B7E5D"/>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141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0710/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0707/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fr/ITU-T/studygroups/2022-2024/15/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fr/ITU-T/studygroups/2022-2024/15/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37</TotalTime>
  <Pages>2</Pages>
  <Words>1091</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7612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19</cp:revision>
  <cp:lastPrinted>2024-06-19T09:36:00Z</cp:lastPrinted>
  <dcterms:created xsi:type="dcterms:W3CDTF">2024-06-11T11:35:00Z</dcterms:created>
  <dcterms:modified xsi:type="dcterms:W3CDTF">2024-06-19T09:37:00Z</dcterms:modified>
</cp:coreProperties>
</file>