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4111"/>
        <w:gridCol w:w="2410"/>
        <w:gridCol w:w="1984"/>
      </w:tblGrid>
      <w:tr w:rsidR="00344BEA" w14:paraId="7909DDAA" w14:textId="77777777" w:rsidTr="40B7143C">
        <w:trPr>
          <w:cantSplit/>
          <w:trHeight w:val="1557"/>
        </w:trPr>
        <w:tc>
          <w:tcPr>
            <w:tcW w:w="1276" w:type="dxa"/>
            <w:vAlign w:val="center"/>
          </w:tcPr>
          <w:p w14:paraId="23C671F5" w14:textId="77777777" w:rsidR="00344BEA" w:rsidRPr="009A54D9" w:rsidRDefault="00DF1ABB" w:rsidP="00344BEA">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F0E793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A7EAEEF" w14:textId="77777777" w:rsidR="00344BEA" w:rsidRPr="00F50108" w:rsidRDefault="00344BEA" w:rsidP="00344BEA">
            <w:pPr>
              <w:spacing w:before="0"/>
              <w:jc w:val="right"/>
              <w:rPr>
                <w:rFonts w:ascii="Verdana" w:hAnsi="Verdana"/>
                <w:color w:val="FFFFFF"/>
                <w:sz w:val="26"/>
                <w:szCs w:val="26"/>
              </w:rPr>
            </w:pPr>
          </w:p>
        </w:tc>
      </w:tr>
      <w:tr w:rsidR="003D38E3" w:rsidRPr="00BC70C5" w14:paraId="0B1AA68E" w14:textId="77777777" w:rsidTr="40B7143C">
        <w:trPr>
          <w:cantSplit/>
          <w:trHeight w:val="768"/>
        </w:trPr>
        <w:tc>
          <w:tcPr>
            <w:tcW w:w="5387" w:type="dxa"/>
            <w:gridSpan w:val="2"/>
            <w:vAlign w:val="center"/>
          </w:tcPr>
          <w:p w14:paraId="0A89B09B" w14:textId="77777777" w:rsidR="003D38E3" w:rsidRPr="00BC70C5" w:rsidRDefault="003D38E3" w:rsidP="00932E45">
            <w:pPr>
              <w:pStyle w:val="Tabletext"/>
              <w:jc w:val="right"/>
              <w:rPr>
                <w:sz w:val="22"/>
                <w:szCs w:val="22"/>
              </w:rPr>
            </w:pPr>
          </w:p>
        </w:tc>
        <w:tc>
          <w:tcPr>
            <w:tcW w:w="4394" w:type="dxa"/>
            <w:gridSpan w:val="2"/>
            <w:vAlign w:val="center"/>
          </w:tcPr>
          <w:p w14:paraId="5F48E8DF" w14:textId="6BCCA72F" w:rsidR="003D38E3" w:rsidRPr="00BC70C5" w:rsidRDefault="003D38E3" w:rsidP="00BC70C5">
            <w:pPr>
              <w:pStyle w:val="Tabletext"/>
              <w:spacing w:before="120" w:after="0"/>
              <w:rPr>
                <w:sz w:val="22"/>
                <w:szCs w:val="22"/>
              </w:rPr>
            </w:pPr>
            <w:r w:rsidRPr="00BC70C5">
              <w:rPr>
                <w:sz w:val="22"/>
                <w:szCs w:val="22"/>
              </w:rPr>
              <w:t>Geneva,</w:t>
            </w:r>
            <w:r w:rsidR="00D92327" w:rsidRPr="00BC70C5">
              <w:rPr>
                <w:sz w:val="22"/>
                <w:szCs w:val="22"/>
              </w:rPr>
              <w:t xml:space="preserve"> </w:t>
            </w:r>
            <w:r w:rsidR="00140E18">
              <w:rPr>
                <w:sz w:val="22"/>
                <w:szCs w:val="22"/>
              </w:rPr>
              <w:t>10</w:t>
            </w:r>
            <w:r w:rsidR="00A03A7D" w:rsidRPr="00BC70C5">
              <w:rPr>
                <w:sz w:val="22"/>
                <w:szCs w:val="22"/>
              </w:rPr>
              <w:t xml:space="preserve"> </w:t>
            </w:r>
            <w:r w:rsidR="00221C12">
              <w:rPr>
                <w:sz w:val="22"/>
                <w:szCs w:val="22"/>
              </w:rPr>
              <w:t>June</w:t>
            </w:r>
            <w:r w:rsidR="00BD2937" w:rsidRPr="00BC70C5">
              <w:rPr>
                <w:sz w:val="22"/>
                <w:szCs w:val="22"/>
              </w:rPr>
              <w:t xml:space="preserve"> 2024</w:t>
            </w:r>
          </w:p>
        </w:tc>
      </w:tr>
      <w:tr w:rsidR="00932E45" w:rsidRPr="00BC70C5" w14:paraId="24138230" w14:textId="77777777" w:rsidTr="40B7143C">
        <w:trPr>
          <w:cantSplit/>
          <w:trHeight w:val="700"/>
        </w:trPr>
        <w:tc>
          <w:tcPr>
            <w:tcW w:w="1276" w:type="dxa"/>
          </w:tcPr>
          <w:p w14:paraId="18744C83" w14:textId="77777777" w:rsidR="00932E45" w:rsidRPr="00BC70C5" w:rsidRDefault="00932E45" w:rsidP="0088403A">
            <w:pPr>
              <w:pStyle w:val="Tabletext"/>
              <w:rPr>
                <w:rFonts w:ascii="Futura Lt BT" w:hAnsi="Futura Lt BT"/>
                <w:sz w:val="22"/>
                <w:szCs w:val="22"/>
              </w:rPr>
            </w:pPr>
            <w:r w:rsidRPr="00BC70C5">
              <w:rPr>
                <w:sz w:val="22"/>
                <w:szCs w:val="22"/>
              </w:rPr>
              <w:t>Ref:</w:t>
            </w:r>
          </w:p>
        </w:tc>
        <w:tc>
          <w:tcPr>
            <w:tcW w:w="4111" w:type="dxa"/>
          </w:tcPr>
          <w:p w14:paraId="40A7F689" w14:textId="5D0150BD" w:rsidR="00932E45" w:rsidRPr="00BC70C5" w:rsidRDefault="62759047" w:rsidP="2D4A7700">
            <w:pPr>
              <w:pStyle w:val="Tabletext"/>
              <w:rPr>
                <w:b/>
                <w:bCs/>
                <w:sz w:val="22"/>
                <w:szCs w:val="22"/>
              </w:rPr>
            </w:pPr>
            <w:r w:rsidRPr="00BC70C5">
              <w:rPr>
                <w:b/>
                <w:bCs/>
                <w:sz w:val="22"/>
                <w:szCs w:val="22"/>
              </w:rPr>
              <w:t xml:space="preserve">TSB Circular </w:t>
            </w:r>
            <w:r w:rsidR="7666CC05" w:rsidRPr="20C1C0BB">
              <w:rPr>
                <w:b/>
                <w:bCs/>
                <w:sz w:val="22"/>
                <w:szCs w:val="22"/>
              </w:rPr>
              <w:t>212</w:t>
            </w:r>
          </w:p>
          <w:p w14:paraId="06A9C169" w14:textId="77777777" w:rsidR="00932E45" w:rsidRPr="00BC70C5" w:rsidRDefault="002F4914" w:rsidP="00B910C0">
            <w:pPr>
              <w:pStyle w:val="Tabletext"/>
              <w:rPr>
                <w:sz w:val="22"/>
                <w:szCs w:val="22"/>
              </w:rPr>
            </w:pPr>
            <w:r w:rsidRPr="00BC70C5">
              <w:rPr>
                <w:sz w:val="22"/>
                <w:szCs w:val="22"/>
              </w:rPr>
              <w:t xml:space="preserve">TSB </w:t>
            </w:r>
            <w:r w:rsidR="00CA5F8E" w:rsidRPr="00BC70C5">
              <w:rPr>
                <w:sz w:val="22"/>
                <w:szCs w:val="22"/>
              </w:rPr>
              <w:t>Events</w:t>
            </w:r>
            <w:r w:rsidRPr="00BC70C5">
              <w:rPr>
                <w:sz w:val="22"/>
                <w:szCs w:val="22"/>
              </w:rPr>
              <w:t>/</w:t>
            </w:r>
            <w:r w:rsidR="00965E6D" w:rsidRPr="00BC70C5">
              <w:rPr>
                <w:sz w:val="22"/>
                <w:szCs w:val="22"/>
              </w:rPr>
              <w:t>HO</w:t>
            </w:r>
          </w:p>
        </w:tc>
        <w:tc>
          <w:tcPr>
            <w:tcW w:w="4394" w:type="dxa"/>
            <w:gridSpan w:val="2"/>
            <w:vMerge w:val="restart"/>
          </w:tcPr>
          <w:p w14:paraId="396D923E" w14:textId="77777777" w:rsidR="005A3191" w:rsidRPr="00BC70C5" w:rsidRDefault="005A3191" w:rsidP="00222D56">
            <w:pPr>
              <w:pStyle w:val="Tabletext"/>
              <w:ind w:left="283" w:hanging="283"/>
              <w:rPr>
                <w:b/>
                <w:bCs/>
                <w:sz w:val="22"/>
                <w:szCs w:val="22"/>
              </w:rPr>
            </w:pPr>
            <w:bookmarkStart w:id="0" w:name="Addressee_E"/>
            <w:bookmarkEnd w:id="0"/>
            <w:r w:rsidRPr="00BC70C5">
              <w:rPr>
                <w:b/>
                <w:bCs/>
                <w:sz w:val="22"/>
                <w:szCs w:val="22"/>
              </w:rPr>
              <w:t>To:</w:t>
            </w:r>
          </w:p>
          <w:p w14:paraId="3B9017BC" w14:textId="77777777" w:rsidR="00932E45" w:rsidRPr="00BC70C5" w:rsidRDefault="00932E45" w:rsidP="00EB0FD4">
            <w:pPr>
              <w:pStyle w:val="Tabletext"/>
              <w:ind w:left="283" w:hanging="283"/>
              <w:rPr>
                <w:sz w:val="22"/>
                <w:szCs w:val="22"/>
              </w:rPr>
            </w:pPr>
            <w:r w:rsidRPr="00BC70C5">
              <w:rPr>
                <w:sz w:val="22"/>
                <w:szCs w:val="22"/>
              </w:rPr>
              <w:t>-</w:t>
            </w:r>
            <w:r w:rsidRPr="00BC70C5">
              <w:rPr>
                <w:sz w:val="22"/>
                <w:szCs w:val="22"/>
              </w:rPr>
              <w:tab/>
              <w:t xml:space="preserve">Administrations of Member States of the </w:t>
            </w:r>
            <w:proofErr w:type="gramStart"/>
            <w:r w:rsidRPr="00BC70C5">
              <w:rPr>
                <w:sz w:val="22"/>
                <w:szCs w:val="22"/>
              </w:rPr>
              <w:t>Union;</w:t>
            </w:r>
            <w:proofErr w:type="gramEnd"/>
          </w:p>
          <w:p w14:paraId="21EB5E84" w14:textId="77777777" w:rsidR="00932E45" w:rsidRPr="00BC70C5" w:rsidRDefault="00EB0FD4"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r>
            <w:r w:rsidR="00932E45" w:rsidRPr="00BC70C5">
              <w:rPr>
                <w:color w:val="000000"/>
                <w:sz w:val="22"/>
                <w:szCs w:val="22"/>
                <w:lang w:val="fr-CH"/>
              </w:rPr>
              <w:t xml:space="preserve">ITU-T </w:t>
            </w:r>
            <w:proofErr w:type="spellStart"/>
            <w:r w:rsidR="00932E45" w:rsidRPr="00BC70C5">
              <w:rPr>
                <w:color w:val="000000"/>
                <w:sz w:val="22"/>
                <w:szCs w:val="22"/>
                <w:lang w:val="fr-CH"/>
              </w:rPr>
              <w:t>Sector</w:t>
            </w:r>
            <w:proofErr w:type="spellEnd"/>
            <w:r w:rsidR="00932E45" w:rsidRPr="00BC70C5">
              <w:rPr>
                <w:color w:val="000000"/>
                <w:sz w:val="22"/>
                <w:szCs w:val="22"/>
                <w:lang w:val="fr-CH"/>
              </w:rPr>
              <w:t xml:space="preserve"> Members;</w:t>
            </w:r>
          </w:p>
          <w:p w14:paraId="5D95B1E9" w14:textId="77777777" w:rsidR="00932E45" w:rsidRPr="00BC70C5" w:rsidRDefault="00EB0FD4"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r>
            <w:r w:rsidR="00932E45" w:rsidRPr="00BC70C5">
              <w:rPr>
                <w:color w:val="000000"/>
                <w:sz w:val="22"/>
                <w:szCs w:val="22"/>
                <w:lang w:val="fr-CH"/>
              </w:rPr>
              <w:t>ITU-T Associates;</w:t>
            </w:r>
          </w:p>
          <w:p w14:paraId="52D72E2E" w14:textId="048FE15E" w:rsidR="00932E45" w:rsidRPr="00BC70C5" w:rsidRDefault="00EB0FD4" w:rsidP="004D0DCE">
            <w:pPr>
              <w:pStyle w:val="Tabletext"/>
              <w:ind w:left="283" w:hanging="283"/>
              <w:rPr>
                <w:sz w:val="22"/>
                <w:szCs w:val="22"/>
              </w:rPr>
            </w:pPr>
            <w:r w:rsidRPr="00BC70C5">
              <w:rPr>
                <w:color w:val="000000"/>
                <w:sz w:val="22"/>
                <w:szCs w:val="22"/>
              </w:rPr>
              <w:t>-</w:t>
            </w:r>
            <w:r w:rsidRPr="00BC70C5">
              <w:rPr>
                <w:color w:val="000000"/>
                <w:sz w:val="22"/>
                <w:szCs w:val="22"/>
              </w:rPr>
              <w:tab/>
            </w:r>
            <w:r w:rsidR="00932E45" w:rsidRPr="00BC70C5">
              <w:rPr>
                <w:color w:val="000000"/>
                <w:sz w:val="22"/>
                <w:szCs w:val="22"/>
              </w:rPr>
              <w:t>ITU Academia</w:t>
            </w:r>
            <w:r w:rsidR="00EC426B">
              <w:rPr>
                <w:color w:val="000000"/>
                <w:sz w:val="22"/>
                <w:szCs w:val="22"/>
              </w:rPr>
              <w:t>.</w:t>
            </w:r>
          </w:p>
        </w:tc>
      </w:tr>
      <w:tr w:rsidR="00932E45" w:rsidRPr="00BC70C5" w14:paraId="2E944DF8" w14:textId="77777777" w:rsidTr="40B7143C">
        <w:trPr>
          <w:cantSplit/>
          <w:trHeight w:val="289"/>
        </w:trPr>
        <w:tc>
          <w:tcPr>
            <w:tcW w:w="1276" w:type="dxa"/>
          </w:tcPr>
          <w:p w14:paraId="1B763F5C" w14:textId="77777777" w:rsidR="00932E45" w:rsidRPr="00BC70C5" w:rsidRDefault="00932E45" w:rsidP="009B6449">
            <w:pPr>
              <w:pStyle w:val="Tabletext"/>
              <w:rPr>
                <w:sz w:val="22"/>
                <w:szCs w:val="22"/>
              </w:rPr>
            </w:pPr>
            <w:r w:rsidRPr="00BC70C5">
              <w:rPr>
                <w:sz w:val="22"/>
                <w:szCs w:val="22"/>
              </w:rPr>
              <w:t>Contact:</w:t>
            </w:r>
          </w:p>
        </w:tc>
        <w:tc>
          <w:tcPr>
            <w:tcW w:w="4111" w:type="dxa"/>
          </w:tcPr>
          <w:p w14:paraId="226970AF" w14:textId="77777777" w:rsidR="00932E45" w:rsidRPr="00BC70C5" w:rsidRDefault="00965E6D" w:rsidP="009B6449">
            <w:pPr>
              <w:pStyle w:val="Tabletext"/>
              <w:rPr>
                <w:b/>
                <w:sz w:val="22"/>
                <w:szCs w:val="22"/>
              </w:rPr>
            </w:pPr>
            <w:r w:rsidRPr="00BC70C5">
              <w:rPr>
                <w:b/>
                <w:iCs/>
                <w:sz w:val="22"/>
                <w:szCs w:val="22"/>
              </w:rPr>
              <w:t>Hiroshi Ota</w:t>
            </w:r>
          </w:p>
        </w:tc>
        <w:tc>
          <w:tcPr>
            <w:tcW w:w="4394" w:type="dxa"/>
            <w:gridSpan w:val="2"/>
            <w:vMerge/>
          </w:tcPr>
          <w:p w14:paraId="4214AF42" w14:textId="77777777" w:rsidR="00932E45" w:rsidRPr="00BC70C5" w:rsidRDefault="00932E45" w:rsidP="00932E45">
            <w:pPr>
              <w:pStyle w:val="Tabletext"/>
              <w:ind w:left="142" w:hanging="142"/>
              <w:rPr>
                <w:sz w:val="22"/>
                <w:szCs w:val="22"/>
              </w:rPr>
            </w:pPr>
          </w:p>
        </w:tc>
      </w:tr>
      <w:tr w:rsidR="00932E45" w:rsidRPr="00BC70C5" w14:paraId="72AE684D" w14:textId="77777777" w:rsidTr="40B7143C">
        <w:trPr>
          <w:cantSplit/>
          <w:trHeight w:val="221"/>
        </w:trPr>
        <w:tc>
          <w:tcPr>
            <w:tcW w:w="1276" w:type="dxa"/>
          </w:tcPr>
          <w:p w14:paraId="0A7FF884" w14:textId="77777777" w:rsidR="00932E45" w:rsidRPr="00BC70C5" w:rsidRDefault="00932E45" w:rsidP="009B6449">
            <w:pPr>
              <w:pStyle w:val="Tabletext"/>
              <w:rPr>
                <w:sz w:val="22"/>
                <w:szCs w:val="22"/>
              </w:rPr>
            </w:pPr>
            <w:r w:rsidRPr="00BC70C5">
              <w:rPr>
                <w:sz w:val="22"/>
                <w:szCs w:val="22"/>
              </w:rPr>
              <w:t>Tel:</w:t>
            </w:r>
          </w:p>
        </w:tc>
        <w:tc>
          <w:tcPr>
            <w:tcW w:w="4111" w:type="dxa"/>
          </w:tcPr>
          <w:p w14:paraId="6A6D9620" w14:textId="77777777" w:rsidR="00932E45" w:rsidRPr="00BC70C5" w:rsidRDefault="00932E45" w:rsidP="00B910C0">
            <w:pPr>
              <w:pStyle w:val="Tabletext"/>
              <w:rPr>
                <w:b/>
                <w:sz w:val="22"/>
                <w:szCs w:val="22"/>
              </w:rPr>
            </w:pPr>
            <w:r w:rsidRPr="00BC70C5">
              <w:rPr>
                <w:sz w:val="22"/>
                <w:szCs w:val="22"/>
              </w:rPr>
              <w:t>+41 22 730</w:t>
            </w:r>
            <w:r w:rsidR="0024314F" w:rsidRPr="00BC70C5">
              <w:rPr>
                <w:sz w:val="22"/>
                <w:szCs w:val="22"/>
              </w:rPr>
              <w:t xml:space="preserve"> </w:t>
            </w:r>
            <w:r w:rsidR="00965E6D" w:rsidRPr="00BC70C5">
              <w:rPr>
                <w:sz w:val="22"/>
                <w:szCs w:val="22"/>
              </w:rPr>
              <w:t>6356</w:t>
            </w:r>
          </w:p>
        </w:tc>
        <w:tc>
          <w:tcPr>
            <w:tcW w:w="4394" w:type="dxa"/>
            <w:gridSpan w:val="2"/>
            <w:vMerge/>
          </w:tcPr>
          <w:p w14:paraId="09252FFB" w14:textId="77777777" w:rsidR="00932E45" w:rsidRPr="00BC70C5" w:rsidRDefault="00932E45" w:rsidP="00932E45">
            <w:pPr>
              <w:pStyle w:val="Tabletext"/>
              <w:ind w:left="142" w:hanging="142"/>
              <w:rPr>
                <w:sz w:val="22"/>
                <w:szCs w:val="22"/>
              </w:rPr>
            </w:pPr>
          </w:p>
        </w:tc>
      </w:tr>
      <w:tr w:rsidR="00932E45" w:rsidRPr="00BC70C5" w14:paraId="2760D3B3" w14:textId="77777777" w:rsidTr="40B7143C">
        <w:trPr>
          <w:cantSplit/>
          <w:trHeight w:val="282"/>
        </w:trPr>
        <w:tc>
          <w:tcPr>
            <w:tcW w:w="1276" w:type="dxa"/>
          </w:tcPr>
          <w:p w14:paraId="27E4540D" w14:textId="77777777" w:rsidR="00932E45" w:rsidRPr="00BC70C5" w:rsidRDefault="00932E45" w:rsidP="009B6449">
            <w:pPr>
              <w:pStyle w:val="Tabletext"/>
              <w:rPr>
                <w:sz w:val="22"/>
                <w:szCs w:val="22"/>
              </w:rPr>
            </w:pPr>
            <w:r w:rsidRPr="00BC70C5">
              <w:rPr>
                <w:sz w:val="22"/>
                <w:szCs w:val="22"/>
              </w:rPr>
              <w:t>Fax:</w:t>
            </w:r>
          </w:p>
        </w:tc>
        <w:tc>
          <w:tcPr>
            <w:tcW w:w="4111" w:type="dxa"/>
          </w:tcPr>
          <w:p w14:paraId="7D7936C8" w14:textId="77777777" w:rsidR="00932E45" w:rsidRPr="00BC70C5" w:rsidRDefault="00932E45" w:rsidP="009B6449">
            <w:pPr>
              <w:pStyle w:val="Tabletext"/>
              <w:rPr>
                <w:b/>
                <w:sz w:val="22"/>
                <w:szCs w:val="22"/>
              </w:rPr>
            </w:pPr>
            <w:r w:rsidRPr="00BC70C5">
              <w:rPr>
                <w:sz w:val="22"/>
                <w:szCs w:val="22"/>
              </w:rPr>
              <w:t>+41 22 730 5853</w:t>
            </w:r>
          </w:p>
        </w:tc>
        <w:tc>
          <w:tcPr>
            <w:tcW w:w="4394" w:type="dxa"/>
            <w:gridSpan w:val="2"/>
            <w:vMerge/>
          </w:tcPr>
          <w:p w14:paraId="2E37A279" w14:textId="77777777" w:rsidR="00932E45" w:rsidRPr="00BC70C5" w:rsidRDefault="00932E45" w:rsidP="00932E45">
            <w:pPr>
              <w:pStyle w:val="Tabletext"/>
              <w:ind w:left="142" w:hanging="142"/>
              <w:rPr>
                <w:sz w:val="22"/>
                <w:szCs w:val="22"/>
              </w:rPr>
            </w:pPr>
          </w:p>
        </w:tc>
      </w:tr>
      <w:tr w:rsidR="00870336" w:rsidRPr="00BC70C5" w14:paraId="5324C14B" w14:textId="77777777" w:rsidTr="40B7143C">
        <w:trPr>
          <w:cantSplit/>
          <w:trHeight w:val="1381"/>
        </w:trPr>
        <w:tc>
          <w:tcPr>
            <w:tcW w:w="1276" w:type="dxa"/>
          </w:tcPr>
          <w:p w14:paraId="48A64867" w14:textId="77777777" w:rsidR="0087300D" w:rsidRPr="00BC70C5" w:rsidRDefault="0087300D" w:rsidP="009B6449">
            <w:pPr>
              <w:pStyle w:val="Tabletext"/>
              <w:rPr>
                <w:sz w:val="22"/>
                <w:szCs w:val="22"/>
              </w:rPr>
            </w:pPr>
            <w:r w:rsidRPr="00BC70C5">
              <w:rPr>
                <w:sz w:val="22"/>
                <w:szCs w:val="22"/>
              </w:rPr>
              <w:t>E-mail:</w:t>
            </w:r>
          </w:p>
        </w:tc>
        <w:tc>
          <w:tcPr>
            <w:tcW w:w="4111" w:type="dxa"/>
          </w:tcPr>
          <w:p w14:paraId="2E34711C" w14:textId="325CD286" w:rsidR="0087300D" w:rsidRPr="00BC70C5" w:rsidRDefault="001D5C39" w:rsidP="001D1C12">
            <w:pPr>
              <w:pStyle w:val="Tabletext"/>
              <w:rPr>
                <w:sz w:val="22"/>
                <w:szCs w:val="22"/>
              </w:rPr>
            </w:pPr>
            <w:hyperlink r:id="rId12" w:history="1">
              <w:r w:rsidR="003824B7" w:rsidRPr="00BC70C5">
                <w:rPr>
                  <w:rStyle w:val="Hyperlink"/>
                  <w:sz w:val="22"/>
                  <w:szCs w:val="22"/>
                </w:rPr>
                <w:t>tsbevents@itu.int</w:t>
              </w:r>
            </w:hyperlink>
          </w:p>
        </w:tc>
        <w:tc>
          <w:tcPr>
            <w:tcW w:w="4394" w:type="dxa"/>
            <w:gridSpan w:val="2"/>
          </w:tcPr>
          <w:p w14:paraId="2CE402E9" w14:textId="77777777" w:rsidR="0087300D" w:rsidRPr="00BC70C5" w:rsidRDefault="0087300D" w:rsidP="009B6449">
            <w:pPr>
              <w:pStyle w:val="Tabletext"/>
              <w:rPr>
                <w:b/>
                <w:sz w:val="22"/>
                <w:szCs w:val="22"/>
              </w:rPr>
            </w:pPr>
            <w:r w:rsidRPr="00BC70C5">
              <w:rPr>
                <w:b/>
                <w:sz w:val="22"/>
                <w:szCs w:val="22"/>
              </w:rPr>
              <w:t>Copy</w:t>
            </w:r>
            <w:r w:rsidR="0038107A" w:rsidRPr="00BC70C5">
              <w:rPr>
                <w:b/>
                <w:sz w:val="22"/>
                <w:szCs w:val="22"/>
              </w:rPr>
              <w:t xml:space="preserve"> to</w:t>
            </w:r>
            <w:r w:rsidRPr="00BC70C5">
              <w:rPr>
                <w:b/>
                <w:sz w:val="22"/>
                <w:szCs w:val="22"/>
              </w:rPr>
              <w:t>:</w:t>
            </w:r>
          </w:p>
          <w:p w14:paraId="42505FEA" w14:textId="016B0C1F" w:rsidR="00932E45" w:rsidRPr="00BC70C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00932E45" w:rsidRPr="00BC70C5">
              <w:rPr>
                <w:sz w:val="22"/>
                <w:szCs w:val="22"/>
              </w:rPr>
              <w:tab/>
            </w:r>
            <w:r w:rsidR="00EB0FD4" w:rsidRPr="00BC70C5">
              <w:rPr>
                <w:sz w:val="22"/>
                <w:szCs w:val="22"/>
              </w:rPr>
              <w:t>T</w:t>
            </w:r>
            <w:r w:rsidR="00122D83" w:rsidRPr="00BC70C5">
              <w:rPr>
                <w:sz w:val="22"/>
                <w:szCs w:val="22"/>
              </w:rPr>
              <w:t>he Chair</w:t>
            </w:r>
            <w:r w:rsidR="00A03A7D" w:rsidRPr="00BC70C5">
              <w:rPr>
                <w:sz w:val="22"/>
                <w:szCs w:val="22"/>
              </w:rPr>
              <w:t xml:space="preserve">s </w:t>
            </w:r>
            <w:r w:rsidRPr="00BC70C5">
              <w:rPr>
                <w:sz w:val="22"/>
                <w:szCs w:val="22"/>
              </w:rPr>
              <w:t>and Vice-Chair</w:t>
            </w:r>
            <w:r w:rsidR="00A03A7D" w:rsidRPr="00BC70C5">
              <w:rPr>
                <w:sz w:val="22"/>
                <w:szCs w:val="22"/>
              </w:rPr>
              <w:t>s</w:t>
            </w:r>
            <w:r w:rsidRPr="00BC70C5">
              <w:rPr>
                <w:sz w:val="22"/>
                <w:szCs w:val="22"/>
              </w:rPr>
              <w:t xml:space="preserve"> of ITU-T Study </w:t>
            </w:r>
            <w:proofErr w:type="gramStart"/>
            <w:r w:rsidRPr="00BC70C5">
              <w:rPr>
                <w:sz w:val="22"/>
                <w:szCs w:val="22"/>
              </w:rPr>
              <w:t>Groups;</w:t>
            </w:r>
            <w:proofErr w:type="gramEnd"/>
          </w:p>
          <w:p w14:paraId="207C617C" w14:textId="77777777" w:rsidR="00932E45" w:rsidRPr="00BC70C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00932E45" w:rsidRPr="00BC70C5">
              <w:rPr>
                <w:sz w:val="22"/>
                <w:szCs w:val="22"/>
              </w:rPr>
              <w:tab/>
            </w:r>
            <w:r w:rsidR="00EB0FD4" w:rsidRPr="00BC70C5">
              <w:rPr>
                <w:sz w:val="22"/>
                <w:szCs w:val="22"/>
              </w:rPr>
              <w:t>T</w:t>
            </w:r>
            <w:r w:rsidRPr="00BC70C5">
              <w:rPr>
                <w:sz w:val="22"/>
                <w:szCs w:val="22"/>
              </w:rPr>
              <w:t xml:space="preserve">he Director of the Telecommunication Development </w:t>
            </w:r>
            <w:proofErr w:type="gramStart"/>
            <w:r w:rsidRPr="00BC70C5">
              <w:rPr>
                <w:sz w:val="22"/>
                <w:szCs w:val="22"/>
              </w:rPr>
              <w:t>Bureau;</w:t>
            </w:r>
            <w:proofErr w:type="gramEnd"/>
          </w:p>
          <w:p w14:paraId="772D2CBC" w14:textId="1EC58A39"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00932E45" w:rsidRPr="00BC70C5">
              <w:rPr>
                <w:sz w:val="22"/>
                <w:szCs w:val="22"/>
              </w:rPr>
              <w:tab/>
            </w:r>
            <w:r w:rsidR="00EB0FD4" w:rsidRPr="00BC70C5">
              <w:rPr>
                <w:sz w:val="22"/>
                <w:szCs w:val="22"/>
              </w:rPr>
              <w:t>T</w:t>
            </w:r>
            <w:r w:rsidRPr="00BC70C5">
              <w:rPr>
                <w:sz w:val="22"/>
                <w:szCs w:val="22"/>
              </w:rPr>
              <w:t>he Director of the Radiocommunication Bureau</w:t>
            </w:r>
            <w:r w:rsidR="00EC426B">
              <w:rPr>
                <w:sz w:val="22"/>
                <w:szCs w:val="22"/>
              </w:rPr>
              <w:t>.</w:t>
            </w:r>
          </w:p>
          <w:p w14:paraId="5EB4A4D7" w14:textId="77777777" w:rsidR="00EC426B" w:rsidRPr="00BC70C5" w:rsidRDefault="00EC426B"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p>
        </w:tc>
      </w:tr>
      <w:tr w:rsidR="00222D56" w:rsidRPr="00BC70C5" w14:paraId="69CDE356" w14:textId="77777777" w:rsidTr="40B7143C">
        <w:trPr>
          <w:cantSplit/>
          <w:trHeight w:val="889"/>
        </w:trPr>
        <w:tc>
          <w:tcPr>
            <w:tcW w:w="1276" w:type="dxa"/>
          </w:tcPr>
          <w:p w14:paraId="44183762" w14:textId="77777777" w:rsidR="00222D56" w:rsidRPr="00BC70C5" w:rsidRDefault="00222D56" w:rsidP="00AE04B7">
            <w:pPr>
              <w:pStyle w:val="Tabletext"/>
              <w:spacing w:before="120" w:after="120"/>
              <w:rPr>
                <w:sz w:val="22"/>
                <w:szCs w:val="22"/>
              </w:rPr>
            </w:pPr>
            <w:r w:rsidRPr="00BC70C5">
              <w:rPr>
                <w:b/>
                <w:bCs/>
                <w:sz w:val="22"/>
                <w:szCs w:val="22"/>
              </w:rPr>
              <w:t>Subject</w:t>
            </w:r>
            <w:r w:rsidRPr="00BC70C5">
              <w:rPr>
                <w:sz w:val="22"/>
                <w:szCs w:val="22"/>
              </w:rPr>
              <w:t>:</w:t>
            </w:r>
            <w:r w:rsidR="00D725FA" w:rsidRPr="00BC70C5">
              <w:rPr>
                <w:sz w:val="22"/>
                <w:szCs w:val="22"/>
              </w:rPr>
              <w:t xml:space="preserve"> </w:t>
            </w:r>
          </w:p>
        </w:tc>
        <w:tc>
          <w:tcPr>
            <w:tcW w:w="8505" w:type="dxa"/>
            <w:gridSpan w:val="3"/>
          </w:tcPr>
          <w:p w14:paraId="545741CE" w14:textId="1D03A2A4" w:rsidR="00BD2937" w:rsidRDefault="40011CD5" w:rsidP="00BC70C5">
            <w:pPr>
              <w:pStyle w:val="Tabletext"/>
              <w:spacing w:before="120" w:after="120"/>
              <w:rPr>
                <w:b/>
                <w:bCs/>
                <w:sz w:val="22"/>
                <w:szCs w:val="22"/>
              </w:rPr>
            </w:pPr>
            <w:r w:rsidRPr="003A7073">
              <w:rPr>
                <w:b/>
                <w:bCs/>
                <w:sz w:val="22"/>
                <w:szCs w:val="22"/>
              </w:rPr>
              <w:t xml:space="preserve">ITU </w:t>
            </w:r>
            <w:r w:rsidR="00221C12" w:rsidRPr="003A7073">
              <w:rPr>
                <w:b/>
                <w:bCs/>
                <w:sz w:val="22"/>
                <w:szCs w:val="22"/>
              </w:rPr>
              <w:t xml:space="preserve">Workshop on </w:t>
            </w:r>
            <w:r w:rsidR="42F5928B" w:rsidRPr="003A7073">
              <w:rPr>
                <w:b/>
                <w:bCs/>
                <w:sz w:val="22"/>
                <w:szCs w:val="22"/>
              </w:rPr>
              <w:t>“</w:t>
            </w:r>
            <w:r w:rsidR="006A5433">
              <w:rPr>
                <w:b/>
                <w:bCs/>
                <w:sz w:val="22"/>
                <w:szCs w:val="22"/>
              </w:rPr>
              <w:t>T</w:t>
            </w:r>
            <w:r w:rsidR="00221C12" w:rsidRPr="003A7073">
              <w:rPr>
                <w:b/>
                <w:bCs/>
                <w:sz w:val="22"/>
                <w:szCs w:val="22"/>
              </w:rPr>
              <w:t xml:space="preserve">he </w:t>
            </w:r>
            <w:r w:rsidR="00B5276A" w:rsidRPr="003A7073">
              <w:rPr>
                <w:b/>
                <w:bCs/>
                <w:sz w:val="22"/>
                <w:szCs w:val="22"/>
              </w:rPr>
              <w:t>E</w:t>
            </w:r>
            <w:r w:rsidR="00221C12" w:rsidRPr="003A7073">
              <w:rPr>
                <w:b/>
                <w:bCs/>
                <w:sz w:val="22"/>
                <w:szCs w:val="22"/>
              </w:rPr>
              <w:t xml:space="preserve">volution of </w:t>
            </w:r>
            <w:r w:rsidR="00E84380">
              <w:rPr>
                <w:b/>
                <w:bCs/>
                <w:sz w:val="22"/>
                <w:szCs w:val="22"/>
              </w:rPr>
              <w:t>T</w:t>
            </w:r>
            <w:r w:rsidR="00221C12" w:rsidRPr="003A7073">
              <w:rPr>
                <w:b/>
                <w:bCs/>
                <w:sz w:val="22"/>
                <w:szCs w:val="22"/>
              </w:rPr>
              <w:t xml:space="preserve">ransport and </w:t>
            </w:r>
            <w:r w:rsidR="00B5276A" w:rsidRPr="003A7073">
              <w:rPr>
                <w:b/>
                <w:bCs/>
                <w:sz w:val="22"/>
                <w:szCs w:val="22"/>
              </w:rPr>
              <w:t>A</w:t>
            </w:r>
            <w:r w:rsidR="00221C12" w:rsidRPr="003A7073">
              <w:rPr>
                <w:b/>
                <w:bCs/>
                <w:sz w:val="22"/>
                <w:szCs w:val="22"/>
              </w:rPr>
              <w:t xml:space="preserve">ccess </w:t>
            </w:r>
            <w:r w:rsidR="00B5276A" w:rsidRPr="003A7073">
              <w:rPr>
                <w:b/>
                <w:bCs/>
                <w:sz w:val="22"/>
                <w:szCs w:val="22"/>
              </w:rPr>
              <w:t>N</w:t>
            </w:r>
            <w:r w:rsidR="00221C12" w:rsidRPr="003A7073">
              <w:rPr>
                <w:b/>
                <w:bCs/>
                <w:sz w:val="22"/>
                <w:szCs w:val="22"/>
              </w:rPr>
              <w:t xml:space="preserve">etworks to </w:t>
            </w:r>
            <w:r w:rsidR="00B5276A" w:rsidRPr="003A7073">
              <w:rPr>
                <w:b/>
                <w:bCs/>
                <w:sz w:val="22"/>
                <w:szCs w:val="22"/>
              </w:rPr>
              <w:t>S</w:t>
            </w:r>
            <w:r w:rsidR="00221C12" w:rsidRPr="003A7073">
              <w:rPr>
                <w:b/>
                <w:bCs/>
                <w:sz w:val="22"/>
                <w:szCs w:val="22"/>
              </w:rPr>
              <w:t>upport IMT 2030/6G</w:t>
            </w:r>
            <w:r w:rsidR="00221C12" w:rsidRPr="003A7073">
              <w:rPr>
                <w:b/>
                <w:bCs/>
              </w:rPr>
              <w:br/>
            </w:r>
            <w:r w:rsidR="1520EC74" w:rsidRPr="003A7073">
              <w:rPr>
                <w:b/>
                <w:bCs/>
                <w:sz w:val="22"/>
                <w:szCs w:val="22"/>
                <w:lang w:val="en-US"/>
              </w:rPr>
              <w:t>(</w:t>
            </w:r>
            <w:r w:rsidR="00221C12" w:rsidRPr="003A7073">
              <w:rPr>
                <w:b/>
                <w:bCs/>
                <w:sz w:val="22"/>
                <w:szCs w:val="22"/>
                <w:lang w:val="en-US"/>
              </w:rPr>
              <w:t>7</w:t>
            </w:r>
            <w:r w:rsidR="00965E6D" w:rsidRPr="003A7073">
              <w:rPr>
                <w:b/>
                <w:bCs/>
                <w:sz w:val="22"/>
                <w:szCs w:val="22"/>
                <w:lang w:val="en-US"/>
              </w:rPr>
              <w:t xml:space="preserve"> Ju</w:t>
            </w:r>
            <w:r w:rsidR="00BD2937" w:rsidRPr="003A7073">
              <w:rPr>
                <w:b/>
                <w:bCs/>
                <w:sz w:val="22"/>
                <w:szCs w:val="22"/>
                <w:lang w:val="en-US"/>
              </w:rPr>
              <w:t>ly</w:t>
            </w:r>
            <w:r w:rsidR="003C58BF" w:rsidRPr="003A7073">
              <w:rPr>
                <w:b/>
                <w:bCs/>
                <w:sz w:val="22"/>
                <w:szCs w:val="22"/>
                <w:lang w:val="en-US"/>
              </w:rPr>
              <w:t xml:space="preserve"> 202</w:t>
            </w:r>
            <w:r w:rsidR="00BD2937" w:rsidRPr="003A7073">
              <w:rPr>
                <w:b/>
                <w:bCs/>
                <w:sz w:val="22"/>
                <w:szCs w:val="22"/>
                <w:lang w:val="en-US"/>
              </w:rPr>
              <w:t>4</w:t>
            </w:r>
            <w:r w:rsidR="00FB3DA4" w:rsidRPr="003A7073">
              <w:rPr>
                <w:b/>
                <w:bCs/>
                <w:sz w:val="22"/>
                <w:szCs w:val="22"/>
                <w:lang w:val="en-US"/>
              </w:rPr>
              <w:t>)</w:t>
            </w:r>
            <w:r w:rsidR="00EC426B">
              <w:rPr>
                <w:b/>
                <w:bCs/>
                <w:sz w:val="22"/>
                <w:szCs w:val="22"/>
                <w:lang w:val="en-US"/>
              </w:rPr>
              <w:t>,</w:t>
            </w:r>
            <w:r w:rsidR="434514F1" w:rsidRPr="003A7073">
              <w:rPr>
                <w:b/>
                <w:bCs/>
                <w:sz w:val="22"/>
                <w:szCs w:val="22"/>
                <w:lang w:val="en-US"/>
              </w:rPr>
              <w:t xml:space="preserve"> &amp;</w:t>
            </w:r>
            <w:r w:rsidR="00EC426B">
              <w:rPr>
                <w:b/>
                <w:bCs/>
                <w:sz w:val="22"/>
                <w:szCs w:val="22"/>
                <w:lang w:val="en-US"/>
              </w:rPr>
              <w:t xml:space="preserve"> the</w:t>
            </w:r>
            <w:r w:rsidR="434514F1" w:rsidRPr="003A7073">
              <w:rPr>
                <w:b/>
                <w:bCs/>
                <w:sz w:val="22"/>
                <w:szCs w:val="22"/>
                <w:lang w:val="en-US"/>
              </w:rPr>
              <w:t xml:space="preserve"> </w:t>
            </w:r>
            <w:r w:rsidR="00B5276A" w:rsidRPr="003A7073">
              <w:rPr>
                <w:b/>
                <w:bCs/>
                <w:sz w:val="22"/>
                <w:szCs w:val="22"/>
              </w:rPr>
              <w:t xml:space="preserve">Fourth Joint ETSI ISG F5G, BBF, CCSA TC6 and ITU-T SG15 Workshop on "FTTR" (Fibre to the room), </w:t>
            </w:r>
            <w:r w:rsidR="006A5433" w:rsidRPr="003A7073">
              <w:rPr>
                <w:b/>
                <w:bCs/>
                <w:sz w:val="22"/>
                <w:szCs w:val="22"/>
              </w:rPr>
              <w:t>(10</w:t>
            </w:r>
            <w:r w:rsidR="00B5276A" w:rsidRPr="003A7073">
              <w:rPr>
                <w:b/>
                <w:bCs/>
                <w:sz w:val="22"/>
                <w:szCs w:val="22"/>
              </w:rPr>
              <w:t xml:space="preserve"> July 2024)</w:t>
            </w:r>
            <w:r w:rsidR="00E84380">
              <w:rPr>
                <w:b/>
                <w:bCs/>
                <w:sz w:val="22"/>
                <w:szCs w:val="22"/>
              </w:rPr>
              <w:t xml:space="preserve"> </w:t>
            </w:r>
            <w:r w:rsidR="00B5276A" w:rsidRPr="003A7073">
              <w:rPr>
                <w:b/>
                <w:bCs/>
                <w:sz w:val="22"/>
                <w:szCs w:val="22"/>
              </w:rPr>
              <w:t>Montreal, Cana</w:t>
            </w:r>
            <w:r w:rsidR="003A7073" w:rsidRPr="003A7073">
              <w:rPr>
                <w:b/>
                <w:bCs/>
                <w:sz w:val="22"/>
                <w:szCs w:val="22"/>
              </w:rPr>
              <w:t>da</w:t>
            </w:r>
          </w:p>
          <w:p w14:paraId="70117BF9" w14:textId="6CAA80A8" w:rsidR="00EC426B" w:rsidRPr="003A7073" w:rsidRDefault="00EC426B" w:rsidP="00BC70C5">
            <w:pPr>
              <w:pStyle w:val="Tabletext"/>
              <w:spacing w:before="120" w:after="120"/>
              <w:rPr>
                <w:b/>
                <w:bCs/>
                <w:sz w:val="22"/>
                <w:szCs w:val="22"/>
                <w:lang w:val="en-US"/>
              </w:rPr>
            </w:pPr>
          </w:p>
        </w:tc>
      </w:tr>
      <w:tr w:rsidR="00EC426B" w:rsidRPr="00BC70C5" w14:paraId="1CD82520" w14:textId="77777777" w:rsidTr="006B0DD2">
        <w:trPr>
          <w:cantSplit/>
          <w:trHeight w:val="889"/>
        </w:trPr>
        <w:tc>
          <w:tcPr>
            <w:tcW w:w="9781" w:type="dxa"/>
            <w:gridSpan w:val="4"/>
          </w:tcPr>
          <w:p w14:paraId="0112FA7D" w14:textId="77777777" w:rsidR="00EC426B" w:rsidRPr="00BC70C5" w:rsidRDefault="00EC426B" w:rsidP="00EC426B">
            <w:pPr>
              <w:pStyle w:val="Normalaftertitle0"/>
              <w:spacing w:before="0" w:after="120"/>
              <w:rPr>
                <w:sz w:val="22"/>
                <w:szCs w:val="22"/>
              </w:rPr>
            </w:pPr>
            <w:r w:rsidRPr="00BC70C5">
              <w:rPr>
                <w:sz w:val="22"/>
                <w:szCs w:val="22"/>
              </w:rPr>
              <w:t>Dear Sir/Madam,</w:t>
            </w:r>
          </w:p>
          <w:p w14:paraId="5020398B" w14:textId="49F1E665" w:rsidR="00EC426B" w:rsidRDefault="00EC426B" w:rsidP="00EC426B">
            <w:pPr>
              <w:tabs>
                <w:tab w:val="clear" w:pos="1134"/>
                <w:tab w:val="left" w:pos="900"/>
              </w:tabs>
              <w:spacing w:before="0" w:after="120"/>
              <w:rPr>
                <w:rStyle w:val="normaltextrun"/>
                <w:rFonts w:ascii="Calibri" w:hAnsi="Calibri" w:cs="Calibri"/>
                <w:color w:val="000000"/>
                <w:sz w:val="22"/>
                <w:szCs w:val="22"/>
                <w:shd w:val="clear" w:color="auto" w:fill="FFFFFF"/>
                <w:lang w:eastAsia="ja-JP"/>
              </w:rPr>
            </w:pPr>
            <w:bookmarkStart w:id="1" w:name="suitetext"/>
            <w:bookmarkStart w:id="2" w:name="text"/>
            <w:bookmarkEnd w:id="1"/>
            <w:bookmarkEnd w:id="2"/>
            <w:r w:rsidRPr="00BC70C5">
              <w:rPr>
                <w:sz w:val="22"/>
                <w:szCs w:val="22"/>
              </w:rPr>
              <w:t>1</w:t>
            </w:r>
            <w:r>
              <w:rPr>
                <w:sz w:val="22"/>
                <w:szCs w:val="22"/>
              </w:rPr>
              <w:t>.</w:t>
            </w:r>
            <w:r w:rsidRPr="00BC70C5">
              <w:rPr>
                <w:sz w:val="22"/>
                <w:szCs w:val="22"/>
              </w:rPr>
              <w:tab/>
            </w:r>
            <w:r w:rsidRPr="40B7143C">
              <w:rPr>
                <w:rStyle w:val="normaltextrun"/>
                <w:rFonts w:ascii="Calibri" w:eastAsiaTheme="majorEastAsia" w:hAnsi="Calibri" w:cs="Calibri"/>
                <w:color w:val="000000"/>
                <w:sz w:val="22"/>
                <w:szCs w:val="22"/>
                <w:bdr w:val="none" w:sz="0" w:space="0" w:color="auto" w:frame="1"/>
              </w:rPr>
              <w:t xml:space="preserve">I am pleased to inform you that </w:t>
            </w:r>
            <w:r>
              <w:rPr>
                <w:rStyle w:val="normaltextrun"/>
                <w:rFonts w:ascii="Calibri" w:eastAsiaTheme="majorEastAsia" w:hAnsi="Calibri" w:cs="Calibri"/>
                <w:color w:val="000000"/>
                <w:sz w:val="22"/>
                <w:szCs w:val="22"/>
                <w:shd w:val="clear" w:color="auto" w:fill="FFFFFF"/>
              </w:rPr>
              <w:t>t</w:t>
            </w:r>
            <w:r w:rsidRPr="40B7143C">
              <w:rPr>
                <w:rStyle w:val="normaltextrun"/>
                <w:rFonts w:ascii="Calibri" w:eastAsiaTheme="majorEastAsia" w:hAnsi="Calibri" w:cs="Calibri"/>
                <w:color w:val="000000"/>
                <w:sz w:val="22"/>
                <w:szCs w:val="22"/>
                <w:shd w:val="clear" w:color="auto" w:fill="FFFFFF"/>
              </w:rPr>
              <w:t>he International Telecommunication Union</w:t>
            </w:r>
            <w:r>
              <w:rPr>
                <w:rStyle w:val="normaltextrun"/>
                <w:rFonts w:ascii="Calibri" w:eastAsiaTheme="majorEastAsia" w:hAnsi="Calibri" w:cs="Calibri"/>
                <w:color w:val="000000"/>
                <w:sz w:val="22"/>
                <w:szCs w:val="22"/>
                <w:shd w:val="clear" w:color="auto" w:fill="FFFFFF"/>
              </w:rPr>
              <w:t xml:space="preserve"> (ITU)</w:t>
            </w:r>
            <w:r w:rsidRPr="40B7143C">
              <w:rPr>
                <w:rStyle w:val="normaltextrun"/>
                <w:rFonts w:ascii="Calibri" w:eastAsiaTheme="majorEastAsia" w:hAnsi="Calibri" w:cs="Calibri"/>
                <w:color w:val="000000"/>
                <w:sz w:val="22"/>
                <w:szCs w:val="22"/>
                <w:shd w:val="clear" w:color="auto" w:fill="FFFFFF"/>
              </w:rPr>
              <w:t xml:space="preserve"> is organizing two workshops in</w:t>
            </w:r>
            <w:r w:rsidRPr="00E1502B">
              <w:rPr>
                <w:rStyle w:val="normaltextrun"/>
                <w:rFonts w:ascii="Calibri" w:eastAsiaTheme="majorEastAsia" w:hAnsi="Calibri" w:cs="Calibri"/>
                <w:color w:val="000000"/>
                <w:sz w:val="22"/>
                <w:szCs w:val="22"/>
                <w:shd w:val="clear" w:color="auto" w:fill="FFFFFF"/>
              </w:rPr>
              <w:t xml:space="preserve"> conjunction with the </w:t>
            </w:r>
            <w:hyperlink r:id="rId13" w:anchor="gsc.tab=0" w:history="1">
              <w:r w:rsidRPr="00EC426B">
                <w:rPr>
                  <w:rStyle w:val="Hyperlink"/>
                  <w:rFonts w:ascii="Calibri" w:eastAsiaTheme="majorEastAsia" w:hAnsi="Calibri" w:cs="Calibri"/>
                  <w:b/>
                  <w:bCs/>
                  <w:sz w:val="22"/>
                  <w:szCs w:val="22"/>
                  <w:shd w:val="clear" w:color="auto" w:fill="FFFFFF"/>
                </w:rPr>
                <w:t>ITU-T Study Group 15 meeting</w:t>
              </w:r>
            </w:hyperlink>
            <w:r w:rsidRPr="1BED99BB">
              <w:rPr>
                <w:rStyle w:val="normaltextrun"/>
                <w:rFonts w:ascii="Calibri" w:eastAsiaTheme="majorEastAsia" w:hAnsi="Calibri" w:cs="Calibri"/>
                <w:color w:val="000000"/>
                <w:sz w:val="22"/>
                <w:szCs w:val="22"/>
                <w:shd w:val="clear" w:color="auto" w:fill="FFFFFF"/>
              </w:rPr>
              <w:t xml:space="preserve"> taking place from 1</w:t>
            </w:r>
            <w:r>
              <w:rPr>
                <w:rStyle w:val="normaltextrun"/>
                <w:rFonts w:ascii="Calibri" w:eastAsiaTheme="majorEastAsia" w:hAnsi="Calibri" w:cs="Calibri"/>
                <w:color w:val="000000"/>
                <w:sz w:val="22"/>
                <w:szCs w:val="22"/>
                <w:shd w:val="clear" w:color="auto" w:fill="FFFFFF"/>
              </w:rPr>
              <w:t xml:space="preserve"> to </w:t>
            </w:r>
            <w:r w:rsidRPr="1BED99BB">
              <w:rPr>
                <w:rStyle w:val="normaltextrun"/>
                <w:rFonts w:ascii="Calibri" w:eastAsiaTheme="majorEastAsia" w:hAnsi="Calibri" w:cs="Calibri"/>
                <w:color w:val="000000"/>
                <w:sz w:val="22"/>
                <w:szCs w:val="22"/>
                <w:shd w:val="clear" w:color="auto" w:fill="FFFFFF"/>
              </w:rPr>
              <w:t>12 July 2024 in Montreal, Canada.</w:t>
            </w:r>
            <w:r>
              <w:rPr>
                <w:rStyle w:val="normaltextrun"/>
                <w:rFonts w:ascii="Calibri" w:eastAsiaTheme="majorEastAsia" w:hAnsi="Calibri" w:cs="Calibri"/>
                <w:color w:val="000000"/>
                <w:sz w:val="22"/>
                <w:szCs w:val="22"/>
                <w:shd w:val="clear" w:color="auto" w:fill="FFFFFF"/>
              </w:rPr>
              <w:t xml:space="preserve"> The workshops will be kindly hosted by </w:t>
            </w:r>
            <w:r w:rsidRPr="00C92BC8">
              <w:rPr>
                <w:rStyle w:val="normaltextrun"/>
                <w:rFonts w:ascii="Calibri" w:eastAsiaTheme="majorEastAsia" w:hAnsi="Calibri" w:cs="Calibri"/>
                <w:color w:val="000000"/>
                <w:sz w:val="22"/>
                <w:szCs w:val="22"/>
                <w:shd w:val="clear" w:color="auto" w:fill="FFFFFF"/>
              </w:rPr>
              <w:t>the Department of Innovation, Science and Economic Development (ISED) of Canada</w:t>
            </w:r>
            <w:r>
              <w:rPr>
                <w:rStyle w:val="normaltextrun"/>
                <w:rFonts w:ascii="Calibri" w:eastAsiaTheme="majorEastAsia" w:hAnsi="Calibri" w:cs="Calibri"/>
                <w:color w:val="000000"/>
                <w:sz w:val="22"/>
                <w:szCs w:val="22"/>
                <w:shd w:val="clear" w:color="auto" w:fill="FFFFFF"/>
              </w:rPr>
              <w:t>.</w:t>
            </w:r>
          </w:p>
          <w:p w14:paraId="7F4C62CF" w14:textId="211290B9" w:rsidR="00EC426B" w:rsidRDefault="00EC426B" w:rsidP="00EC426B">
            <w:pPr>
              <w:tabs>
                <w:tab w:val="clear" w:pos="1134"/>
                <w:tab w:val="left" w:pos="900"/>
              </w:tabs>
              <w:spacing w:before="0" w:after="120"/>
              <w:rPr>
                <w:rStyle w:val="normaltextrun"/>
                <w:rFonts w:ascii="Calibri" w:hAnsi="Calibri" w:cs="Calibri"/>
                <w:color w:val="000000"/>
                <w:sz w:val="22"/>
                <w:szCs w:val="22"/>
                <w:shd w:val="clear" w:color="auto" w:fill="FFFFFF"/>
                <w:lang w:eastAsia="ja-JP"/>
              </w:rPr>
            </w:pPr>
            <w:r>
              <w:rPr>
                <w:rStyle w:val="normaltextrun"/>
                <w:rFonts w:ascii="Calibri" w:eastAsiaTheme="majorEastAsia" w:hAnsi="Calibri" w:cs="Calibri"/>
                <w:color w:val="000000"/>
                <w:sz w:val="22"/>
                <w:szCs w:val="22"/>
                <w:shd w:val="clear" w:color="auto" w:fill="FFFFFF"/>
              </w:rPr>
              <w:t>2</w:t>
            </w:r>
            <w:r>
              <w:rPr>
                <w:rStyle w:val="normaltextrun"/>
                <w:rFonts w:ascii="Calibri" w:eastAsiaTheme="majorEastAsia" w:hAnsi="Calibri" w:cs="Calibri"/>
                <w:color w:val="000000"/>
                <w:sz w:val="22"/>
                <w:szCs w:val="22"/>
                <w:shd w:val="clear" w:color="auto" w:fill="FFFFFF"/>
              </w:rPr>
              <w:t>.</w:t>
            </w:r>
            <w:r w:rsidRPr="00BC70C5">
              <w:rPr>
                <w:sz w:val="22"/>
                <w:szCs w:val="22"/>
              </w:rPr>
              <w:tab/>
            </w:r>
            <w:r>
              <w:rPr>
                <w:rStyle w:val="normaltextrun"/>
                <w:rFonts w:ascii="Calibri" w:eastAsiaTheme="majorEastAsia" w:hAnsi="Calibri" w:cs="Calibri"/>
                <w:color w:val="000000"/>
                <w:sz w:val="22"/>
                <w:szCs w:val="22"/>
                <w:shd w:val="clear" w:color="auto" w:fill="FFFFFF"/>
              </w:rPr>
              <w:t xml:space="preserve">The </w:t>
            </w:r>
            <w:r w:rsidRPr="006A5433">
              <w:rPr>
                <w:rStyle w:val="normaltextrun"/>
                <w:rFonts w:ascii="Calibri" w:eastAsiaTheme="majorEastAsia" w:hAnsi="Calibri" w:cs="Calibri"/>
                <w:i/>
                <w:iCs/>
                <w:color w:val="000000"/>
                <w:sz w:val="22"/>
                <w:szCs w:val="22"/>
                <w:shd w:val="clear" w:color="auto" w:fill="FFFFFF"/>
              </w:rPr>
              <w:t>first workshop</w:t>
            </w:r>
            <w:r>
              <w:rPr>
                <w:rStyle w:val="normaltextrun"/>
                <w:rFonts w:ascii="Calibri" w:eastAsiaTheme="majorEastAsia" w:hAnsi="Calibri" w:cs="Calibri"/>
                <w:color w:val="000000"/>
                <w:sz w:val="22"/>
                <w:szCs w:val="22"/>
                <w:shd w:val="clear" w:color="auto" w:fill="FFFFFF"/>
              </w:rPr>
              <w:t xml:space="preserve"> titled </w:t>
            </w:r>
            <w:hyperlink r:id="rId14" w:history="1">
              <w:r w:rsidRPr="0045295D">
                <w:rPr>
                  <w:rStyle w:val="Hyperlink"/>
                  <w:rFonts w:ascii="Calibri" w:eastAsiaTheme="majorEastAsia" w:hAnsi="Calibri" w:cs="Calibri"/>
                  <w:b/>
                  <w:bCs/>
                  <w:sz w:val="22"/>
                  <w:szCs w:val="22"/>
                  <w:shd w:val="clear" w:color="auto" w:fill="FFFFFF"/>
                </w:rPr>
                <w:t>“</w:t>
              </w:r>
              <w:bookmarkStart w:id="3" w:name="_Hlk168674760"/>
              <w:r w:rsidRPr="0045295D">
                <w:rPr>
                  <w:rStyle w:val="Hyperlink"/>
                  <w:rFonts w:ascii="Calibri" w:eastAsiaTheme="majorEastAsia" w:hAnsi="Calibri" w:cs="Calibri"/>
                  <w:b/>
                  <w:bCs/>
                  <w:sz w:val="22"/>
                  <w:szCs w:val="22"/>
                  <w:shd w:val="clear" w:color="auto" w:fill="FFFFFF"/>
                </w:rPr>
                <w:t>The Evolution of Transport Networks to Support IMT 2030/6G</w:t>
              </w:r>
              <w:bookmarkEnd w:id="3"/>
              <w:r w:rsidRPr="0045295D">
                <w:rPr>
                  <w:rStyle w:val="Hyperlink"/>
                  <w:rFonts w:ascii="Calibri" w:eastAsiaTheme="majorEastAsia" w:hAnsi="Calibri" w:cs="Calibri"/>
                  <w:b/>
                  <w:bCs/>
                  <w:sz w:val="22"/>
                  <w:szCs w:val="22"/>
                  <w:shd w:val="clear" w:color="auto" w:fill="FFFFFF"/>
                </w:rPr>
                <w:t>”</w:t>
              </w:r>
            </w:hyperlink>
            <w:r>
              <w:rPr>
                <w:rStyle w:val="normaltextrun"/>
                <w:rFonts w:ascii="Calibri" w:eastAsiaTheme="majorEastAsia" w:hAnsi="Calibri" w:cs="Calibri"/>
                <w:color w:val="000000"/>
                <w:sz w:val="22"/>
                <w:szCs w:val="22"/>
                <w:shd w:val="clear" w:color="auto" w:fill="FFFFFF"/>
              </w:rPr>
              <w:t xml:space="preserve"> will take place on</w:t>
            </w:r>
            <w:r w:rsidRPr="00C81B43">
              <w:rPr>
                <w:rStyle w:val="normaltextrun"/>
                <w:rFonts w:ascii="Calibri" w:eastAsiaTheme="majorEastAsia" w:hAnsi="Calibri" w:cs="Calibri"/>
                <w:color w:val="000000"/>
                <w:sz w:val="22"/>
                <w:szCs w:val="22"/>
                <w:shd w:val="clear" w:color="auto" w:fill="FFFFFF"/>
              </w:rPr>
              <w:t xml:space="preserve"> </w:t>
            </w:r>
            <w:r w:rsidRPr="00C81B43">
              <w:rPr>
                <w:rStyle w:val="normaltextrun"/>
                <w:rFonts w:ascii="Calibri" w:eastAsiaTheme="majorEastAsia" w:hAnsi="Calibri" w:cs="Calibri"/>
                <w:b/>
                <w:bCs/>
                <w:color w:val="000000"/>
                <w:sz w:val="22"/>
                <w:szCs w:val="22"/>
                <w:shd w:val="clear" w:color="auto" w:fill="FFFFFF"/>
              </w:rPr>
              <w:t>7 July 2024</w:t>
            </w:r>
            <w:r>
              <w:rPr>
                <w:rStyle w:val="normaltextrun"/>
                <w:rFonts w:ascii="Calibri" w:eastAsiaTheme="majorEastAsia" w:hAnsi="Calibri" w:cs="Calibri"/>
                <w:color w:val="000000"/>
                <w:sz w:val="22"/>
                <w:szCs w:val="22"/>
                <w:shd w:val="clear" w:color="auto" w:fill="FFFFFF"/>
              </w:rPr>
              <w:t xml:space="preserve"> </w:t>
            </w:r>
            <w:r w:rsidRPr="00E84380">
              <w:rPr>
                <w:rStyle w:val="normaltextrun"/>
                <w:rFonts w:ascii="Calibri" w:eastAsiaTheme="majorEastAsia" w:hAnsi="Calibri" w:cs="Calibri"/>
                <w:b/>
                <w:bCs/>
                <w:color w:val="000000"/>
                <w:sz w:val="22"/>
                <w:szCs w:val="22"/>
                <w:shd w:val="clear" w:color="auto" w:fill="FFFFFF"/>
              </w:rPr>
              <w:t>from 14h00</w:t>
            </w:r>
            <w:r>
              <w:rPr>
                <w:rStyle w:val="normaltextrun"/>
                <w:rFonts w:ascii="Calibri" w:hAnsi="Calibri" w:cs="Calibri" w:hint="eastAsia"/>
                <w:b/>
                <w:bCs/>
                <w:color w:val="000000"/>
                <w:sz w:val="22"/>
                <w:szCs w:val="22"/>
                <w:shd w:val="clear" w:color="auto" w:fill="FFFFFF"/>
                <w:lang w:eastAsia="ja-JP"/>
              </w:rPr>
              <w:t xml:space="preserve"> to </w:t>
            </w:r>
            <w:r w:rsidRPr="00E84380">
              <w:rPr>
                <w:rStyle w:val="normaltextrun"/>
                <w:rFonts w:ascii="Calibri" w:eastAsiaTheme="majorEastAsia" w:hAnsi="Calibri" w:cs="Calibri"/>
                <w:b/>
                <w:bCs/>
                <w:color w:val="000000"/>
                <w:sz w:val="22"/>
                <w:szCs w:val="22"/>
                <w:shd w:val="clear" w:color="auto" w:fill="FFFFFF"/>
              </w:rPr>
              <w:t>18h00</w:t>
            </w:r>
            <w:r w:rsidRPr="7E5AFD14">
              <w:rPr>
                <w:rStyle w:val="normaltextrun"/>
                <w:rFonts w:ascii="Calibri" w:eastAsiaTheme="majorEastAsia" w:hAnsi="Calibri" w:cs="Calibri"/>
                <w:b/>
                <w:bCs/>
                <w:color w:val="000000"/>
                <w:sz w:val="22"/>
                <w:szCs w:val="22"/>
                <w:shd w:val="clear" w:color="auto" w:fill="FFFFFF"/>
              </w:rPr>
              <w:t xml:space="preserve"> EDT</w:t>
            </w:r>
            <w:r>
              <w:rPr>
                <w:rStyle w:val="normaltextrun"/>
                <w:rFonts w:ascii="Calibri" w:eastAsiaTheme="majorEastAsia" w:hAnsi="Calibri" w:cs="Calibri"/>
                <w:b/>
                <w:bCs/>
                <w:color w:val="000000"/>
                <w:sz w:val="22"/>
                <w:szCs w:val="22"/>
                <w:shd w:val="clear" w:color="auto" w:fill="FFFFFF"/>
              </w:rPr>
              <w:t xml:space="preserve">. </w:t>
            </w:r>
            <w:r w:rsidRPr="006A5433">
              <w:rPr>
                <w:rStyle w:val="normaltextrun"/>
                <w:rFonts w:ascii="Calibri" w:eastAsiaTheme="majorEastAsia" w:hAnsi="Calibri" w:cs="Calibri"/>
                <w:b/>
                <w:bCs/>
                <w:color w:val="000000"/>
                <w:sz w:val="22"/>
                <w:szCs w:val="22"/>
                <w:shd w:val="clear" w:color="auto" w:fill="FFFFFF"/>
              </w:rPr>
              <w:t xml:space="preserve">This is an in-person </w:t>
            </w:r>
            <w:r>
              <w:rPr>
                <w:rStyle w:val="normaltextrun"/>
                <w:rFonts w:ascii="Calibri" w:hAnsi="Calibri" w:cs="Calibri" w:hint="eastAsia"/>
                <w:b/>
                <w:bCs/>
                <w:color w:val="000000"/>
                <w:sz w:val="22"/>
                <w:szCs w:val="22"/>
                <w:shd w:val="clear" w:color="auto" w:fill="FFFFFF"/>
                <w:lang w:eastAsia="ja-JP"/>
              </w:rPr>
              <w:t xml:space="preserve">only </w:t>
            </w:r>
            <w:r w:rsidRPr="006A5433">
              <w:rPr>
                <w:rStyle w:val="normaltextrun"/>
                <w:rFonts w:ascii="Calibri" w:eastAsiaTheme="majorEastAsia" w:hAnsi="Calibri" w:cs="Calibri"/>
                <w:b/>
                <w:bCs/>
                <w:color w:val="000000"/>
                <w:sz w:val="22"/>
                <w:szCs w:val="22"/>
                <w:shd w:val="clear" w:color="auto" w:fill="FFFFFF"/>
              </w:rPr>
              <w:t xml:space="preserve">event. </w:t>
            </w:r>
            <w:r w:rsidRPr="00420763">
              <w:rPr>
                <w:rStyle w:val="normaltextrun"/>
                <w:rFonts w:ascii="Calibri" w:eastAsiaTheme="majorEastAsia" w:hAnsi="Calibri" w:cs="Calibri"/>
                <w:color w:val="000000"/>
                <w:sz w:val="22"/>
                <w:szCs w:val="22"/>
                <w:shd w:val="clear" w:color="auto" w:fill="FFFFFF"/>
              </w:rPr>
              <w:t>There will be no remote participation.</w:t>
            </w:r>
          </w:p>
          <w:p w14:paraId="30779849" w14:textId="27B23EE5" w:rsidR="00EC426B" w:rsidRPr="0024761A" w:rsidRDefault="00EC426B" w:rsidP="00EC426B">
            <w:pPr>
              <w:tabs>
                <w:tab w:val="clear" w:pos="1134"/>
                <w:tab w:val="left" w:pos="900"/>
              </w:tabs>
              <w:spacing w:before="0" w:after="120"/>
              <w:rPr>
                <w:rFonts w:ascii="Calibri" w:eastAsiaTheme="majorEastAsia" w:hAnsi="Calibri" w:cs="Calibri"/>
                <w:color w:val="000000"/>
                <w:sz w:val="22"/>
                <w:szCs w:val="22"/>
                <w:shd w:val="clear" w:color="auto" w:fill="FFFFFF"/>
              </w:rPr>
            </w:pPr>
            <w:r>
              <w:rPr>
                <w:rStyle w:val="normaltextrun"/>
                <w:rFonts w:ascii="Calibri" w:eastAsiaTheme="majorEastAsia" w:hAnsi="Calibri" w:cs="Calibri"/>
                <w:color w:val="000000"/>
                <w:sz w:val="22"/>
                <w:szCs w:val="22"/>
                <w:shd w:val="clear" w:color="auto" w:fill="FFFFFF"/>
              </w:rPr>
              <w:t>3</w:t>
            </w:r>
            <w:r>
              <w:rPr>
                <w:rStyle w:val="normaltextrun"/>
                <w:rFonts w:ascii="Calibri" w:eastAsiaTheme="majorEastAsia"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lang w:eastAsia="ja-JP"/>
              </w:rPr>
              <w:tab/>
            </w:r>
            <w:r w:rsidRPr="00221C12">
              <w:rPr>
                <w:rStyle w:val="normaltextrun"/>
                <w:rFonts w:ascii="Calibri" w:eastAsiaTheme="majorEastAsia" w:hAnsi="Calibri" w:cs="Calibri"/>
                <w:color w:val="000000"/>
                <w:sz w:val="22"/>
                <w:szCs w:val="22"/>
                <w:shd w:val="clear" w:color="auto" w:fill="FFFFFF"/>
              </w:rPr>
              <w:t>Th</w:t>
            </w:r>
            <w:r>
              <w:rPr>
                <w:rStyle w:val="normaltextrun"/>
                <w:rFonts w:ascii="Calibri" w:eastAsiaTheme="majorEastAsia" w:hAnsi="Calibri" w:cs="Calibri"/>
                <w:color w:val="000000"/>
                <w:sz w:val="22"/>
                <w:szCs w:val="22"/>
                <w:shd w:val="clear" w:color="auto" w:fill="FFFFFF"/>
              </w:rPr>
              <w:t>is</w:t>
            </w:r>
            <w:r w:rsidRPr="00221C12">
              <w:rPr>
                <w:rStyle w:val="normaltextrun"/>
                <w:rFonts w:ascii="Calibri" w:eastAsiaTheme="majorEastAsia" w:hAnsi="Calibri" w:cs="Calibri"/>
                <w:color w:val="000000"/>
                <w:sz w:val="22"/>
                <w:szCs w:val="22"/>
                <w:shd w:val="clear" w:color="auto" w:fill="FFFFFF"/>
              </w:rPr>
              <w:t xml:space="preserve"> </w:t>
            </w:r>
            <w:r>
              <w:rPr>
                <w:rStyle w:val="normaltextrun"/>
                <w:rFonts w:ascii="Calibri" w:eastAsiaTheme="majorEastAsia" w:hAnsi="Calibri" w:cs="Calibri"/>
                <w:color w:val="000000"/>
                <w:sz w:val="22"/>
                <w:szCs w:val="22"/>
                <w:shd w:val="clear" w:color="auto" w:fill="FFFFFF"/>
              </w:rPr>
              <w:t>Wo</w:t>
            </w:r>
            <w:r w:rsidRPr="00221C12">
              <w:rPr>
                <w:rStyle w:val="normaltextrun"/>
                <w:rFonts w:ascii="Calibri" w:eastAsiaTheme="majorEastAsia" w:hAnsi="Calibri" w:cs="Calibri"/>
                <w:color w:val="000000"/>
                <w:sz w:val="22"/>
                <w:szCs w:val="22"/>
                <w:shd w:val="clear" w:color="auto" w:fill="FFFFFF"/>
              </w:rPr>
              <w:t>rkshop is intended to provide a platform for all involved stakeholders to identify the architecture and requirements for transport network support of IMT 2030/6G networks with a focus on supporting the 5G advanced and 6G radio access network as specified by 3GPP</w:t>
            </w:r>
            <w:r w:rsidRPr="00BC70C5">
              <w:rPr>
                <w:rFonts w:ascii="Calibri" w:hAnsi="Calibri"/>
                <w:sz w:val="22"/>
                <w:szCs w:val="22"/>
                <w:lang w:val="en-AU"/>
              </w:rPr>
              <w:t>.</w:t>
            </w:r>
          </w:p>
          <w:p w14:paraId="7719F05F" w14:textId="149BF8EE" w:rsidR="00EC426B" w:rsidRDefault="00EC426B" w:rsidP="00EC426B">
            <w:pPr>
              <w:tabs>
                <w:tab w:val="clear" w:pos="1134"/>
                <w:tab w:val="left" w:pos="900"/>
              </w:tabs>
              <w:spacing w:before="0" w:after="120"/>
              <w:rPr>
                <w:rStyle w:val="normaltextrun"/>
                <w:rFonts w:ascii="Calibri" w:eastAsiaTheme="majorEastAsia" w:hAnsi="Calibri" w:cs="Calibri"/>
                <w:color w:val="000000"/>
                <w:sz w:val="22"/>
                <w:szCs w:val="22"/>
                <w:shd w:val="clear" w:color="auto" w:fill="FFFFFF"/>
              </w:rPr>
            </w:pPr>
            <w:r>
              <w:rPr>
                <w:rFonts w:ascii="Calibri" w:hAnsi="Calibri"/>
                <w:sz w:val="22"/>
                <w:szCs w:val="22"/>
              </w:rPr>
              <w:t>4</w:t>
            </w:r>
            <w:r>
              <w:rPr>
                <w:rFonts w:ascii="Calibri" w:hAnsi="Calibri"/>
                <w:sz w:val="22"/>
                <w:szCs w:val="22"/>
              </w:rPr>
              <w:t>.</w:t>
            </w:r>
            <w:r w:rsidRPr="00BC70C5">
              <w:rPr>
                <w:sz w:val="22"/>
                <w:szCs w:val="22"/>
              </w:rPr>
              <w:tab/>
            </w:r>
            <w:r w:rsidRPr="00221C12">
              <w:rPr>
                <w:rStyle w:val="normaltextrun"/>
                <w:rFonts w:ascii="Calibri" w:eastAsiaTheme="majorEastAsia" w:hAnsi="Calibri" w:cs="Calibri"/>
                <w:color w:val="000000"/>
                <w:sz w:val="22"/>
                <w:szCs w:val="22"/>
                <w:shd w:val="clear" w:color="auto" w:fill="FFFFFF"/>
              </w:rPr>
              <w:t xml:space="preserve">The objective of the workshop is to provide the participants of SG15 with an overview of the </w:t>
            </w:r>
            <w:proofErr w:type="gramStart"/>
            <w:r w:rsidRPr="00221C12">
              <w:rPr>
                <w:rStyle w:val="normaltextrun"/>
                <w:rFonts w:ascii="Calibri" w:eastAsiaTheme="majorEastAsia" w:hAnsi="Calibri" w:cs="Calibri"/>
                <w:color w:val="000000"/>
                <w:sz w:val="22"/>
                <w:szCs w:val="22"/>
                <w:shd w:val="clear" w:color="auto" w:fill="FFFFFF"/>
              </w:rPr>
              <w:t>current status</w:t>
            </w:r>
            <w:proofErr w:type="gramEnd"/>
            <w:r w:rsidRPr="00221C12">
              <w:rPr>
                <w:rStyle w:val="normaltextrun"/>
                <w:rFonts w:ascii="Calibri" w:eastAsiaTheme="majorEastAsia" w:hAnsi="Calibri" w:cs="Calibri"/>
                <w:color w:val="000000"/>
                <w:sz w:val="22"/>
                <w:szCs w:val="22"/>
                <w:shd w:val="clear" w:color="auto" w:fill="FFFFFF"/>
              </w:rPr>
              <w:t xml:space="preserve">, the emerging requirements and timelines for IMT 2030/6G. Issues of particular interest include: </w:t>
            </w:r>
          </w:p>
          <w:p w14:paraId="39277422" w14:textId="77777777" w:rsidR="00EC426B" w:rsidRPr="001B5B16" w:rsidRDefault="00EC426B" w:rsidP="00EC426B">
            <w:pPr>
              <w:pStyle w:val="ListParagraph"/>
              <w:numPr>
                <w:ilvl w:val="0"/>
                <w:numId w:val="22"/>
              </w:numPr>
              <w:tabs>
                <w:tab w:val="clear" w:pos="1134"/>
              </w:tabs>
              <w:rPr>
                <w:rStyle w:val="normaltextrun"/>
                <w:rFonts w:ascii="Calibri" w:eastAsiaTheme="majorEastAsia" w:hAnsi="Calibri" w:cs="Calibri"/>
                <w:color w:val="000000"/>
                <w:sz w:val="22"/>
                <w:szCs w:val="22"/>
                <w:shd w:val="clear" w:color="auto" w:fill="FFFFFF"/>
              </w:rPr>
            </w:pPr>
            <w:r w:rsidRPr="00221C12">
              <w:rPr>
                <w:rStyle w:val="normaltextrun"/>
                <w:rFonts w:ascii="Calibri" w:eastAsiaTheme="majorEastAsia" w:hAnsi="Calibri" w:cs="Calibri"/>
                <w:color w:val="000000"/>
                <w:sz w:val="22"/>
                <w:szCs w:val="22"/>
                <w:shd w:val="clear" w:color="auto" w:fill="FFFFFF"/>
              </w:rPr>
              <w:t xml:space="preserve">Identification of differences between the topology of the IMT 2030/6G network and the topology of current 5G network and emerging 5G advanced networks. </w:t>
            </w:r>
          </w:p>
          <w:p w14:paraId="399F0D80" w14:textId="77777777" w:rsidR="00EC426B" w:rsidRPr="001B5B16" w:rsidRDefault="00EC426B" w:rsidP="00EC426B">
            <w:pPr>
              <w:pStyle w:val="ListParagraph"/>
              <w:numPr>
                <w:ilvl w:val="1"/>
                <w:numId w:val="22"/>
              </w:numPr>
              <w:tabs>
                <w:tab w:val="clear" w:pos="1134"/>
              </w:tabs>
              <w:rPr>
                <w:rStyle w:val="normaltextrun"/>
                <w:rFonts w:ascii="Calibri" w:eastAsiaTheme="majorEastAsia" w:hAnsi="Calibri" w:cs="Calibri"/>
                <w:color w:val="000000"/>
                <w:sz w:val="22"/>
                <w:szCs w:val="22"/>
                <w:shd w:val="clear" w:color="auto" w:fill="FFFFFF"/>
              </w:rPr>
            </w:pPr>
            <w:r w:rsidRPr="001B5B16">
              <w:rPr>
                <w:rStyle w:val="normaltextrun"/>
                <w:rFonts w:ascii="Calibri" w:eastAsiaTheme="majorEastAsia" w:hAnsi="Calibri" w:cs="Calibri"/>
                <w:color w:val="000000"/>
                <w:sz w:val="22"/>
                <w:szCs w:val="22"/>
                <w:shd w:val="clear" w:color="auto" w:fill="FFFFFF"/>
              </w:rPr>
              <w:t xml:space="preserve">Estimates of the link capacity and latency </w:t>
            </w:r>
            <w:proofErr w:type="gramStart"/>
            <w:r w:rsidRPr="001B5B16">
              <w:rPr>
                <w:rStyle w:val="normaltextrun"/>
                <w:rFonts w:ascii="Calibri" w:eastAsiaTheme="majorEastAsia" w:hAnsi="Calibri" w:cs="Calibri"/>
                <w:color w:val="000000"/>
                <w:sz w:val="22"/>
                <w:szCs w:val="22"/>
                <w:shd w:val="clear" w:color="auto" w:fill="FFFFFF"/>
              </w:rPr>
              <w:t>requirements;</w:t>
            </w:r>
            <w:proofErr w:type="gramEnd"/>
          </w:p>
          <w:p w14:paraId="25D5B67A" w14:textId="77777777" w:rsidR="00EC426B" w:rsidRPr="00221C12" w:rsidRDefault="00EC426B" w:rsidP="00EC426B">
            <w:pPr>
              <w:pStyle w:val="ListParagraph"/>
              <w:numPr>
                <w:ilvl w:val="0"/>
                <w:numId w:val="22"/>
              </w:numPr>
              <w:tabs>
                <w:tab w:val="clear" w:pos="1134"/>
              </w:tabs>
              <w:rPr>
                <w:rStyle w:val="normaltextrun"/>
                <w:rFonts w:ascii="Calibri" w:eastAsiaTheme="majorEastAsia" w:hAnsi="Calibri" w:cs="Calibri"/>
                <w:color w:val="000000"/>
                <w:sz w:val="22"/>
                <w:szCs w:val="22"/>
                <w:shd w:val="clear" w:color="auto" w:fill="FFFFFF"/>
              </w:rPr>
            </w:pPr>
            <w:r w:rsidRPr="00221C12">
              <w:rPr>
                <w:rStyle w:val="normaltextrun"/>
                <w:rFonts w:ascii="Calibri" w:eastAsiaTheme="majorEastAsia" w:hAnsi="Calibri" w:cs="Calibri"/>
                <w:color w:val="000000"/>
                <w:sz w:val="22"/>
                <w:szCs w:val="22"/>
                <w:shd w:val="clear" w:color="auto" w:fill="FFFFFF"/>
              </w:rPr>
              <w:t>Transport network support of the energy efficiency objectives of IMT2030/</w:t>
            </w:r>
            <w:proofErr w:type="gramStart"/>
            <w:r w:rsidRPr="00221C12">
              <w:rPr>
                <w:rStyle w:val="normaltextrun"/>
                <w:rFonts w:ascii="Calibri" w:eastAsiaTheme="majorEastAsia" w:hAnsi="Calibri" w:cs="Calibri"/>
                <w:color w:val="000000"/>
                <w:sz w:val="22"/>
                <w:szCs w:val="22"/>
                <w:shd w:val="clear" w:color="auto" w:fill="FFFFFF"/>
              </w:rPr>
              <w:t>6</w:t>
            </w:r>
            <w:r>
              <w:rPr>
                <w:rStyle w:val="normaltextrun"/>
                <w:rFonts w:ascii="Calibri" w:eastAsiaTheme="majorEastAsia" w:hAnsi="Calibri" w:cs="Calibri"/>
                <w:color w:val="000000"/>
                <w:sz w:val="22"/>
                <w:szCs w:val="22"/>
                <w:shd w:val="clear" w:color="auto" w:fill="FFFFFF"/>
              </w:rPr>
              <w:t>G;</w:t>
            </w:r>
            <w:proofErr w:type="gramEnd"/>
            <w:r w:rsidRPr="00221C12">
              <w:rPr>
                <w:rStyle w:val="normaltextrun"/>
                <w:rFonts w:ascii="Calibri" w:eastAsiaTheme="majorEastAsia" w:hAnsi="Calibri" w:cs="Calibri"/>
                <w:color w:val="000000"/>
                <w:sz w:val="22"/>
                <w:szCs w:val="22"/>
                <w:shd w:val="clear" w:color="auto" w:fill="FFFFFF"/>
              </w:rPr>
              <w:t xml:space="preserve"> </w:t>
            </w:r>
          </w:p>
          <w:p w14:paraId="12C62B08" w14:textId="77777777" w:rsidR="00EC426B" w:rsidRPr="00221C12" w:rsidRDefault="00EC426B" w:rsidP="00EC426B">
            <w:pPr>
              <w:pStyle w:val="ListParagraph"/>
              <w:numPr>
                <w:ilvl w:val="0"/>
                <w:numId w:val="22"/>
              </w:numPr>
              <w:tabs>
                <w:tab w:val="clear" w:pos="1134"/>
              </w:tabs>
              <w:rPr>
                <w:rStyle w:val="normaltextrun"/>
                <w:rFonts w:ascii="Calibri" w:eastAsiaTheme="majorEastAsia" w:hAnsi="Calibri" w:cs="Calibri"/>
                <w:color w:val="000000"/>
                <w:sz w:val="22"/>
                <w:szCs w:val="22"/>
                <w:shd w:val="clear" w:color="auto" w:fill="FFFFFF"/>
              </w:rPr>
            </w:pPr>
            <w:r w:rsidRPr="00221C12">
              <w:rPr>
                <w:rStyle w:val="normaltextrun"/>
                <w:rFonts w:ascii="Calibri" w:eastAsiaTheme="majorEastAsia" w:hAnsi="Calibri" w:cs="Calibri"/>
                <w:color w:val="000000"/>
                <w:sz w:val="22"/>
                <w:szCs w:val="22"/>
                <w:shd w:val="clear" w:color="auto" w:fill="FFFFFF"/>
              </w:rPr>
              <w:t xml:space="preserve">Potential benefits of integration of the management of the transport and access network and the IMT2030/6G </w:t>
            </w:r>
            <w:proofErr w:type="gramStart"/>
            <w:r w:rsidRPr="00221C12">
              <w:rPr>
                <w:rStyle w:val="normaltextrun"/>
                <w:rFonts w:ascii="Calibri" w:eastAsiaTheme="majorEastAsia" w:hAnsi="Calibri" w:cs="Calibri"/>
                <w:color w:val="000000"/>
                <w:sz w:val="22"/>
                <w:szCs w:val="22"/>
                <w:shd w:val="clear" w:color="auto" w:fill="FFFFFF"/>
              </w:rPr>
              <w:t>network</w:t>
            </w:r>
            <w:r>
              <w:rPr>
                <w:rStyle w:val="normaltextrun"/>
                <w:rFonts w:ascii="Calibri" w:eastAsiaTheme="majorEastAsia" w:hAnsi="Calibri" w:cs="Calibri"/>
                <w:color w:val="000000"/>
                <w:sz w:val="22"/>
                <w:szCs w:val="22"/>
                <w:shd w:val="clear" w:color="auto" w:fill="FFFFFF"/>
              </w:rPr>
              <w:t>;</w:t>
            </w:r>
            <w:proofErr w:type="gramEnd"/>
          </w:p>
          <w:p w14:paraId="576D9B09" w14:textId="77777777" w:rsidR="00EC426B" w:rsidRPr="00A81B26" w:rsidRDefault="00EC426B" w:rsidP="00EC426B">
            <w:pPr>
              <w:pStyle w:val="ListParagraph"/>
              <w:numPr>
                <w:ilvl w:val="0"/>
                <w:numId w:val="22"/>
              </w:numPr>
              <w:tabs>
                <w:tab w:val="clear" w:pos="1134"/>
              </w:tabs>
              <w:rPr>
                <w:rStyle w:val="normaltextrun"/>
                <w:rFonts w:ascii="Calibri" w:hAnsi="Calibri"/>
                <w:sz w:val="22"/>
                <w:szCs w:val="22"/>
              </w:rPr>
            </w:pPr>
            <w:r w:rsidRPr="00221C12">
              <w:rPr>
                <w:rStyle w:val="normaltextrun"/>
                <w:rFonts w:ascii="Calibri" w:eastAsiaTheme="majorEastAsia" w:hAnsi="Calibri" w:cs="Calibri"/>
                <w:color w:val="000000"/>
                <w:sz w:val="22"/>
                <w:szCs w:val="22"/>
                <w:shd w:val="clear" w:color="auto" w:fill="FFFFFF"/>
              </w:rPr>
              <w:t>Use of AI/ML to improve the coordination of the transport and access network with the IMT2030/6G network.</w:t>
            </w:r>
          </w:p>
          <w:p w14:paraId="22E18CE6" w14:textId="7C239EBF" w:rsidR="00EC426B" w:rsidRPr="000C2C81" w:rsidRDefault="00EC426B" w:rsidP="00EC426B">
            <w:pPr>
              <w:tabs>
                <w:tab w:val="clear" w:pos="1134"/>
                <w:tab w:val="clear" w:pos="1871"/>
                <w:tab w:val="left" w:pos="851"/>
              </w:tabs>
              <w:spacing w:before="0" w:after="120"/>
              <w:rPr>
                <w:rStyle w:val="normaltextrun"/>
                <w:rFonts w:ascii="Calibri" w:hAnsi="Calibri"/>
                <w:sz w:val="22"/>
                <w:szCs w:val="22"/>
              </w:rPr>
            </w:pPr>
            <w:r w:rsidRPr="000C2C81">
              <w:rPr>
                <w:sz w:val="22"/>
                <w:szCs w:val="22"/>
              </w:rPr>
              <w:t>5</w:t>
            </w:r>
            <w:r>
              <w:rPr>
                <w:sz w:val="22"/>
                <w:szCs w:val="22"/>
              </w:rPr>
              <w:t>.</w:t>
            </w:r>
            <w:r w:rsidRPr="000C2C81">
              <w:rPr>
                <w:sz w:val="22"/>
                <w:szCs w:val="22"/>
              </w:rPr>
              <w:tab/>
              <w:t>ITU Members and non-members, other interested SDOs, network equipment vendors, research organizations and</w:t>
            </w:r>
            <w:proofErr w:type="gramStart"/>
            <w:r w:rsidRPr="000C2C81">
              <w:rPr>
                <w:sz w:val="22"/>
                <w:szCs w:val="22"/>
              </w:rPr>
              <w:t>, in particular, network</w:t>
            </w:r>
            <w:proofErr w:type="gramEnd"/>
            <w:r w:rsidRPr="000C2C81">
              <w:rPr>
                <w:sz w:val="22"/>
                <w:szCs w:val="22"/>
              </w:rPr>
              <w:t xml:space="preserve"> operators from all geographic regions that have deployed 5G and plan to deploy 5G advanced or IMT 2030/6G are invited to</w:t>
            </w:r>
            <w:r w:rsidRPr="000C2C81">
              <w:rPr>
                <w:rStyle w:val="normaltextrun"/>
                <w:rFonts w:ascii="Calibri" w:eastAsiaTheme="majorEastAsia" w:hAnsi="Calibri" w:cs="Calibri"/>
                <w:color w:val="000000"/>
                <w:sz w:val="22"/>
                <w:szCs w:val="22"/>
                <w:shd w:val="clear" w:color="auto" w:fill="FFFFFF"/>
              </w:rPr>
              <w:t xml:space="preserve"> participate.</w:t>
            </w:r>
          </w:p>
          <w:p w14:paraId="41E72B39" w14:textId="45F47BD9" w:rsidR="00EC426B" w:rsidRDefault="00EC426B" w:rsidP="00EC426B">
            <w:pPr>
              <w:tabs>
                <w:tab w:val="clear" w:pos="1134"/>
                <w:tab w:val="clear" w:pos="1871"/>
                <w:tab w:val="clear" w:pos="2268"/>
                <w:tab w:val="left" w:pos="900"/>
                <w:tab w:val="left" w:pos="5355"/>
              </w:tabs>
              <w:spacing w:before="0" w:after="120"/>
              <w:rPr>
                <w:b/>
                <w:bCs/>
                <w:sz w:val="22"/>
                <w:szCs w:val="22"/>
              </w:rPr>
            </w:pPr>
            <w:r>
              <w:rPr>
                <w:sz w:val="22"/>
                <w:szCs w:val="22"/>
              </w:rPr>
              <w:t>6</w:t>
            </w:r>
            <w:r>
              <w:rPr>
                <w:sz w:val="22"/>
                <w:szCs w:val="22"/>
              </w:rPr>
              <w:t>.</w:t>
            </w:r>
            <w:r>
              <w:rPr>
                <w:sz w:val="22"/>
                <w:szCs w:val="22"/>
              </w:rPr>
              <w:tab/>
            </w:r>
            <w:r w:rsidRPr="00FB5A80">
              <w:rPr>
                <w:sz w:val="22"/>
                <w:szCs w:val="22"/>
              </w:rPr>
              <w:t xml:space="preserve">The </w:t>
            </w:r>
            <w:r w:rsidRPr="001B5B16">
              <w:rPr>
                <w:i/>
                <w:iCs/>
                <w:sz w:val="22"/>
                <w:szCs w:val="22"/>
              </w:rPr>
              <w:t>second workshop</w:t>
            </w:r>
            <w:r>
              <w:rPr>
                <w:sz w:val="22"/>
                <w:szCs w:val="22"/>
              </w:rPr>
              <w:t>, jointly organised with the</w:t>
            </w:r>
            <w:r w:rsidRPr="00FB5A80">
              <w:rPr>
                <w:sz w:val="22"/>
                <w:szCs w:val="22"/>
              </w:rPr>
              <w:t xml:space="preserve"> European Telecommunications Standards Institute – Industry Specification Group -Fifth Generation Fixed Network (ETSI ISG F5G ), the Broadband Forum (BBF), and the China Communications Standards Association – Technical Committee 6 (CCSA TC6) </w:t>
            </w:r>
            <w:r>
              <w:rPr>
                <w:sz w:val="22"/>
                <w:szCs w:val="22"/>
              </w:rPr>
              <w:t xml:space="preserve">will be </w:t>
            </w:r>
            <w:r w:rsidRPr="00FB5A80">
              <w:rPr>
                <w:sz w:val="22"/>
                <w:szCs w:val="22"/>
              </w:rPr>
              <w:t xml:space="preserve">the </w:t>
            </w:r>
            <w:hyperlink r:id="rId15">
              <w:r w:rsidRPr="513C8F29">
                <w:rPr>
                  <w:rStyle w:val="Hyperlink"/>
                  <w:b/>
                  <w:bCs/>
                  <w:sz w:val="22"/>
                  <w:szCs w:val="22"/>
                </w:rPr>
                <w:t xml:space="preserve">Fourth Joint ETSI ISG F5G, BBF, CCSA TC6 and ITU-T SG15 Workshop on </w:t>
              </w:r>
              <w:bookmarkStart w:id="4" w:name="_Hlk168674804"/>
              <w:r w:rsidRPr="513C8F29">
                <w:rPr>
                  <w:rStyle w:val="Hyperlink"/>
                  <w:b/>
                  <w:bCs/>
                  <w:sz w:val="22"/>
                  <w:szCs w:val="22"/>
                </w:rPr>
                <w:t>"FTTR" (Fibre to the room)</w:t>
              </w:r>
              <w:bookmarkEnd w:id="4"/>
              <w:r w:rsidRPr="513C8F29">
                <w:rPr>
                  <w:rStyle w:val="Hyperlink"/>
                  <w:sz w:val="22"/>
                  <w:szCs w:val="22"/>
                </w:rPr>
                <w:t xml:space="preserve">, </w:t>
              </w:r>
            </w:hyperlink>
            <w:r w:rsidRPr="00FB5A80">
              <w:rPr>
                <w:sz w:val="22"/>
                <w:szCs w:val="22"/>
              </w:rPr>
              <w:t>tak</w:t>
            </w:r>
            <w:r>
              <w:rPr>
                <w:sz w:val="22"/>
                <w:szCs w:val="22"/>
              </w:rPr>
              <w:t>ing</w:t>
            </w:r>
            <w:r w:rsidRPr="00FB5A80">
              <w:rPr>
                <w:sz w:val="22"/>
                <w:szCs w:val="22"/>
              </w:rPr>
              <w:t xml:space="preserve"> place</w:t>
            </w:r>
            <w:r>
              <w:rPr>
                <w:sz w:val="22"/>
                <w:szCs w:val="22"/>
              </w:rPr>
              <w:t xml:space="preserve"> on</w:t>
            </w:r>
            <w:r w:rsidRPr="00FB5A80">
              <w:rPr>
                <w:sz w:val="22"/>
                <w:szCs w:val="22"/>
              </w:rPr>
              <w:t xml:space="preserve"> </w:t>
            </w:r>
            <w:r w:rsidRPr="00A81B26">
              <w:rPr>
                <w:b/>
                <w:bCs/>
                <w:sz w:val="22"/>
                <w:szCs w:val="22"/>
              </w:rPr>
              <w:t>10 July 2024 from 8h00</w:t>
            </w:r>
            <w:r>
              <w:rPr>
                <w:rFonts w:hint="eastAsia"/>
                <w:b/>
                <w:bCs/>
                <w:sz w:val="22"/>
                <w:szCs w:val="22"/>
                <w:lang w:eastAsia="ja-JP"/>
              </w:rPr>
              <w:t xml:space="preserve"> to </w:t>
            </w:r>
            <w:r w:rsidRPr="00A81B26">
              <w:rPr>
                <w:b/>
                <w:bCs/>
                <w:sz w:val="22"/>
                <w:szCs w:val="22"/>
              </w:rPr>
              <w:t>12</w:t>
            </w:r>
            <w:r>
              <w:rPr>
                <w:b/>
                <w:bCs/>
                <w:sz w:val="22"/>
                <w:szCs w:val="22"/>
              </w:rPr>
              <w:t>h</w:t>
            </w:r>
            <w:r w:rsidRPr="00A81B26">
              <w:rPr>
                <w:b/>
                <w:bCs/>
                <w:sz w:val="22"/>
                <w:szCs w:val="22"/>
              </w:rPr>
              <w:t>00 EDT</w:t>
            </w:r>
            <w:r>
              <w:rPr>
                <w:b/>
                <w:bCs/>
                <w:sz w:val="22"/>
                <w:szCs w:val="22"/>
              </w:rPr>
              <w:t xml:space="preserve">. </w:t>
            </w:r>
            <w:r w:rsidRPr="001B5B16">
              <w:rPr>
                <w:b/>
                <w:bCs/>
                <w:sz w:val="22"/>
                <w:szCs w:val="22"/>
              </w:rPr>
              <w:t>Remote participation will be provided for this event.</w:t>
            </w:r>
          </w:p>
          <w:p w14:paraId="5C71F11D" w14:textId="64FBB701" w:rsidR="00EC426B" w:rsidRPr="000C2C81" w:rsidRDefault="00EC426B" w:rsidP="00EC426B">
            <w:pPr>
              <w:tabs>
                <w:tab w:val="clear" w:pos="1134"/>
                <w:tab w:val="clear" w:pos="1871"/>
                <w:tab w:val="left" w:pos="851"/>
              </w:tabs>
              <w:spacing w:before="0" w:after="120"/>
              <w:rPr>
                <w:sz w:val="22"/>
                <w:szCs w:val="22"/>
              </w:rPr>
            </w:pPr>
            <w:r w:rsidRPr="000C2C81">
              <w:rPr>
                <w:sz w:val="22"/>
                <w:szCs w:val="22"/>
              </w:rPr>
              <w:t>7</w:t>
            </w:r>
            <w:r>
              <w:rPr>
                <w:sz w:val="22"/>
                <w:szCs w:val="22"/>
              </w:rPr>
              <w:t>.</w:t>
            </w:r>
            <w:r>
              <w:rPr>
                <w:sz w:val="22"/>
                <w:szCs w:val="22"/>
              </w:rPr>
              <w:tab/>
            </w:r>
            <w:r w:rsidRPr="000C2C81">
              <w:rPr>
                <w:sz w:val="22"/>
                <w:szCs w:val="22"/>
              </w:rPr>
              <w:t xml:space="preserve">This </w:t>
            </w:r>
            <w:r>
              <w:rPr>
                <w:sz w:val="22"/>
                <w:szCs w:val="22"/>
              </w:rPr>
              <w:t>W</w:t>
            </w:r>
            <w:r w:rsidRPr="000C2C81">
              <w:rPr>
                <w:sz w:val="22"/>
                <w:szCs w:val="22"/>
              </w:rPr>
              <w:t>orkshop intends to offer the opportunity to continue the discussion on FTTR (Fibre to the room) for all involved stakeholders. FTTR is a hot topic in Q3/15 for in-premises networking. The fibre in-premises topology and functionalities of FTTR technologies may be different from the current fibre-based technologies in transport and access network. For better developing the FTTR specification, &amp; facilitate deployment of FTTR system, it is necessary to understand the use cases &amp; requirements, deployment challenges, and best practices of FTTR.</w:t>
            </w:r>
          </w:p>
          <w:p w14:paraId="1A3BC359" w14:textId="2C5B2A70" w:rsidR="00EC426B" w:rsidRPr="00BC70C5" w:rsidRDefault="00EC426B" w:rsidP="00EC426B">
            <w:pPr>
              <w:tabs>
                <w:tab w:val="clear" w:pos="1134"/>
                <w:tab w:val="left" w:pos="900"/>
              </w:tabs>
              <w:spacing w:before="0" w:after="120"/>
              <w:rPr>
                <w:rFonts w:ascii="Calibri" w:hAnsi="Calibri" w:cs="Arial"/>
                <w:sz w:val="22"/>
                <w:szCs w:val="22"/>
                <w:lang w:val="en-US"/>
              </w:rPr>
            </w:pPr>
            <w:r>
              <w:rPr>
                <w:rFonts w:ascii="Calibri" w:hAnsi="Calibri"/>
                <w:sz w:val="22"/>
                <w:szCs w:val="22"/>
              </w:rPr>
              <w:t>8</w:t>
            </w:r>
            <w:r>
              <w:rPr>
                <w:rFonts w:ascii="Calibri" w:hAnsi="Calibri"/>
                <w:sz w:val="22"/>
                <w:szCs w:val="22"/>
              </w:rPr>
              <w:t>.</w:t>
            </w:r>
            <w:r w:rsidRPr="00BC70C5">
              <w:rPr>
                <w:sz w:val="22"/>
                <w:szCs w:val="22"/>
              </w:rPr>
              <w:tab/>
            </w:r>
            <w:r w:rsidRPr="00BC70C5">
              <w:rPr>
                <w:rFonts w:eastAsia="Batang" w:cs="Calibri"/>
                <w:sz w:val="22"/>
                <w:szCs w:val="22"/>
                <w:lang w:val="en-US" w:eastAsia="ko-KR"/>
              </w:rPr>
              <w:t xml:space="preserve">Participation in </w:t>
            </w:r>
            <w:r>
              <w:rPr>
                <w:rFonts w:eastAsia="Batang" w:cs="Calibri"/>
                <w:sz w:val="22"/>
                <w:szCs w:val="22"/>
                <w:lang w:val="en-US" w:eastAsia="ko-KR"/>
              </w:rPr>
              <w:t xml:space="preserve">both </w:t>
            </w:r>
            <w:r w:rsidRPr="00BC70C5">
              <w:rPr>
                <w:rFonts w:eastAsia="Batang" w:cs="Calibri"/>
                <w:sz w:val="22"/>
                <w:szCs w:val="22"/>
                <w:lang w:val="en-US" w:eastAsia="ko-KR"/>
              </w:rPr>
              <w:t>workshop</w:t>
            </w:r>
            <w:r>
              <w:rPr>
                <w:rFonts w:eastAsia="Batang" w:cs="Calibri"/>
                <w:sz w:val="22"/>
                <w:szCs w:val="22"/>
                <w:lang w:val="en-US" w:eastAsia="ko-KR"/>
              </w:rPr>
              <w:t>s</w:t>
            </w:r>
            <w:r w:rsidRPr="00BC70C5">
              <w:rPr>
                <w:rFonts w:eastAsia="Batang" w:cs="Calibri"/>
                <w:sz w:val="22"/>
                <w:szCs w:val="22"/>
                <w:lang w:val="en-US" w:eastAsia="ko-KR"/>
              </w:rPr>
              <w:t xml:space="preserve"> </w:t>
            </w:r>
            <w:r>
              <w:rPr>
                <w:rFonts w:eastAsia="Batang" w:cs="Calibri"/>
                <w:sz w:val="22"/>
                <w:szCs w:val="22"/>
                <w:lang w:val="en-US" w:eastAsia="ko-KR"/>
              </w:rPr>
              <w:t>is</w:t>
            </w:r>
            <w:r>
              <w:rPr>
                <w:rFonts w:eastAsia="Batang" w:cs="Calibri"/>
                <w:sz w:val="22"/>
                <w:szCs w:val="22"/>
                <w:lang w:val="en-US" w:eastAsia="ko-KR"/>
              </w:rPr>
              <w:t xml:space="preserve"> </w:t>
            </w:r>
            <w:r w:rsidRPr="00BC70C5">
              <w:rPr>
                <w:rFonts w:eastAsia="Batang" w:cs="Calibri"/>
                <w:sz w:val="22"/>
                <w:szCs w:val="22"/>
                <w:lang w:val="en-US" w:eastAsia="ko-KR"/>
              </w:rPr>
              <w:t>open to ITU Member States, Sector Members, Associates and Academic Institutions</w:t>
            </w:r>
            <w:r>
              <w:rPr>
                <w:rFonts w:eastAsia="Batang" w:cs="Calibri"/>
                <w:sz w:val="22"/>
                <w:szCs w:val="22"/>
                <w:lang w:val="en-US" w:eastAsia="ko-KR"/>
              </w:rPr>
              <w:t xml:space="preserve">, </w:t>
            </w:r>
            <w:r w:rsidRPr="40B7143C">
              <w:rPr>
                <w:sz w:val="22"/>
                <w:szCs w:val="22"/>
              </w:rPr>
              <w:t>all regular participants of ETSI ISG F5G, BBF, CCSA TC6 and ITU-T SG15 meetings and to any individual interested in the topic who wishes to contribute to the work</w:t>
            </w:r>
            <w:r w:rsidRPr="00BC70C5">
              <w:rPr>
                <w:rFonts w:eastAsia="Batang" w:cs="Calibri"/>
                <w:sz w:val="22"/>
                <w:szCs w:val="22"/>
                <w:lang w:val="en-US" w:eastAsia="ko-KR"/>
              </w:rPr>
              <w:t xml:space="preserve">. This includes individuals who are also members of international, </w:t>
            </w:r>
            <w:proofErr w:type="gramStart"/>
            <w:r w:rsidRPr="00BC70C5">
              <w:rPr>
                <w:rFonts w:eastAsia="Batang" w:cs="Calibri"/>
                <w:sz w:val="22"/>
                <w:szCs w:val="22"/>
                <w:lang w:val="en-US" w:eastAsia="ko-KR"/>
              </w:rPr>
              <w:t>regional</w:t>
            </w:r>
            <w:proofErr w:type="gramEnd"/>
            <w:r w:rsidRPr="00BC70C5">
              <w:rPr>
                <w:rFonts w:eastAsia="Batang" w:cs="Calibri"/>
                <w:sz w:val="22"/>
                <w:szCs w:val="22"/>
                <w:lang w:val="en-US" w:eastAsia="ko-KR"/>
              </w:rPr>
              <w:t xml:space="preserve"> and national organizations. Participation in the workshop</w:t>
            </w:r>
            <w:r>
              <w:rPr>
                <w:rFonts w:eastAsia="Batang" w:cs="Calibri"/>
                <w:sz w:val="22"/>
                <w:szCs w:val="22"/>
                <w:lang w:val="en-US" w:eastAsia="ko-KR"/>
              </w:rPr>
              <w:t>s</w:t>
            </w:r>
            <w:r w:rsidRPr="00BC70C5">
              <w:rPr>
                <w:rFonts w:eastAsia="Batang" w:cs="Calibri"/>
                <w:sz w:val="22"/>
                <w:szCs w:val="22"/>
                <w:lang w:val="en-US" w:eastAsia="ko-KR"/>
              </w:rPr>
              <w:t xml:space="preserve"> is free of charge.</w:t>
            </w:r>
          </w:p>
          <w:p w14:paraId="01C1F0B2" w14:textId="4077D804" w:rsidR="00EC426B" w:rsidRPr="000C2C81" w:rsidRDefault="00EC426B" w:rsidP="00EC426B">
            <w:pPr>
              <w:tabs>
                <w:tab w:val="clear" w:pos="1134"/>
                <w:tab w:val="left" w:pos="900"/>
              </w:tabs>
              <w:spacing w:before="0" w:after="120"/>
              <w:rPr>
                <w:rStyle w:val="eop"/>
                <w:rFonts w:ascii="Calibri" w:hAnsi="Calibri" w:cs="Calibri"/>
                <w:color w:val="000000" w:themeColor="text1"/>
                <w:sz w:val="22"/>
                <w:szCs w:val="22"/>
                <w:lang w:eastAsia="ja-JP"/>
              </w:rPr>
            </w:pPr>
            <w:r>
              <w:rPr>
                <w:sz w:val="22"/>
                <w:szCs w:val="22"/>
              </w:rPr>
              <w:t>9</w:t>
            </w:r>
            <w:r>
              <w:rPr>
                <w:sz w:val="22"/>
                <w:szCs w:val="22"/>
              </w:rPr>
              <w:t>.</w:t>
            </w:r>
            <w:r w:rsidRPr="00BC70C5">
              <w:rPr>
                <w:sz w:val="22"/>
                <w:szCs w:val="22"/>
              </w:rPr>
              <w:tab/>
            </w:r>
            <w:r w:rsidRPr="00BC70C5">
              <w:rPr>
                <w:rStyle w:val="normaltextrun"/>
                <w:rFonts w:ascii="Calibri" w:eastAsiaTheme="majorEastAsia" w:hAnsi="Calibri" w:cs="Calibri"/>
                <w:color w:val="000000"/>
                <w:sz w:val="22"/>
                <w:szCs w:val="22"/>
                <w:shd w:val="clear" w:color="auto" w:fill="FFFFFF"/>
              </w:rPr>
              <w:t>All relevant information pertaining to</w:t>
            </w:r>
            <w:r>
              <w:rPr>
                <w:rStyle w:val="normaltextrun"/>
                <w:rFonts w:ascii="Calibri" w:eastAsiaTheme="majorEastAsia" w:hAnsi="Calibri" w:cs="Calibri"/>
                <w:color w:val="000000"/>
                <w:sz w:val="22"/>
                <w:szCs w:val="22"/>
                <w:shd w:val="clear" w:color="auto" w:fill="FFFFFF"/>
              </w:rPr>
              <w:t xml:space="preserve"> both</w:t>
            </w:r>
            <w:r w:rsidRPr="00BC70C5">
              <w:rPr>
                <w:rStyle w:val="normaltextrun"/>
                <w:rFonts w:ascii="Calibri" w:eastAsiaTheme="majorEastAsia" w:hAnsi="Calibri" w:cs="Calibri"/>
                <w:color w:val="000000"/>
                <w:sz w:val="22"/>
                <w:szCs w:val="22"/>
                <w:shd w:val="clear" w:color="auto" w:fill="FFFFFF"/>
              </w:rPr>
              <w:t xml:space="preserve"> event</w:t>
            </w:r>
            <w:r>
              <w:rPr>
                <w:rStyle w:val="normaltextrun"/>
                <w:rFonts w:ascii="Calibri" w:eastAsiaTheme="majorEastAsia" w:hAnsi="Calibri" w:cs="Calibri"/>
                <w:color w:val="000000"/>
                <w:sz w:val="22"/>
                <w:szCs w:val="22"/>
                <w:shd w:val="clear" w:color="auto" w:fill="FFFFFF"/>
              </w:rPr>
              <w:t>s</w:t>
            </w:r>
            <w:r w:rsidRPr="00BC70C5">
              <w:rPr>
                <w:rStyle w:val="normaltextrun"/>
                <w:rFonts w:ascii="Calibri" w:eastAsiaTheme="majorEastAsia" w:hAnsi="Calibri" w:cs="Calibri"/>
                <w:color w:val="000000"/>
                <w:sz w:val="22"/>
                <w:szCs w:val="22"/>
                <w:shd w:val="clear" w:color="auto" w:fill="FFFFFF"/>
              </w:rPr>
              <w:t xml:space="preserve"> (e.g., draft programme, list of speakers, registration link) will be made available on the</w:t>
            </w:r>
            <w:r>
              <w:rPr>
                <w:rStyle w:val="normaltextrun"/>
                <w:rFonts w:ascii="Calibri" w:eastAsiaTheme="majorEastAsia" w:hAnsi="Calibri" w:cs="Calibri"/>
                <w:color w:val="000000"/>
                <w:sz w:val="22"/>
                <w:szCs w:val="22"/>
                <w:shd w:val="clear" w:color="auto" w:fill="FFFFFF"/>
              </w:rPr>
              <w:t xml:space="preserve"> respective </w:t>
            </w:r>
            <w:r w:rsidRPr="00BC70C5">
              <w:rPr>
                <w:rStyle w:val="normaltextrun"/>
                <w:rFonts w:ascii="Calibri" w:eastAsiaTheme="majorEastAsia" w:hAnsi="Calibri" w:cs="Calibri"/>
                <w:color w:val="000000"/>
                <w:sz w:val="22"/>
                <w:szCs w:val="22"/>
                <w:shd w:val="clear" w:color="auto" w:fill="FFFFFF"/>
              </w:rPr>
              <w:t>event websit</w:t>
            </w:r>
            <w:r>
              <w:rPr>
                <w:rStyle w:val="normaltextrun"/>
                <w:rFonts w:ascii="Calibri" w:eastAsiaTheme="majorEastAsia" w:hAnsi="Calibri" w:cs="Calibri"/>
                <w:color w:val="000000"/>
                <w:sz w:val="22"/>
                <w:szCs w:val="22"/>
                <w:shd w:val="clear" w:color="auto" w:fill="FFFFFF"/>
              </w:rPr>
              <w:t xml:space="preserve">es. </w:t>
            </w:r>
            <w:r w:rsidRPr="00BC70C5">
              <w:rPr>
                <w:rStyle w:val="normaltextrun"/>
                <w:rFonts w:ascii="Calibri" w:eastAsiaTheme="majorEastAsia" w:hAnsi="Calibri" w:cs="Calibri"/>
                <w:color w:val="000000"/>
                <w:sz w:val="22"/>
                <w:szCs w:val="22"/>
                <w:shd w:val="clear" w:color="auto" w:fill="FFFFFF"/>
              </w:rPr>
              <w:t>The website</w:t>
            </w:r>
            <w:r>
              <w:rPr>
                <w:rStyle w:val="normaltextrun"/>
                <w:rFonts w:ascii="Calibri" w:eastAsiaTheme="majorEastAsia" w:hAnsi="Calibri" w:cs="Calibri"/>
                <w:color w:val="000000"/>
                <w:sz w:val="22"/>
                <w:szCs w:val="22"/>
                <w:shd w:val="clear" w:color="auto" w:fill="FFFFFF"/>
              </w:rPr>
              <w:t>s</w:t>
            </w:r>
            <w:r w:rsidRPr="00BC70C5">
              <w:rPr>
                <w:rStyle w:val="normaltextrun"/>
                <w:rFonts w:ascii="Calibri" w:eastAsiaTheme="majorEastAsia" w:hAnsi="Calibri" w:cs="Calibri"/>
                <w:color w:val="000000"/>
                <w:sz w:val="22"/>
                <w:szCs w:val="22"/>
                <w:shd w:val="clear" w:color="auto" w:fill="FFFFFF"/>
              </w:rPr>
              <w:t xml:space="preserve"> will be updated regularly as new or modified information becomes available. Participants are encouraged to check the website periodically for the latest updates.</w:t>
            </w:r>
          </w:p>
          <w:p w14:paraId="083B9B75" w14:textId="50A6D650" w:rsidR="00EC426B" w:rsidRPr="00BC70C5" w:rsidRDefault="00EC426B" w:rsidP="00EC426B">
            <w:pPr>
              <w:tabs>
                <w:tab w:val="clear" w:pos="1134"/>
                <w:tab w:val="left" w:pos="900"/>
              </w:tabs>
              <w:spacing w:before="0" w:after="120"/>
              <w:rPr>
                <w:sz w:val="22"/>
                <w:szCs w:val="22"/>
              </w:rPr>
            </w:pPr>
            <w:r>
              <w:rPr>
                <w:sz w:val="22"/>
                <w:szCs w:val="22"/>
              </w:rPr>
              <w:t>10</w:t>
            </w:r>
            <w:r>
              <w:rPr>
                <w:sz w:val="22"/>
                <w:szCs w:val="22"/>
              </w:rPr>
              <w:t>.</w:t>
            </w:r>
            <w:r>
              <w:tab/>
            </w:r>
            <w:r w:rsidRPr="009C7C49">
              <w:rPr>
                <w:rFonts w:cs="Calibri"/>
                <w:b/>
                <w:bCs/>
                <w:sz w:val="22"/>
                <w:szCs w:val="22"/>
              </w:rPr>
              <w:t xml:space="preserve">Registration to both events </w:t>
            </w:r>
            <w:proofErr w:type="gramStart"/>
            <w:r w:rsidRPr="009C7C49">
              <w:rPr>
                <w:rFonts w:cs="Calibri"/>
                <w:b/>
                <w:bCs/>
                <w:sz w:val="22"/>
                <w:szCs w:val="22"/>
              </w:rPr>
              <w:t>is</w:t>
            </w:r>
            <w:proofErr w:type="gramEnd"/>
            <w:r w:rsidRPr="009C7C49">
              <w:rPr>
                <w:rFonts w:cs="Calibri"/>
                <w:b/>
                <w:bCs/>
                <w:sz w:val="22"/>
                <w:szCs w:val="22"/>
              </w:rPr>
              <w:t xml:space="preserve"> mandatory</w:t>
            </w:r>
            <w:r w:rsidRPr="009C7C49">
              <w:rPr>
                <w:rFonts w:cs="Calibri"/>
                <w:sz w:val="22"/>
                <w:szCs w:val="22"/>
              </w:rPr>
              <w:t xml:space="preserve">. </w:t>
            </w:r>
            <w:r>
              <w:rPr>
                <w:rFonts w:cs="Calibri"/>
                <w:sz w:val="22"/>
                <w:szCs w:val="22"/>
              </w:rPr>
              <w:t xml:space="preserve">There will be a single registration link for both events. </w:t>
            </w:r>
            <w:r w:rsidRPr="00BC70C5">
              <w:rPr>
                <w:rFonts w:cs="Calibri"/>
                <w:sz w:val="22"/>
                <w:szCs w:val="22"/>
              </w:rPr>
              <w:t xml:space="preserve">To enable TSB to make the necessary arrangements concerning the organization of the </w:t>
            </w:r>
            <w:r w:rsidRPr="7BD24E63">
              <w:rPr>
                <w:rFonts w:cs="Calibri"/>
                <w:sz w:val="22"/>
                <w:szCs w:val="22"/>
              </w:rPr>
              <w:t>workshops</w:t>
            </w:r>
            <w:r w:rsidRPr="00BC70C5">
              <w:rPr>
                <w:rFonts w:cs="Calibri"/>
                <w:sz w:val="22"/>
                <w:szCs w:val="22"/>
              </w:rPr>
              <w:t>, I should be grateful if you would register as soon as possible</w:t>
            </w:r>
            <w:r>
              <w:rPr>
                <w:rFonts w:cs="Calibri"/>
                <w:sz w:val="22"/>
                <w:szCs w:val="22"/>
              </w:rPr>
              <w:t xml:space="preserve"> </w:t>
            </w:r>
            <w:r w:rsidRPr="00BC70C5">
              <w:rPr>
                <w:rFonts w:cs="Calibri"/>
                <w:sz w:val="22"/>
                <w:szCs w:val="22"/>
              </w:rPr>
              <w:t>a</w:t>
            </w:r>
            <w:r>
              <w:rPr>
                <w:rFonts w:cs="Calibri"/>
                <w:sz w:val="22"/>
                <w:szCs w:val="22"/>
              </w:rPr>
              <w:t xml:space="preserve">t: </w:t>
            </w:r>
            <w:hyperlink r:id="rId16" w:history="1">
              <w:r w:rsidRPr="000166DF">
                <w:rPr>
                  <w:rStyle w:val="Hyperlink"/>
                  <w:sz w:val="22"/>
                  <w:szCs w:val="22"/>
                </w:rPr>
                <w:t>https://www.itu.int/net4/CRM/xreg/web/Login.aspx?src=Registration&amp;Event=C-00014196</w:t>
              </w:r>
            </w:hyperlink>
            <w:r w:rsidRPr="4CD455DA">
              <w:rPr>
                <w:rFonts w:cs="Calibri"/>
                <w:b/>
                <w:bCs/>
                <w:sz w:val="22"/>
                <w:szCs w:val="22"/>
              </w:rPr>
              <w:t>.</w:t>
            </w:r>
            <w:r w:rsidRPr="00BC70C5">
              <w:rPr>
                <w:rFonts w:cs="Calibri"/>
                <w:b/>
                <w:bCs/>
                <w:sz w:val="22"/>
                <w:szCs w:val="22"/>
              </w:rPr>
              <w:t xml:space="preserve"> Please note that pre-registration of participants for </w:t>
            </w:r>
            <w:r>
              <w:rPr>
                <w:rFonts w:cs="Calibri"/>
                <w:b/>
                <w:bCs/>
                <w:sz w:val="22"/>
                <w:szCs w:val="22"/>
              </w:rPr>
              <w:t xml:space="preserve">the </w:t>
            </w:r>
            <w:r w:rsidRPr="00BC70C5">
              <w:rPr>
                <w:rFonts w:cs="Calibri"/>
                <w:b/>
                <w:bCs/>
                <w:sz w:val="22"/>
                <w:szCs w:val="22"/>
              </w:rPr>
              <w:t xml:space="preserve">workshops is carried out </w:t>
            </w:r>
            <w:r>
              <w:rPr>
                <w:rFonts w:cs="Calibri"/>
                <w:b/>
                <w:bCs/>
                <w:sz w:val="22"/>
                <w:szCs w:val="22"/>
              </w:rPr>
              <w:t xml:space="preserve">exclusively </w:t>
            </w:r>
            <w:r w:rsidRPr="00BC70C5">
              <w:rPr>
                <w:rFonts w:cs="Calibri"/>
                <w:b/>
                <w:bCs/>
                <w:sz w:val="22"/>
                <w:szCs w:val="22"/>
              </w:rPr>
              <w:t xml:space="preserve">online. </w:t>
            </w:r>
          </w:p>
          <w:p w14:paraId="71C79339" w14:textId="2B789221" w:rsidR="00EC426B" w:rsidRPr="000C2C81" w:rsidRDefault="00EC426B" w:rsidP="00EC426B">
            <w:pPr>
              <w:tabs>
                <w:tab w:val="clear" w:pos="1134"/>
                <w:tab w:val="left" w:pos="900"/>
              </w:tabs>
              <w:spacing w:before="0" w:after="120"/>
              <w:rPr>
                <w:sz w:val="22"/>
                <w:szCs w:val="22"/>
              </w:rPr>
            </w:pPr>
            <w:r>
              <w:rPr>
                <w:sz w:val="22"/>
                <w:szCs w:val="22"/>
              </w:rPr>
              <w:t>11</w:t>
            </w:r>
            <w:r>
              <w:rPr>
                <w:sz w:val="22"/>
                <w:szCs w:val="22"/>
              </w:rPr>
              <w:t>.</w:t>
            </w:r>
            <w:r w:rsidRPr="00BC70C5">
              <w:rPr>
                <w:sz w:val="22"/>
                <w:szCs w:val="22"/>
              </w:rPr>
              <w:tab/>
            </w:r>
            <w:r w:rsidRPr="00BC70C5">
              <w:rPr>
                <w:rStyle w:val="normaltextrun"/>
                <w:rFonts w:ascii="Calibri" w:eastAsiaTheme="majorEastAsia" w:hAnsi="Calibri" w:cs="Calibri"/>
                <w:color w:val="000000"/>
                <w:sz w:val="22"/>
                <w:szCs w:val="22"/>
                <w:shd w:val="clear" w:color="auto" w:fill="FFFFFF"/>
              </w:rPr>
              <w:t xml:space="preserve">I would remind you that citizens of some countries are required to obtain a visa to enter and spend any time in Canada. The visa must be requested and obtained from the office (embassy or consulate) representing Canada in your country or, if there is no such office in your country, from the one that is closest to the country of departure. Visa support requests are to be addressed directly to the host of the workshop. Further instructions on visa support and other relevant logistic details </w:t>
            </w:r>
            <w:r>
              <w:rPr>
                <w:rStyle w:val="normaltextrun"/>
                <w:rFonts w:ascii="Calibri" w:hAnsi="Calibri" w:cs="Calibri" w:hint="eastAsia"/>
                <w:color w:val="000000"/>
                <w:sz w:val="22"/>
                <w:szCs w:val="22"/>
                <w:shd w:val="clear" w:color="auto" w:fill="FFFFFF"/>
                <w:lang w:eastAsia="ja-JP"/>
              </w:rPr>
              <w:t>are</w:t>
            </w:r>
            <w:r w:rsidRPr="00BC70C5">
              <w:rPr>
                <w:rStyle w:val="normaltextrun"/>
                <w:rFonts w:ascii="Calibri" w:eastAsiaTheme="majorEastAsia" w:hAnsi="Calibri" w:cs="Calibri"/>
                <w:color w:val="000000"/>
                <w:sz w:val="22"/>
                <w:szCs w:val="22"/>
                <w:shd w:val="clear" w:color="auto" w:fill="FFFFFF"/>
              </w:rPr>
              <w:t xml:space="preserve"> available in </w:t>
            </w:r>
            <w:r w:rsidRPr="000C2C81">
              <w:rPr>
                <w:rStyle w:val="normaltextrun"/>
                <w:rFonts w:ascii="Calibri" w:eastAsiaTheme="majorEastAsia" w:hAnsi="Calibri" w:cs="Calibri"/>
                <w:color w:val="000000"/>
                <w:sz w:val="22"/>
                <w:szCs w:val="22"/>
                <w:shd w:val="clear" w:color="auto" w:fill="FFFFFF"/>
              </w:rPr>
              <w:t xml:space="preserve">the </w:t>
            </w:r>
            <w:hyperlink r:id="rId17" w:anchor="gsc.tab=0" w:history="1">
              <w:r w:rsidRPr="000C2C81">
                <w:rPr>
                  <w:rStyle w:val="Hyperlink"/>
                  <w:rFonts w:ascii="Calibri" w:hAnsi="Calibri" w:cs="Calibri" w:hint="eastAsia"/>
                  <w:sz w:val="22"/>
                  <w:szCs w:val="22"/>
                  <w:shd w:val="clear" w:color="auto" w:fill="FFFFFF"/>
                  <w:lang w:eastAsia="ja-JP"/>
                </w:rPr>
                <w:t>ITU-T SG15 homepage</w:t>
              </w:r>
            </w:hyperlink>
            <w:r w:rsidRPr="000C2C81">
              <w:rPr>
                <w:rStyle w:val="normaltextrun"/>
                <w:rFonts w:ascii="Calibri" w:eastAsiaTheme="majorEastAsia" w:hAnsi="Calibri" w:cs="Calibri"/>
                <w:color w:val="000000"/>
                <w:sz w:val="22"/>
                <w:szCs w:val="22"/>
                <w:shd w:val="clear" w:color="auto" w:fill="FFFFFF"/>
              </w:rPr>
              <w:t>.</w:t>
            </w:r>
          </w:p>
          <w:p w14:paraId="1067D9A0" w14:textId="77777777" w:rsidR="00EC426B" w:rsidRPr="00BC70C5" w:rsidRDefault="00EC426B" w:rsidP="00EC426B">
            <w:pPr>
              <w:tabs>
                <w:tab w:val="clear" w:pos="1134"/>
                <w:tab w:val="left" w:pos="900"/>
              </w:tabs>
              <w:spacing w:before="0" w:after="120"/>
              <w:rPr>
                <w:sz w:val="22"/>
                <w:szCs w:val="22"/>
              </w:rPr>
            </w:pPr>
            <w:r w:rsidRPr="00BC70C5">
              <w:rPr>
                <w:sz w:val="22"/>
                <w:szCs w:val="22"/>
              </w:rPr>
              <w:t>Yours faithfully,</w:t>
            </w:r>
          </w:p>
          <w:p w14:paraId="6C448CBD" w14:textId="6D9265D2" w:rsidR="00EC426B" w:rsidRPr="00EC426B" w:rsidRDefault="00EC426B" w:rsidP="00EC426B">
            <w:pPr>
              <w:tabs>
                <w:tab w:val="clear" w:pos="1134"/>
                <w:tab w:val="clear" w:pos="1871"/>
                <w:tab w:val="clear" w:pos="2268"/>
                <w:tab w:val="left" w:pos="900"/>
                <w:tab w:val="left" w:pos="5355"/>
              </w:tabs>
              <w:spacing w:before="920"/>
              <w:rPr>
                <w:sz w:val="22"/>
                <w:szCs w:val="22"/>
              </w:rPr>
            </w:pPr>
            <w:r w:rsidRPr="00BC70C5">
              <w:rPr>
                <w:noProof/>
                <w:sz w:val="22"/>
                <w:szCs w:val="22"/>
              </w:rPr>
              <w:drawing>
                <wp:anchor distT="0" distB="0" distL="114300" distR="114300" simplePos="0" relativeHeight="251659264" behindDoc="0" locked="0" layoutInCell="1" allowOverlap="1" wp14:anchorId="742AF3C2" wp14:editId="50919E2A">
                  <wp:simplePos x="0" y="0"/>
                  <wp:positionH relativeFrom="column">
                    <wp:posOffset>-1438</wp:posOffset>
                  </wp:positionH>
                  <wp:positionV relativeFrom="paragraph">
                    <wp:posOffset>64880</wp:posOffset>
                  </wp:positionV>
                  <wp:extent cx="660859" cy="279156"/>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stretch>
                            <a:fillRect/>
                          </a:stretch>
                        </pic:blipFill>
                        <pic:spPr>
                          <a:xfrm>
                            <a:off x="0" y="0"/>
                            <a:ext cx="660859" cy="279156"/>
                          </a:xfrm>
                          <a:prstGeom prst="rect">
                            <a:avLst/>
                          </a:prstGeom>
                        </pic:spPr>
                      </pic:pic>
                    </a:graphicData>
                  </a:graphic>
                  <wp14:sizeRelH relativeFrom="margin">
                    <wp14:pctWidth>0</wp14:pctWidth>
                  </wp14:sizeRelH>
                  <wp14:sizeRelV relativeFrom="margin">
                    <wp14:pctHeight>0</wp14:pctHeight>
                  </wp14:sizeRelV>
                </wp:anchor>
              </w:drawing>
            </w:r>
            <w:r w:rsidRPr="00BC70C5">
              <w:rPr>
                <w:sz w:val="22"/>
                <w:szCs w:val="22"/>
              </w:rPr>
              <w:t>Seizo Onoe</w:t>
            </w:r>
            <w:r w:rsidRPr="00BC70C5">
              <w:rPr>
                <w:sz w:val="22"/>
                <w:szCs w:val="22"/>
              </w:rPr>
              <w:br/>
              <w:t>Director of the Telecommunication</w:t>
            </w:r>
            <w:r w:rsidRPr="00BC70C5">
              <w:rPr>
                <w:sz w:val="22"/>
                <w:szCs w:val="22"/>
              </w:rPr>
              <w:br/>
              <w:t>Standardization Bureau</w:t>
            </w:r>
          </w:p>
        </w:tc>
      </w:tr>
    </w:tbl>
    <w:p w14:paraId="20C2AC01" w14:textId="0D6A8629" w:rsidR="005D2B53" w:rsidRPr="00BC70C5" w:rsidRDefault="005D2B53" w:rsidP="00EC426B">
      <w:pPr>
        <w:pStyle w:val="Normalaftertitle0"/>
        <w:spacing w:before="0"/>
        <w:rPr>
          <w:sz w:val="22"/>
          <w:szCs w:val="22"/>
        </w:rPr>
      </w:pPr>
      <w:bookmarkStart w:id="5" w:name="StartTyping_E"/>
      <w:bookmarkEnd w:id="5"/>
    </w:p>
    <w:sectPr w:rsidR="005D2B53" w:rsidRPr="00BC70C5" w:rsidSect="00634D6B">
      <w:head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2672" w14:textId="77777777" w:rsidR="004F1118" w:rsidRDefault="004F1118">
      <w:r>
        <w:separator/>
      </w:r>
    </w:p>
  </w:endnote>
  <w:endnote w:type="continuationSeparator" w:id="0">
    <w:p w14:paraId="67BBBA06" w14:textId="77777777" w:rsidR="004F1118" w:rsidRDefault="004F1118">
      <w:r>
        <w:continuationSeparator/>
      </w:r>
    </w:p>
  </w:endnote>
  <w:endnote w:type="continuationNotice" w:id="1">
    <w:p w14:paraId="4C85217E" w14:textId="77777777" w:rsidR="004F1118" w:rsidRDefault="004F11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800008E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05E5" w14:textId="77777777" w:rsidR="004F1118" w:rsidRDefault="004F1118">
      <w:r>
        <w:t>____________________</w:t>
      </w:r>
    </w:p>
  </w:footnote>
  <w:footnote w:type="continuationSeparator" w:id="0">
    <w:p w14:paraId="7B3B2D32" w14:textId="77777777" w:rsidR="004F1118" w:rsidRDefault="004F1118">
      <w:r>
        <w:continuationSeparator/>
      </w:r>
    </w:p>
  </w:footnote>
  <w:footnote w:type="continuationNotice" w:id="1">
    <w:p w14:paraId="010FA18D" w14:textId="77777777" w:rsidR="004F1118" w:rsidRDefault="004F111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4CB1" w14:textId="49CF24ED" w:rsidR="2D4A7700" w:rsidRDefault="2D4A7700" w:rsidP="2D4A7700">
    <w:pPr>
      <w:pStyle w:val="Header"/>
      <w:spacing w:after="240"/>
      <w:rPr>
        <w:rStyle w:val="PageNumber"/>
      </w:rPr>
    </w:pPr>
    <w:r w:rsidRPr="2D4A7700">
      <w:rPr>
        <w:lang w:val="en-US"/>
      </w:rPr>
      <w:t xml:space="preserve">- </w:t>
    </w:r>
    <w:r w:rsidRPr="2D4A7700">
      <w:rPr>
        <w:rStyle w:val="PageNumber"/>
        <w:noProof/>
      </w:rPr>
      <w:fldChar w:fldCharType="begin"/>
    </w:r>
    <w:r w:rsidRPr="2D4A7700">
      <w:rPr>
        <w:rStyle w:val="PageNumber"/>
      </w:rPr>
      <w:instrText xml:space="preserve"> PAGE </w:instrText>
    </w:r>
    <w:r w:rsidRPr="2D4A7700">
      <w:rPr>
        <w:rStyle w:val="PageNumber"/>
      </w:rPr>
      <w:fldChar w:fldCharType="separate"/>
    </w:r>
    <w:r w:rsidRPr="2D4A7700">
      <w:rPr>
        <w:rStyle w:val="PageNumber"/>
        <w:noProof/>
      </w:rPr>
      <w:t>2</w:t>
    </w:r>
    <w:r w:rsidRPr="2D4A7700">
      <w:rPr>
        <w:rStyle w:val="PageNumber"/>
        <w:noProof/>
      </w:rPr>
      <w:fldChar w:fldCharType="end"/>
    </w:r>
    <w:r w:rsidR="44693F3A" w:rsidRPr="44693F3A">
      <w:rPr>
        <w:rStyle w:val="PageNumber"/>
      </w:rPr>
      <w:t xml:space="preserve"> -</w:t>
    </w:r>
    <w:r w:rsidR="44693F3A">
      <w:br/>
    </w:r>
    <w:r w:rsidR="44693F3A" w:rsidRPr="44693F3A">
      <w:rPr>
        <w:rStyle w:val="PageNumber"/>
      </w:rPr>
      <w:t>TSB Circular 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0EC"/>
    <w:multiLevelType w:val="hybridMultilevel"/>
    <w:tmpl w:val="1EBA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73A59"/>
    <w:multiLevelType w:val="hybridMultilevel"/>
    <w:tmpl w:val="803AA6A2"/>
    <w:lvl w:ilvl="0" w:tplc="DD3CF870">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A23E1"/>
    <w:multiLevelType w:val="hybridMultilevel"/>
    <w:tmpl w:val="734CC1B8"/>
    <w:lvl w:ilvl="0" w:tplc="CE30B150">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10C90"/>
    <w:multiLevelType w:val="hybridMultilevel"/>
    <w:tmpl w:val="5B0E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1182E"/>
    <w:multiLevelType w:val="hybridMultilevel"/>
    <w:tmpl w:val="1564FC9E"/>
    <w:lvl w:ilvl="0" w:tplc="0E5AEE0E">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34383"/>
    <w:multiLevelType w:val="hybridMultilevel"/>
    <w:tmpl w:val="DCF2EC58"/>
    <w:lvl w:ilvl="0" w:tplc="CE30B150">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15:restartNumberingAfterBreak="0">
    <w:nsid w:val="58F33C78"/>
    <w:multiLevelType w:val="hybridMultilevel"/>
    <w:tmpl w:val="379CD5B6"/>
    <w:lvl w:ilvl="0" w:tplc="A9965C94">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70CA44B1"/>
    <w:multiLevelType w:val="hybridMultilevel"/>
    <w:tmpl w:val="BE66CA20"/>
    <w:lvl w:ilvl="0" w:tplc="38A80AD2">
      <w:numFmt w:val="bullet"/>
      <w:lvlText w:val="–"/>
      <w:lvlJc w:val="left"/>
      <w:pPr>
        <w:ind w:left="1080" w:hanging="360"/>
      </w:pPr>
      <w:rPr>
        <w:rFonts w:ascii="Calibri" w:eastAsiaTheme="majorEastAsia" w:hAnsi="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197183">
    <w:abstractNumId w:val="8"/>
  </w:num>
  <w:num w:numId="2" w16cid:durableId="923687538">
    <w:abstractNumId w:val="2"/>
  </w:num>
  <w:num w:numId="3" w16cid:durableId="209851215">
    <w:abstractNumId w:val="1"/>
  </w:num>
  <w:num w:numId="4" w16cid:durableId="58482928">
    <w:abstractNumId w:val="12"/>
  </w:num>
  <w:num w:numId="5" w16cid:durableId="854421312">
    <w:abstractNumId w:val="14"/>
  </w:num>
  <w:num w:numId="6" w16cid:durableId="1241595101">
    <w:abstractNumId w:val="15"/>
  </w:num>
  <w:num w:numId="7" w16cid:durableId="596519101">
    <w:abstractNumId w:val="19"/>
  </w:num>
  <w:num w:numId="8" w16cid:durableId="637339870">
    <w:abstractNumId w:val="5"/>
  </w:num>
  <w:num w:numId="9" w16cid:durableId="1563982669">
    <w:abstractNumId w:val="10"/>
  </w:num>
  <w:num w:numId="10" w16cid:durableId="510216815">
    <w:abstractNumId w:val="21"/>
  </w:num>
  <w:num w:numId="11" w16cid:durableId="1017656960">
    <w:abstractNumId w:val="9"/>
  </w:num>
  <w:num w:numId="12" w16cid:durableId="2141683595">
    <w:abstractNumId w:val="17"/>
  </w:num>
  <w:num w:numId="13" w16cid:durableId="1566138403">
    <w:abstractNumId w:val="20"/>
  </w:num>
  <w:num w:numId="14" w16cid:durableId="875773493">
    <w:abstractNumId w:val="6"/>
  </w:num>
  <w:num w:numId="15" w16cid:durableId="739133960">
    <w:abstractNumId w:val="11"/>
  </w:num>
  <w:num w:numId="16" w16cid:durableId="1726950850">
    <w:abstractNumId w:val="4"/>
  </w:num>
  <w:num w:numId="17" w16cid:durableId="60031751">
    <w:abstractNumId w:val="18"/>
  </w:num>
  <w:num w:numId="18" w16cid:durableId="1765222625">
    <w:abstractNumId w:val="0"/>
  </w:num>
  <w:num w:numId="19" w16cid:durableId="962467961">
    <w:abstractNumId w:val="7"/>
  </w:num>
  <w:num w:numId="20" w16cid:durableId="1545747832">
    <w:abstractNumId w:val="13"/>
  </w:num>
  <w:num w:numId="21" w16cid:durableId="2085713003">
    <w:abstractNumId w:val="3"/>
  </w:num>
  <w:num w:numId="22" w16cid:durableId="6368399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335E"/>
    <w:rsid w:val="00005959"/>
    <w:rsid w:val="00005AA9"/>
    <w:rsid w:val="0000612C"/>
    <w:rsid w:val="000069D4"/>
    <w:rsid w:val="00011424"/>
    <w:rsid w:val="00015F65"/>
    <w:rsid w:val="000174AD"/>
    <w:rsid w:val="00022725"/>
    <w:rsid w:val="00023277"/>
    <w:rsid w:val="00027F69"/>
    <w:rsid w:val="00034325"/>
    <w:rsid w:val="00037236"/>
    <w:rsid w:val="0004219C"/>
    <w:rsid w:val="00047042"/>
    <w:rsid w:val="0006205F"/>
    <w:rsid w:val="00062924"/>
    <w:rsid w:val="00062E8C"/>
    <w:rsid w:val="00066D0D"/>
    <w:rsid w:val="00066EB9"/>
    <w:rsid w:val="00071E10"/>
    <w:rsid w:val="00075011"/>
    <w:rsid w:val="00075F9D"/>
    <w:rsid w:val="00076775"/>
    <w:rsid w:val="0009097B"/>
    <w:rsid w:val="00093775"/>
    <w:rsid w:val="000A0C60"/>
    <w:rsid w:val="000A3261"/>
    <w:rsid w:val="000A6F5D"/>
    <w:rsid w:val="000A7D55"/>
    <w:rsid w:val="000C2C81"/>
    <w:rsid w:val="000C2E8E"/>
    <w:rsid w:val="000C7BFA"/>
    <w:rsid w:val="000D03EA"/>
    <w:rsid w:val="000D49FB"/>
    <w:rsid w:val="000D77A5"/>
    <w:rsid w:val="000D7D4D"/>
    <w:rsid w:val="000E0E7C"/>
    <w:rsid w:val="000E30A9"/>
    <w:rsid w:val="000E7AED"/>
    <w:rsid w:val="000F1B4B"/>
    <w:rsid w:val="00103503"/>
    <w:rsid w:val="00103631"/>
    <w:rsid w:val="00107235"/>
    <w:rsid w:val="00110436"/>
    <w:rsid w:val="001118F1"/>
    <w:rsid w:val="00115E69"/>
    <w:rsid w:val="00122D83"/>
    <w:rsid w:val="00122EBE"/>
    <w:rsid w:val="00125818"/>
    <w:rsid w:val="0012744F"/>
    <w:rsid w:val="00130639"/>
    <w:rsid w:val="00130837"/>
    <w:rsid w:val="0013103F"/>
    <w:rsid w:val="001318A7"/>
    <w:rsid w:val="0013316F"/>
    <w:rsid w:val="00140E18"/>
    <w:rsid w:val="00141285"/>
    <w:rsid w:val="0014147B"/>
    <w:rsid w:val="0014328B"/>
    <w:rsid w:val="00144EF5"/>
    <w:rsid w:val="00145EB0"/>
    <w:rsid w:val="00147901"/>
    <w:rsid w:val="0015057B"/>
    <w:rsid w:val="00154124"/>
    <w:rsid w:val="00156DFF"/>
    <w:rsid w:val="00156F66"/>
    <w:rsid w:val="0015780B"/>
    <w:rsid w:val="0016384C"/>
    <w:rsid w:val="00163C5E"/>
    <w:rsid w:val="00164B7E"/>
    <w:rsid w:val="0018116D"/>
    <w:rsid w:val="00181E3B"/>
    <w:rsid w:val="00182528"/>
    <w:rsid w:val="0018500B"/>
    <w:rsid w:val="001866E7"/>
    <w:rsid w:val="00196103"/>
    <w:rsid w:val="00196A19"/>
    <w:rsid w:val="001A2A59"/>
    <w:rsid w:val="001A4576"/>
    <w:rsid w:val="001A4B51"/>
    <w:rsid w:val="001A7566"/>
    <w:rsid w:val="001A7EB4"/>
    <w:rsid w:val="001B0C13"/>
    <w:rsid w:val="001B1042"/>
    <w:rsid w:val="001B5B16"/>
    <w:rsid w:val="001C1DD9"/>
    <w:rsid w:val="001C3018"/>
    <w:rsid w:val="001C46B1"/>
    <w:rsid w:val="001C654F"/>
    <w:rsid w:val="001C6B1D"/>
    <w:rsid w:val="001C77FD"/>
    <w:rsid w:val="001D1A9B"/>
    <w:rsid w:val="001D1C12"/>
    <w:rsid w:val="001E1011"/>
    <w:rsid w:val="001F127B"/>
    <w:rsid w:val="001F1582"/>
    <w:rsid w:val="001F539B"/>
    <w:rsid w:val="001F7DAF"/>
    <w:rsid w:val="00202198"/>
    <w:rsid w:val="00202DC1"/>
    <w:rsid w:val="002116EE"/>
    <w:rsid w:val="0021209C"/>
    <w:rsid w:val="00221C12"/>
    <w:rsid w:val="00222D56"/>
    <w:rsid w:val="002272D0"/>
    <w:rsid w:val="002306CD"/>
    <w:rsid w:val="002309D8"/>
    <w:rsid w:val="002321AA"/>
    <w:rsid w:val="00233492"/>
    <w:rsid w:val="00235FA1"/>
    <w:rsid w:val="0024075D"/>
    <w:rsid w:val="0024314F"/>
    <w:rsid w:val="0024761A"/>
    <w:rsid w:val="00261C04"/>
    <w:rsid w:val="00263509"/>
    <w:rsid w:val="00264654"/>
    <w:rsid w:val="0026567E"/>
    <w:rsid w:val="002909F9"/>
    <w:rsid w:val="002913A2"/>
    <w:rsid w:val="00291542"/>
    <w:rsid w:val="002A19F3"/>
    <w:rsid w:val="002A1FFE"/>
    <w:rsid w:val="002A7FE2"/>
    <w:rsid w:val="002B5F0C"/>
    <w:rsid w:val="002B7445"/>
    <w:rsid w:val="002D12ED"/>
    <w:rsid w:val="002D13CC"/>
    <w:rsid w:val="002D693F"/>
    <w:rsid w:val="002E015E"/>
    <w:rsid w:val="002E1B4F"/>
    <w:rsid w:val="002F0043"/>
    <w:rsid w:val="002F2DCC"/>
    <w:rsid w:val="002F2E67"/>
    <w:rsid w:val="002F3D32"/>
    <w:rsid w:val="002F4914"/>
    <w:rsid w:val="002F549A"/>
    <w:rsid w:val="002F59EF"/>
    <w:rsid w:val="002F6A16"/>
    <w:rsid w:val="003047B7"/>
    <w:rsid w:val="003055C9"/>
    <w:rsid w:val="00305761"/>
    <w:rsid w:val="00307BE5"/>
    <w:rsid w:val="0031148E"/>
    <w:rsid w:val="00313042"/>
    <w:rsid w:val="0031444A"/>
    <w:rsid w:val="00315546"/>
    <w:rsid w:val="00323D71"/>
    <w:rsid w:val="003264CE"/>
    <w:rsid w:val="00330567"/>
    <w:rsid w:val="003327D6"/>
    <w:rsid w:val="00332E9D"/>
    <w:rsid w:val="0033332B"/>
    <w:rsid w:val="00333C59"/>
    <w:rsid w:val="0033475A"/>
    <w:rsid w:val="00344BEA"/>
    <w:rsid w:val="00347AF2"/>
    <w:rsid w:val="00351DA5"/>
    <w:rsid w:val="00355180"/>
    <w:rsid w:val="00355D59"/>
    <w:rsid w:val="003561E1"/>
    <w:rsid w:val="003608B3"/>
    <w:rsid w:val="00364487"/>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A6D1E"/>
    <w:rsid w:val="003A7073"/>
    <w:rsid w:val="003B2789"/>
    <w:rsid w:val="003B6B61"/>
    <w:rsid w:val="003C13CE"/>
    <w:rsid w:val="003C39BB"/>
    <w:rsid w:val="003C58BF"/>
    <w:rsid w:val="003D38E3"/>
    <w:rsid w:val="003D7EAD"/>
    <w:rsid w:val="003E2518"/>
    <w:rsid w:val="003E4ABE"/>
    <w:rsid w:val="003E6CFD"/>
    <w:rsid w:val="003F1DE8"/>
    <w:rsid w:val="003F6658"/>
    <w:rsid w:val="00402DE4"/>
    <w:rsid w:val="00420763"/>
    <w:rsid w:val="0042284C"/>
    <w:rsid w:val="00424D56"/>
    <w:rsid w:val="00426DFF"/>
    <w:rsid w:val="00442983"/>
    <w:rsid w:val="0044618C"/>
    <w:rsid w:val="00447BC4"/>
    <w:rsid w:val="0045016D"/>
    <w:rsid w:val="0045295D"/>
    <w:rsid w:val="00452ECF"/>
    <w:rsid w:val="00456F33"/>
    <w:rsid w:val="004606D4"/>
    <w:rsid w:val="0046208E"/>
    <w:rsid w:val="0046364B"/>
    <w:rsid w:val="0046420A"/>
    <w:rsid w:val="004648D7"/>
    <w:rsid w:val="00474150"/>
    <w:rsid w:val="004850CB"/>
    <w:rsid w:val="004A0ED8"/>
    <w:rsid w:val="004A2393"/>
    <w:rsid w:val="004A3F79"/>
    <w:rsid w:val="004B1EF7"/>
    <w:rsid w:val="004B376A"/>
    <w:rsid w:val="004B3FAD"/>
    <w:rsid w:val="004B4988"/>
    <w:rsid w:val="004C1193"/>
    <w:rsid w:val="004C4F93"/>
    <w:rsid w:val="004D0DCE"/>
    <w:rsid w:val="004D567C"/>
    <w:rsid w:val="004E202F"/>
    <w:rsid w:val="004E22C8"/>
    <w:rsid w:val="004E6972"/>
    <w:rsid w:val="004F1118"/>
    <w:rsid w:val="00501DCA"/>
    <w:rsid w:val="00512FA6"/>
    <w:rsid w:val="00513A47"/>
    <w:rsid w:val="0051688E"/>
    <w:rsid w:val="00521349"/>
    <w:rsid w:val="00521F67"/>
    <w:rsid w:val="00522E5D"/>
    <w:rsid w:val="00526FF8"/>
    <w:rsid w:val="005368B6"/>
    <w:rsid w:val="005408DF"/>
    <w:rsid w:val="00543481"/>
    <w:rsid w:val="00545268"/>
    <w:rsid w:val="005460A3"/>
    <w:rsid w:val="00547214"/>
    <w:rsid w:val="00553DDF"/>
    <w:rsid w:val="00554441"/>
    <w:rsid w:val="0056338C"/>
    <w:rsid w:val="00571130"/>
    <w:rsid w:val="00573344"/>
    <w:rsid w:val="00583F9B"/>
    <w:rsid w:val="00584516"/>
    <w:rsid w:val="00590F1D"/>
    <w:rsid w:val="00592D81"/>
    <w:rsid w:val="00593789"/>
    <w:rsid w:val="005A3191"/>
    <w:rsid w:val="005A3D50"/>
    <w:rsid w:val="005B0F78"/>
    <w:rsid w:val="005B43C6"/>
    <w:rsid w:val="005D2B53"/>
    <w:rsid w:val="005D69FA"/>
    <w:rsid w:val="005D7D3C"/>
    <w:rsid w:val="005E1223"/>
    <w:rsid w:val="005E2B06"/>
    <w:rsid w:val="005E3FF7"/>
    <w:rsid w:val="005E480F"/>
    <w:rsid w:val="005E56AA"/>
    <w:rsid w:val="005E5C10"/>
    <w:rsid w:val="005F0EE4"/>
    <w:rsid w:val="005F19FF"/>
    <w:rsid w:val="005F2C78"/>
    <w:rsid w:val="005F486F"/>
    <w:rsid w:val="005F4EC6"/>
    <w:rsid w:val="00602986"/>
    <w:rsid w:val="00603370"/>
    <w:rsid w:val="006144E4"/>
    <w:rsid w:val="006145B0"/>
    <w:rsid w:val="00615D69"/>
    <w:rsid w:val="00620A64"/>
    <w:rsid w:val="00623AE2"/>
    <w:rsid w:val="00634893"/>
    <w:rsid w:val="00634D6B"/>
    <w:rsid w:val="00640A88"/>
    <w:rsid w:val="00642014"/>
    <w:rsid w:val="00643E20"/>
    <w:rsid w:val="00643EE1"/>
    <w:rsid w:val="00644BB9"/>
    <w:rsid w:val="00644F86"/>
    <w:rsid w:val="00650299"/>
    <w:rsid w:val="00655FC5"/>
    <w:rsid w:val="00656EA1"/>
    <w:rsid w:val="00657F9C"/>
    <w:rsid w:val="0066579E"/>
    <w:rsid w:val="00665E91"/>
    <w:rsid w:val="006735FA"/>
    <w:rsid w:val="00680A88"/>
    <w:rsid w:val="00687DCE"/>
    <w:rsid w:val="006902B3"/>
    <w:rsid w:val="006A1D7C"/>
    <w:rsid w:val="006A5433"/>
    <w:rsid w:val="006B0395"/>
    <w:rsid w:val="006B1D54"/>
    <w:rsid w:val="006B2080"/>
    <w:rsid w:val="006B4E2F"/>
    <w:rsid w:val="006C07C4"/>
    <w:rsid w:val="006D46B9"/>
    <w:rsid w:val="006E1B78"/>
    <w:rsid w:val="006E337F"/>
    <w:rsid w:val="006E6F42"/>
    <w:rsid w:val="006F3345"/>
    <w:rsid w:val="006F5269"/>
    <w:rsid w:val="00711EC5"/>
    <w:rsid w:val="007167AB"/>
    <w:rsid w:val="00726BE3"/>
    <w:rsid w:val="00727173"/>
    <w:rsid w:val="00730BDC"/>
    <w:rsid w:val="007349C0"/>
    <w:rsid w:val="00737C89"/>
    <w:rsid w:val="0074368B"/>
    <w:rsid w:val="007558C0"/>
    <w:rsid w:val="00755DCD"/>
    <w:rsid w:val="00757AF1"/>
    <w:rsid w:val="007633E9"/>
    <w:rsid w:val="00763B33"/>
    <w:rsid w:val="00766F6B"/>
    <w:rsid w:val="00767230"/>
    <w:rsid w:val="00777A31"/>
    <w:rsid w:val="007844F7"/>
    <w:rsid w:val="007858A0"/>
    <w:rsid w:val="00787A3C"/>
    <w:rsid w:val="00790FB5"/>
    <w:rsid w:val="00797035"/>
    <w:rsid w:val="00797810"/>
    <w:rsid w:val="007A6C7C"/>
    <w:rsid w:val="007A737B"/>
    <w:rsid w:val="007A7AD0"/>
    <w:rsid w:val="007C7926"/>
    <w:rsid w:val="007D0124"/>
    <w:rsid w:val="007D2F64"/>
    <w:rsid w:val="007D537B"/>
    <w:rsid w:val="007D5B99"/>
    <w:rsid w:val="007D76B9"/>
    <w:rsid w:val="007D7EE3"/>
    <w:rsid w:val="007D7FF7"/>
    <w:rsid w:val="007E39A4"/>
    <w:rsid w:val="007E3BC8"/>
    <w:rsid w:val="007F789A"/>
    <w:rsid w:val="007F7962"/>
    <w:rsid w:val="007F79FC"/>
    <w:rsid w:val="008105BD"/>
    <w:rsid w:val="00814F57"/>
    <w:rsid w:val="00822581"/>
    <w:rsid w:val="008230D7"/>
    <w:rsid w:val="008309DD"/>
    <w:rsid w:val="0083227A"/>
    <w:rsid w:val="008372C3"/>
    <w:rsid w:val="008415E7"/>
    <w:rsid w:val="0084644B"/>
    <w:rsid w:val="00851140"/>
    <w:rsid w:val="0085284A"/>
    <w:rsid w:val="0085464A"/>
    <w:rsid w:val="00856120"/>
    <w:rsid w:val="00863180"/>
    <w:rsid w:val="008663E3"/>
    <w:rsid w:val="00866900"/>
    <w:rsid w:val="00870336"/>
    <w:rsid w:val="008710F3"/>
    <w:rsid w:val="00871959"/>
    <w:rsid w:val="00872BF7"/>
    <w:rsid w:val="0087300D"/>
    <w:rsid w:val="00874D8F"/>
    <w:rsid w:val="008751FF"/>
    <w:rsid w:val="00877242"/>
    <w:rsid w:val="00880D81"/>
    <w:rsid w:val="00881BA1"/>
    <w:rsid w:val="008820D0"/>
    <w:rsid w:val="0088403A"/>
    <w:rsid w:val="008A0A55"/>
    <w:rsid w:val="008A0BAA"/>
    <w:rsid w:val="008A61EA"/>
    <w:rsid w:val="008A739C"/>
    <w:rsid w:val="008B1C94"/>
    <w:rsid w:val="008B2A3A"/>
    <w:rsid w:val="008B714F"/>
    <w:rsid w:val="008C26B8"/>
    <w:rsid w:val="008D3799"/>
    <w:rsid w:val="008D4B4C"/>
    <w:rsid w:val="008E0F5A"/>
    <w:rsid w:val="008E28D9"/>
    <w:rsid w:val="008E32D1"/>
    <w:rsid w:val="008E3578"/>
    <w:rsid w:val="008F1CFE"/>
    <w:rsid w:val="008F39FA"/>
    <w:rsid w:val="00905A46"/>
    <w:rsid w:val="00915157"/>
    <w:rsid w:val="00915429"/>
    <w:rsid w:val="00915592"/>
    <w:rsid w:val="00915C9B"/>
    <w:rsid w:val="00917FF3"/>
    <w:rsid w:val="009252B8"/>
    <w:rsid w:val="009273EC"/>
    <w:rsid w:val="00932E45"/>
    <w:rsid w:val="00937C61"/>
    <w:rsid w:val="009543EF"/>
    <w:rsid w:val="00960C11"/>
    <w:rsid w:val="00965932"/>
    <w:rsid w:val="00965E6D"/>
    <w:rsid w:val="00966C70"/>
    <w:rsid w:val="00976D71"/>
    <w:rsid w:val="00982084"/>
    <w:rsid w:val="00991A72"/>
    <w:rsid w:val="0099232E"/>
    <w:rsid w:val="00994183"/>
    <w:rsid w:val="00994C0C"/>
    <w:rsid w:val="00995963"/>
    <w:rsid w:val="009A17A2"/>
    <w:rsid w:val="009A2BDE"/>
    <w:rsid w:val="009A54D9"/>
    <w:rsid w:val="009B3ADD"/>
    <w:rsid w:val="009B4024"/>
    <w:rsid w:val="009B61EB"/>
    <w:rsid w:val="009B6449"/>
    <w:rsid w:val="009B662D"/>
    <w:rsid w:val="009B7691"/>
    <w:rsid w:val="009C2064"/>
    <w:rsid w:val="009C3DB5"/>
    <w:rsid w:val="009C7C49"/>
    <w:rsid w:val="009D092D"/>
    <w:rsid w:val="009D1697"/>
    <w:rsid w:val="009D40D7"/>
    <w:rsid w:val="009D59C0"/>
    <w:rsid w:val="009E0E1E"/>
    <w:rsid w:val="009F17F4"/>
    <w:rsid w:val="00A014F8"/>
    <w:rsid w:val="00A03A7D"/>
    <w:rsid w:val="00A05CAB"/>
    <w:rsid w:val="00A05E8D"/>
    <w:rsid w:val="00A11DBB"/>
    <w:rsid w:val="00A11DCA"/>
    <w:rsid w:val="00A14C49"/>
    <w:rsid w:val="00A20154"/>
    <w:rsid w:val="00A2271D"/>
    <w:rsid w:val="00A2576E"/>
    <w:rsid w:val="00A25A66"/>
    <w:rsid w:val="00A40A96"/>
    <w:rsid w:val="00A43824"/>
    <w:rsid w:val="00A440FA"/>
    <w:rsid w:val="00A5173C"/>
    <w:rsid w:val="00A5354B"/>
    <w:rsid w:val="00A5557D"/>
    <w:rsid w:val="00A56843"/>
    <w:rsid w:val="00A61AEF"/>
    <w:rsid w:val="00A64494"/>
    <w:rsid w:val="00A80417"/>
    <w:rsid w:val="00A81B26"/>
    <w:rsid w:val="00A9018E"/>
    <w:rsid w:val="00A94710"/>
    <w:rsid w:val="00A94DAB"/>
    <w:rsid w:val="00A97AB0"/>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2CD4"/>
    <w:rsid w:val="00AF36E4"/>
    <w:rsid w:val="00AF39E5"/>
    <w:rsid w:val="00AF3F54"/>
    <w:rsid w:val="00AF47A3"/>
    <w:rsid w:val="00AF702F"/>
    <w:rsid w:val="00B04447"/>
    <w:rsid w:val="00B066A4"/>
    <w:rsid w:val="00B07A13"/>
    <w:rsid w:val="00B12847"/>
    <w:rsid w:val="00B143E2"/>
    <w:rsid w:val="00B22956"/>
    <w:rsid w:val="00B25227"/>
    <w:rsid w:val="00B27A02"/>
    <w:rsid w:val="00B32B08"/>
    <w:rsid w:val="00B37469"/>
    <w:rsid w:val="00B4109B"/>
    <w:rsid w:val="00B421A6"/>
    <w:rsid w:val="00B4279B"/>
    <w:rsid w:val="00B42ADC"/>
    <w:rsid w:val="00B45FC9"/>
    <w:rsid w:val="00B50CB6"/>
    <w:rsid w:val="00B51487"/>
    <w:rsid w:val="00B5276A"/>
    <w:rsid w:val="00B559DF"/>
    <w:rsid w:val="00B5674A"/>
    <w:rsid w:val="00B60CA8"/>
    <w:rsid w:val="00B61283"/>
    <w:rsid w:val="00B63ADF"/>
    <w:rsid w:val="00B64149"/>
    <w:rsid w:val="00B665B0"/>
    <w:rsid w:val="00B66EDB"/>
    <w:rsid w:val="00B67350"/>
    <w:rsid w:val="00B705AE"/>
    <w:rsid w:val="00B72058"/>
    <w:rsid w:val="00B73CBA"/>
    <w:rsid w:val="00B75C3E"/>
    <w:rsid w:val="00B75D2D"/>
    <w:rsid w:val="00B776BF"/>
    <w:rsid w:val="00B77FBC"/>
    <w:rsid w:val="00B81A42"/>
    <w:rsid w:val="00B83461"/>
    <w:rsid w:val="00B837E4"/>
    <w:rsid w:val="00B854E3"/>
    <w:rsid w:val="00B9101C"/>
    <w:rsid w:val="00B910C0"/>
    <w:rsid w:val="00B92222"/>
    <w:rsid w:val="00B94DE5"/>
    <w:rsid w:val="00BA1944"/>
    <w:rsid w:val="00BA3914"/>
    <w:rsid w:val="00BA4DAE"/>
    <w:rsid w:val="00BA6E3B"/>
    <w:rsid w:val="00BA78AB"/>
    <w:rsid w:val="00BB1D6D"/>
    <w:rsid w:val="00BB7232"/>
    <w:rsid w:val="00BC1330"/>
    <w:rsid w:val="00BC3C27"/>
    <w:rsid w:val="00BC70C5"/>
    <w:rsid w:val="00BC7CCF"/>
    <w:rsid w:val="00BD2937"/>
    <w:rsid w:val="00BD3579"/>
    <w:rsid w:val="00BD3B80"/>
    <w:rsid w:val="00BD5411"/>
    <w:rsid w:val="00BE0E3D"/>
    <w:rsid w:val="00BE319C"/>
    <w:rsid w:val="00BE470B"/>
    <w:rsid w:val="00BE6C71"/>
    <w:rsid w:val="00BE7F3A"/>
    <w:rsid w:val="00BF0471"/>
    <w:rsid w:val="00BF59A4"/>
    <w:rsid w:val="00C041E7"/>
    <w:rsid w:val="00C04F98"/>
    <w:rsid w:val="00C07E56"/>
    <w:rsid w:val="00C248F7"/>
    <w:rsid w:val="00C25579"/>
    <w:rsid w:val="00C27BDB"/>
    <w:rsid w:val="00C30B32"/>
    <w:rsid w:val="00C31DDB"/>
    <w:rsid w:val="00C420A6"/>
    <w:rsid w:val="00C57A91"/>
    <w:rsid w:val="00C57FEC"/>
    <w:rsid w:val="00C62820"/>
    <w:rsid w:val="00C6344E"/>
    <w:rsid w:val="00C63CE7"/>
    <w:rsid w:val="00C63FC0"/>
    <w:rsid w:val="00C643F1"/>
    <w:rsid w:val="00C6617B"/>
    <w:rsid w:val="00C668ED"/>
    <w:rsid w:val="00C71357"/>
    <w:rsid w:val="00C80706"/>
    <w:rsid w:val="00C80FB9"/>
    <w:rsid w:val="00C81B43"/>
    <w:rsid w:val="00C906A2"/>
    <w:rsid w:val="00C919EC"/>
    <w:rsid w:val="00C92BC8"/>
    <w:rsid w:val="00C933AC"/>
    <w:rsid w:val="00CA5AA1"/>
    <w:rsid w:val="00CA5F8E"/>
    <w:rsid w:val="00CB44D6"/>
    <w:rsid w:val="00CB6982"/>
    <w:rsid w:val="00CC01C2"/>
    <w:rsid w:val="00CC2DDB"/>
    <w:rsid w:val="00CC3FC7"/>
    <w:rsid w:val="00CC4252"/>
    <w:rsid w:val="00CC657A"/>
    <w:rsid w:val="00CC7049"/>
    <w:rsid w:val="00CC7C8A"/>
    <w:rsid w:val="00CD09A2"/>
    <w:rsid w:val="00CD52BA"/>
    <w:rsid w:val="00CD5AEE"/>
    <w:rsid w:val="00CD63EC"/>
    <w:rsid w:val="00CD75C0"/>
    <w:rsid w:val="00CD78DE"/>
    <w:rsid w:val="00CD7F8B"/>
    <w:rsid w:val="00CE43D0"/>
    <w:rsid w:val="00CF0E9B"/>
    <w:rsid w:val="00CF11FB"/>
    <w:rsid w:val="00CF21F2"/>
    <w:rsid w:val="00D02712"/>
    <w:rsid w:val="00D05C5F"/>
    <w:rsid w:val="00D06F98"/>
    <w:rsid w:val="00D128F0"/>
    <w:rsid w:val="00D13633"/>
    <w:rsid w:val="00D20D71"/>
    <w:rsid w:val="00D214D0"/>
    <w:rsid w:val="00D2180F"/>
    <w:rsid w:val="00D2253E"/>
    <w:rsid w:val="00D23148"/>
    <w:rsid w:val="00D339D4"/>
    <w:rsid w:val="00D41ED6"/>
    <w:rsid w:val="00D6546B"/>
    <w:rsid w:val="00D71071"/>
    <w:rsid w:val="00D71F84"/>
    <w:rsid w:val="00D725FA"/>
    <w:rsid w:val="00D72604"/>
    <w:rsid w:val="00D72B7F"/>
    <w:rsid w:val="00D76AE1"/>
    <w:rsid w:val="00D86DE3"/>
    <w:rsid w:val="00D92116"/>
    <w:rsid w:val="00D92327"/>
    <w:rsid w:val="00D93255"/>
    <w:rsid w:val="00D9652D"/>
    <w:rsid w:val="00D97C31"/>
    <w:rsid w:val="00DA27E9"/>
    <w:rsid w:val="00DA3AA3"/>
    <w:rsid w:val="00DA640F"/>
    <w:rsid w:val="00DA73F6"/>
    <w:rsid w:val="00DC1CAB"/>
    <w:rsid w:val="00DC3802"/>
    <w:rsid w:val="00DC4BBA"/>
    <w:rsid w:val="00DD4699"/>
    <w:rsid w:val="00DD4BED"/>
    <w:rsid w:val="00DE069B"/>
    <w:rsid w:val="00DE39F0"/>
    <w:rsid w:val="00DE47FA"/>
    <w:rsid w:val="00DF0AF3"/>
    <w:rsid w:val="00DF1ABB"/>
    <w:rsid w:val="00DF3BFB"/>
    <w:rsid w:val="00DF694B"/>
    <w:rsid w:val="00DF74BB"/>
    <w:rsid w:val="00DF7A27"/>
    <w:rsid w:val="00E048A5"/>
    <w:rsid w:val="00E059B5"/>
    <w:rsid w:val="00E0600D"/>
    <w:rsid w:val="00E0695A"/>
    <w:rsid w:val="00E1502B"/>
    <w:rsid w:val="00E175D0"/>
    <w:rsid w:val="00E25F66"/>
    <w:rsid w:val="00E27D7E"/>
    <w:rsid w:val="00E32243"/>
    <w:rsid w:val="00E33BBC"/>
    <w:rsid w:val="00E34935"/>
    <w:rsid w:val="00E34D68"/>
    <w:rsid w:val="00E42E13"/>
    <w:rsid w:val="00E53BC0"/>
    <w:rsid w:val="00E61736"/>
    <w:rsid w:val="00E6257C"/>
    <w:rsid w:val="00E63C59"/>
    <w:rsid w:val="00E650B2"/>
    <w:rsid w:val="00E71B18"/>
    <w:rsid w:val="00E818C0"/>
    <w:rsid w:val="00E8290E"/>
    <w:rsid w:val="00E84380"/>
    <w:rsid w:val="00E95BDE"/>
    <w:rsid w:val="00EA15B1"/>
    <w:rsid w:val="00EB0FD4"/>
    <w:rsid w:val="00EC426B"/>
    <w:rsid w:val="00ED06C3"/>
    <w:rsid w:val="00ED15EB"/>
    <w:rsid w:val="00ED1F02"/>
    <w:rsid w:val="00ED6C02"/>
    <w:rsid w:val="00ED7B96"/>
    <w:rsid w:val="00EE549D"/>
    <w:rsid w:val="00EE617F"/>
    <w:rsid w:val="00EE68EC"/>
    <w:rsid w:val="00EF0A61"/>
    <w:rsid w:val="00EF27C8"/>
    <w:rsid w:val="00EF2F87"/>
    <w:rsid w:val="00EF335B"/>
    <w:rsid w:val="00EF339F"/>
    <w:rsid w:val="00EF7249"/>
    <w:rsid w:val="00F01D97"/>
    <w:rsid w:val="00F01DC8"/>
    <w:rsid w:val="00F0690B"/>
    <w:rsid w:val="00F17D59"/>
    <w:rsid w:val="00F33DC4"/>
    <w:rsid w:val="00F353B6"/>
    <w:rsid w:val="00F41E6E"/>
    <w:rsid w:val="00F435A4"/>
    <w:rsid w:val="00F43EEB"/>
    <w:rsid w:val="00F45EDA"/>
    <w:rsid w:val="00F46C8A"/>
    <w:rsid w:val="00F47820"/>
    <w:rsid w:val="00F50108"/>
    <w:rsid w:val="00F5169C"/>
    <w:rsid w:val="00F5419D"/>
    <w:rsid w:val="00F54EF2"/>
    <w:rsid w:val="00F55A66"/>
    <w:rsid w:val="00F61F10"/>
    <w:rsid w:val="00F6207B"/>
    <w:rsid w:val="00F70F71"/>
    <w:rsid w:val="00F73673"/>
    <w:rsid w:val="00F75432"/>
    <w:rsid w:val="00F7595F"/>
    <w:rsid w:val="00F763C8"/>
    <w:rsid w:val="00F7771A"/>
    <w:rsid w:val="00F81B89"/>
    <w:rsid w:val="00F839F0"/>
    <w:rsid w:val="00F914E3"/>
    <w:rsid w:val="00F91B8D"/>
    <w:rsid w:val="00F97E32"/>
    <w:rsid w:val="00FA124A"/>
    <w:rsid w:val="00FA3EBD"/>
    <w:rsid w:val="00FB351E"/>
    <w:rsid w:val="00FB3DA4"/>
    <w:rsid w:val="00FB5A80"/>
    <w:rsid w:val="00FB5FBB"/>
    <w:rsid w:val="00FC08DD"/>
    <w:rsid w:val="00FC16CD"/>
    <w:rsid w:val="00FC2316"/>
    <w:rsid w:val="00FC2CFD"/>
    <w:rsid w:val="00FC38B9"/>
    <w:rsid w:val="00FC428E"/>
    <w:rsid w:val="00FC64E4"/>
    <w:rsid w:val="00FC7924"/>
    <w:rsid w:val="00FD35E6"/>
    <w:rsid w:val="00FF27CD"/>
    <w:rsid w:val="00FF5DF3"/>
    <w:rsid w:val="03170C43"/>
    <w:rsid w:val="03DB1171"/>
    <w:rsid w:val="07625870"/>
    <w:rsid w:val="0764E7C1"/>
    <w:rsid w:val="09BA5B86"/>
    <w:rsid w:val="0A475BA8"/>
    <w:rsid w:val="0AF00A3E"/>
    <w:rsid w:val="0AFC8D59"/>
    <w:rsid w:val="1162371B"/>
    <w:rsid w:val="129E6B54"/>
    <w:rsid w:val="1520EC74"/>
    <w:rsid w:val="16258BF8"/>
    <w:rsid w:val="17C3D63A"/>
    <w:rsid w:val="1815251A"/>
    <w:rsid w:val="1BED99BB"/>
    <w:rsid w:val="20C1C0BB"/>
    <w:rsid w:val="20F6650D"/>
    <w:rsid w:val="2385FE38"/>
    <w:rsid w:val="23FD1C5C"/>
    <w:rsid w:val="24C5715C"/>
    <w:rsid w:val="2671F06B"/>
    <w:rsid w:val="29CBD194"/>
    <w:rsid w:val="2B2809FC"/>
    <w:rsid w:val="2C94CEA0"/>
    <w:rsid w:val="2CD783FC"/>
    <w:rsid w:val="2D4A7700"/>
    <w:rsid w:val="3121249E"/>
    <w:rsid w:val="347DB8F9"/>
    <w:rsid w:val="35E8ECFD"/>
    <w:rsid w:val="36083338"/>
    <w:rsid w:val="3DD643F9"/>
    <w:rsid w:val="3E97A244"/>
    <w:rsid w:val="40011CD5"/>
    <w:rsid w:val="40B7143C"/>
    <w:rsid w:val="41DEEA56"/>
    <w:rsid w:val="42F5928B"/>
    <w:rsid w:val="434514F1"/>
    <w:rsid w:val="44693F3A"/>
    <w:rsid w:val="46915B34"/>
    <w:rsid w:val="484C05F6"/>
    <w:rsid w:val="49EAC684"/>
    <w:rsid w:val="4CD455DA"/>
    <w:rsid w:val="504AD13F"/>
    <w:rsid w:val="513C8F29"/>
    <w:rsid w:val="529F82FC"/>
    <w:rsid w:val="553643DD"/>
    <w:rsid w:val="583B8007"/>
    <w:rsid w:val="5D96B669"/>
    <w:rsid w:val="608C6D8E"/>
    <w:rsid w:val="614B5714"/>
    <w:rsid w:val="62759047"/>
    <w:rsid w:val="63310487"/>
    <w:rsid w:val="670AD741"/>
    <w:rsid w:val="6888691F"/>
    <w:rsid w:val="6C7F2A53"/>
    <w:rsid w:val="6C9973BC"/>
    <w:rsid w:val="6D3902C2"/>
    <w:rsid w:val="6EDB0E68"/>
    <w:rsid w:val="73FFDCFF"/>
    <w:rsid w:val="7666CC05"/>
    <w:rsid w:val="777BA69E"/>
    <w:rsid w:val="785687ED"/>
    <w:rsid w:val="7A8E75FF"/>
    <w:rsid w:val="7BD24E63"/>
    <w:rsid w:val="7CCBD018"/>
    <w:rsid w:val="7E5AF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BF195"/>
  <w14:defaultImageDpi w14:val="0"/>
  <w15:docId w15:val="{C951940A-CAAC-4450-972E-8A6725B6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normaltextrun">
    <w:name w:val="normaltextrun"/>
    <w:basedOn w:val="DefaultParagraphFont"/>
    <w:rsid w:val="00BD2937"/>
  </w:style>
  <w:style w:type="character" w:customStyle="1" w:styleId="eop">
    <w:name w:val="eop"/>
    <w:basedOn w:val="DefaultParagraphFont"/>
    <w:rsid w:val="00062924"/>
  </w:style>
  <w:style w:type="character" w:customStyle="1" w:styleId="scxw172424877">
    <w:name w:val="scxw172424877"/>
    <w:basedOn w:val="DefaultParagraphFont"/>
    <w:rsid w:val="0006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48813">
      <w:bodyDiv w:val="1"/>
      <w:marLeft w:val="0"/>
      <w:marRight w:val="0"/>
      <w:marTop w:val="0"/>
      <w:marBottom w:val="0"/>
      <w:divBdr>
        <w:top w:val="none" w:sz="0" w:space="0" w:color="auto"/>
        <w:left w:val="none" w:sz="0" w:space="0" w:color="auto"/>
        <w:bottom w:val="none" w:sz="0" w:space="0" w:color="auto"/>
        <w:right w:val="none" w:sz="0" w:space="0" w:color="auto"/>
      </w:divBdr>
    </w:div>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studygroups/2022-2024/15/Pages/default.asp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yperlink" Target="https://www.itu.int/en/ITU-T/studygroups/2022-2024/15/Pages/default.aspx" TargetMode="External"/><Relationship Id="rId2" Type="http://schemas.openxmlformats.org/officeDocument/2006/relationships/customXml" Target="../customXml/item2.xml"/><Relationship Id="rId16" Type="http://schemas.openxmlformats.org/officeDocument/2006/relationships/hyperlink" Target="https://www.itu.int/net4/CRM/xreg/web/Login.aspx?src=Registration&amp;Event=C-000141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Workshops-and-Seminars/2024/0710/Pages/default.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24/0707/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B5BE-B364-4213-BD7C-7FF5DCFA50BD}">
  <ds:schemaRefs>
    <ds:schemaRef ds:uri="http://schemas.microsoft.com/sharepoint/v3/contenttype/forms"/>
  </ds:schemaRefs>
</ds:datastoreItem>
</file>

<file path=customXml/itemProps2.xml><?xml version="1.0" encoding="utf-8"?>
<ds:datastoreItem xmlns:ds="http://schemas.openxmlformats.org/officeDocument/2006/customXml" ds:itemID="{C63F51F2-2659-435F-8006-DCCC56B6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CB142-19B7-4D1F-BE09-DC9B60482E49}">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4.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2</Pages>
  <Words>851</Words>
  <Characters>5220</Characters>
  <Application>Microsoft Office Word</Application>
  <DocSecurity>0</DocSecurity>
  <Lines>174</Lines>
  <Paragraphs>112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5959</CharactersWithSpaces>
  <SharedDoc>false</SharedDoc>
  <HLinks>
    <vt:vector size="36" baseType="variant">
      <vt:variant>
        <vt:i4>6291497</vt:i4>
      </vt:variant>
      <vt:variant>
        <vt:i4>9</vt:i4>
      </vt:variant>
      <vt:variant>
        <vt:i4>0</vt:i4>
      </vt:variant>
      <vt:variant>
        <vt:i4>5</vt:i4>
      </vt:variant>
      <vt:variant>
        <vt:lpwstr>https://www.itu.int/net4/CRM/xreg/web/Login.aspx?src=Registration&amp;Event=C-00014196</vt:lpwstr>
      </vt:variant>
      <vt:variant>
        <vt:lpwstr/>
      </vt:variant>
      <vt:variant>
        <vt:i4>5963855</vt:i4>
      </vt:variant>
      <vt:variant>
        <vt:i4>6</vt:i4>
      </vt:variant>
      <vt:variant>
        <vt:i4>0</vt:i4>
      </vt:variant>
      <vt:variant>
        <vt:i4>5</vt:i4>
      </vt:variant>
      <vt:variant>
        <vt:lpwstr>https://www.itu.int/en/ITU-T/Workshops-and-Seminars/2024/0710/Pages/default.aspx</vt:lpwstr>
      </vt:variant>
      <vt:variant>
        <vt:lpwstr/>
      </vt:variant>
      <vt:variant>
        <vt:i4>917574</vt:i4>
      </vt:variant>
      <vt:variant>
        <vt:i4>3</vt:i4>
      </vt:variant>
      <vt:variant>
        <vt:i4>0</vt:i4>
      </vt:variant>
      <vt:variant>
        <vt:i4>5</vt:i4>
      </vt:variant>
      <vt:variant>
        <vt:lpwstr>https://www.itu.int/en/ITU-T/studygroups/2022-2024/15/Pages/default.aspx</vt:lpwstr>
      </vt:variant>
      <vt:variant>
        <vt:lpwstr>gsc.tab=0</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Mairéad Maguire</cp:lastModifiedBy>
  <cp:revision>2</cp:revision>
  <cp:lastPrinted>2024-04-05T09:28:00Z</cp:lastPrinted>
  <dcterms:created xsi:type="dcterms:W3CDTF">2024-06-10T10:00:00Z</dcterms:created>
  <dcterms:modified xsi:type="dcterms:W3CDTF">2024-06-10T10:00:00Z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