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6" w:type="dxa"/>
        <w:tblInd w:w="-142" w:type="dxa"/>
        <w:tblLayout w:type="fixed"/>
        <w:tblLook w:val="0000" w:firstRow="0" w:lastRow="0" w:firstColumn="0" w:lastColumn="0" w:noHBand="0" w:noVBand="0"/>
      </w:tblPr>
      <w:tblGrid>
        <w:gridCol w:w="1418"/>
        <w:gridCol w:w="3611"/>
        <w:gridCol w:w="5327"/>
      </w:tblGrid>
      <w:tr w:rsidR="007B6316" w14:paraId="57C19FE3" w14:textId="77777777" w:rsidTr="00C564B8">
        <w:trPr>
          <w:cantSplit/>
          <w:trHeight w:val="1276"/>
        </w:trPr>
        <w:tc>
          <w:tcPr>
            <w:tcW w:w="1418" w:type="dxa"/>
          </w:tcPr>
          <w:p w14:paraId="4073FDEF" w14:textId="77777777" w:rsidR="007B6316" w:rsidRDefault="007B6316" w:rsidP="00C564B8">
            <w:pPr>
              <w:tabs>
                <w:tab w:val="left" w:pos="4111"/>
              </w:tabs>
              <w:spacing w:before="10"/>
              <w:rPr>
                <w:sz w:val="22"/>
              </w:rPr>
            </w:pPr>
            <w:r w:rsidRPr="00C564B8">
              <w:rPr>
                <w:noProof/>
                <w:sz w:val="22"/>
                <w:szCs w:val="18"/>
                <w:lang w:val="en-US" w:eastAsia="zh-CN"/>
              </w:rPr>
              <w:drawing>
                <wp:inline distT="0" distB="0" distL="0" distR="0" wp14:anchorId="7AF7EF1A" wp14:editId="3BC8A19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938" w:type="dxa"/>
            <w:gridSpan w:val="2"/>
            <w:vAlign w:val="center"/>
          </w:tcPr>
          <w:p w14:paraId="3CE1A10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6EA5B6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EC4C53" w14:paraId="29942F58" w14:textId="77777777" w:rsidTr="00C564B8">
        <w:trPr>
          <w:cantSplit/>
          <w:trHeight w:val="340"/>
        </w:trPr>
        <w:tc>
          <w:tcPr>
            <w:tcW w:w="1418" w:type="dxa"/>
          </w:tcPr>
          <w:p w14:paraId="3A1FB203" w14:textId="77777777" w:rsidR="007B6316" w:rsidRPr="00EC4C53" w:rsidRDefault="007B6316" w:rsidP="00101541">
            <w:pPr>
              <w:spacing w:after="120"/>
              <w:rPr>
                <w:sz w:val="22"/>
                <w:szCs w:val="22"/>
              </w:rPr>
            </w:pPr>
          </w:p>
        </w:tc>
        <w:tc>
          <w:tcPr>
            <w:tcW w:w="3611" w:type="dxa"/>
          </w:tcPr>
          <w:p w14:paraId="6CFD022A" w14:textId="77777777" w:rsidR="007B6316" w:rsidRPr="00EC4C53" w:rsidRDefault="007B6316" w:rsidP="00101541">
            <w:pPr>
              <w:rPr>
                <w:sz w:val="22"/>
                <w:szCs w:val="22"/>
              </w:rPr>
            </w:pPr>
          </w:p>
        </w:tc>
        <w:tc>
          <w:tcPr>
            <w:tcW w:w="5327" w:type="dxa"/>
          </w:tcPr>
          <w:p w14:paraId="414906BC" w14:textId="28982A0C" w:rsidR="007B6316" w:rsidRPr="00EC4C53" w:rsidRDefault="007B6316" w:rsidP="00101541">
            <w:pPr>
              <w:rPr>
                <w:sz w:val="22"/>
                <w:szCs w:val="22"/>
              </w:rPr>
            </w:pPr>
            <w:r w:rsidRPr="00EC4C53">
              <w:rPr>
                <w:sz w:val="22"/>
                <w:szCs w:val="22"/>
              </w:rPr>
              <w:t>Ginebra,</w:t>
            </w:r>
            <w:r w:rsidR="00BA6F31" w:rsidRPr="00EC4C53">
              <w:rPr>
                <w:sz w:val="22"/>
                <w:szCs w:val="22"/>
              </w:rPr>
              <w:t xml:space="preserve"> </w:t>
            </w:r>
            <w:r w:rsidR="001205C7" w:rsidRPr="00EC4C53">
              <w:rPr>
                <w:sz w:val="22"/>
                <w:szCs w:val="22"/>
              </w:rPr>
              <w:t>5 de abril de 2024</w:t>
            </w:r>
          </w:p>
        </w:tc>
      </w:tr>
      <w:tr w:rsidR="001205C7" w:rsidRPr="00EC4C53" w14:paraId="2099D7D1" w14:textId="77777777" w:rsidTr="00C564B8">
        <w:trPr>
          <w:cantSplit/>
          <w:trHeight w:val="340"/>
        </w:trPr>
        <w:tc>
          <w:tcPr>
            <w:tcW w:w="1418" w:type="dxa"/>
          </w:tcPr>
          <w:p w14:paraId="6931DA5A" w14:textId="1C97CDAF" w:rsidR="001205C7" w:rsidRPr="00EC4C53" w:rsidRDefault="001205C7" w:rsidP="00101541">
            <w:pPr>
              <w:spacing w:before="40" w:after="40"/>
              <w:rPr>
                <w:sz w:val="22"/>
                <w:szCs w:val="22"/>
              </w:rPr>
            </w:pPr>
            <w:r w:rsidRPr="00EC4C53">
              <w:rPr>
                <w:sz w:val="22"/>
                <w:szCs w:val="22"/>
              </w:rPr>
              <w:t>Ref.:</w:t>
            </w:r>
          </w:p>
        </w:tc>
        <w:tc>
          <w:tcPr>
            <w:tcW w:w="3611" w:type="dxa"/>
          </w:tcPr>
          <w:p w14:paraId="38928B4F" w14:textId="2CFC8645" w:rsidR="001205C7" w:rsidRPr="00EC4C53" w:rsidRDefault="001205C7" w:rsidP="00101541">
            <w:pPr>
              <w:spacing w:before="40"/>
              <w:rPr>
                <w:b/>
                <w:bCs/>
                <w:sz w:val="22"/>
                <w:szCs w:val="22"/>
                <w:lang w:val="en-GB"/>
              </w:rPr>
            </w:pPr>
            <w:r w:rsidRPr="00EC4C53">
              <w:rPr>
                <w:b/>
                <w:bCs/>
                <w:sz w:val="22"/>
                <w:szCs w:val="22"/>
                <w:lang w:val="en-GB"/>
              </w:rPr>
              <w:t>Circular TSB 201</w:t>
            </w:r>
          </w:p>
          <w:p w14:paraId="6B133364" w14:textId="4F99AC4F" w:rsidR="001205C7" w:rsidRPr="00EC4C53" w:rsidRDefault="001205C7" w:rsidP="00101541">
            <w:pPr>
              <w:spacing w:before="0" w:after="40"/>
              <w:rPr>
                <w:sz w:val="22"/>
                <w:szCs w:val="22"/>
                <w:lang w:val="en-GB"/>
              </w:rPr>
            </w:pPr>
            <w:r w:rsidRPr="00EC4C53">
              <w:rPr>
                <w:sz w:val="22"/>
                <w:szCs w:val="22"/>
                <w:lang w:val="en-GB"/>
              </w:rPr>
              <w:t>TSB Events/HO</w:t>
            </w:r>
          </w:p>
        </w:tc>
        <w:tc>
          <w:tcPr>
            <w:tcW w:w="5327" w:type="dxa"/>
            <w:vMerge w:val="restart"/>
          </w:tcPr>
          <w:p w14:paraId="43F6A64B" w14:textId="77777777" w:rsidR="001205C7" w:rsidRPr="00EC4C53" w:rsidRDefault="001205C7" w:rsidP="00101541">
            <w:pPr>
              <w:spacing w:before="40" w:after="40"/>
              <w:rPr>
                <w:b/>
                <w:bCs/>
                <w:sz w:val="22"/>
                <w:szCs w:val="22"/>
              </w:rPr>
            </w:pPr>
            <w:bookmarkStart w:id="0" w:name="Addressee_S"/>
            <w:bookmarkEnd w:id="0"/>
            <w:r w:rsidRPr="00EC4C53">
              <w:rPr>
                <w:b/>
                <w:bCs/>
                <w:sz w:val="22"/>
                <w:szCs w:val="22"/>
              </w:rPr>
              <w:t>A:</w:t>
            </w:r>
          </w:p>
          <w:p w14:paraId="25EB55BE" w14:textId="77777777" w:rsidR="001205C7" w:rsidRPr="00EC4C53" w:rsidRDefault="001205C7" w:rsidP="001205C7">
            <w:pPr>
              <w:tabs>
                <w:tab w:val="clear" w:pos="794"/>
                <w:tab w:val="left" w:pos="390"/>
              </w:tabs>
              <w:spacing w:before="40" w:after="40"/>
              <w:ind w:left="390" w:hanging="390"/>
              <w:rPr>
                <w:sz w:val="22"/>
                <w:szCs w:val="22"/>
              </w:rPr>
            </w:pPr>
            <w:r w:rsidRPr="00EC4C53">
              <w:rPr>
                <w:sz w:val="22"/>
                <w:szCs w:val="22"/>
              </w:rPr>
              <w:t>–</w:t>
            </w:r>
            <w:r w:rsidRPr="00EC4C53">
              <w:rPr>
                <w:sz w:val="22"/>
                <w:szCs w:val="22"/>
              </w:rPr>
              <w:tab/>
              <w:t>las Administraciones de los Estados Miembros de la Unión;</w:t>
            </w:r>
          </w:p>
          <w:p w14:paraId="504531EA" w14:textId="0256790A" w:rsidR="001205C7" w:rsidRPr="00EC4C53" w:rsidRDefault="001205C7" w:rsidP="001205C7">
            <w:pPr>
              <w:tabs>
                <w:tab w:val="clear" w:pos="794"/>
                <w:tab w:val="left" w:pos="390"/>
              </w:tabs>
              <w:spacing w:before="40" w:after="40"/>
              <w:ind w:left="390" w:hanging="390"/>
              <w:rPr>
                <w:sz w:val="22"/>
                <w:szCs w:val="22"/>
              </w:rPr>
            </w:pPr>
            <w:r w:rsidRPr="00EC4C53">
              <w:rPr>
                <w:sz w:val="22"/>
                <w:szCs w:val="22"/>
              </w:rPr>
              <w:t>–</w:t>
            </w:r>
            <w:r w:rsidRPr="00EC4C53">
              <w:rPr>
                <w:sz w:val="22"/>
                <w:szCs w:val="22"/>
              </w:rPr>
              <w:tab/>
              <w:t>los Miembros de Sector del UIT-T;</w:t>
            </w:r>
          </w:p>
          <w:p w14:paraId="0998BA53" w14:textId="2B129386" w:rsidR="001205C7" w:rsidRPr="00EC4C53" w:rsidRDefault="001205C7" w:rsidP="001205C7">
            <w:pPr>
              <w:tabs>
                <w:tab w:val="clear" w:pos="794"/>
                <w:tab w:val="left" w:pos="390"/>
              </w:tabs>
              <w:spacing w:before="40" w:after="40"/>
              <w:ind w:left="390" w:hanging="390"/>
              <w:rPr>
                <w:sz w:val="22"/>
                <w:szCs w:val="22"/>
              </w:rPr>
            </w:pPr>
            <w:r w:rsidRPr="00EC4C53">
              <w:rPr>
                <w:sz w:val="22"/>
                <w:szCs w:val="22"/>
              </w:rPr>
              <w:t>–</w:t>
            </w:r>
            <w:r w:rsidRPr="00EC4C53">
              <w:rPr>
                <w:sz w:val="22"/>
                <w:szCs w:val="22"/>
              </w:rPr>
              <w:tab/>
              <w:t>los Asociados del UIT-T;</w:t>
            </w:r>
          </w:p>
          <w:p w14:paraId="4E2FF369" w14:textId="7E871188" w:rsidR="001205C7" w:rsidRPr="00EC4C53" w:rsidRDefault="001205C7" w:rsidP="001205C7">
            <w:pPr>
              <w:tabs>
                <w:tab w:val="clear" w:pos="794"/>
                <w:tab w:val="left" w:pos="390"/>
              </w:tabs>
              <w:spacing w:before="40" w:after="40"/>
              <w:ind w:left="390" w:hanging="390"/>
              <w:rPr>
                <w:sz w:val="22"/>
                <w:szCs w:val="22"/>
              </w:rPr>
            </w:pPr>
            <w:r w:rsidRPr="00EC4C53">
              <w:rPr>
                <w:sz w:val="22"/>
                <w:szCs w:val="22"/>
              </w:rPr>
              <w:t>–</w:t>
            </w:r>
            <w:r w:rsidRPr="00EC4C53">
              <w:rPr>
                <w:sz w:val="22"/>
                <w:szCs w:val="22"/>
              </w:rPr>
              <w:tab/>
              <w:t>las Instituciones Académicas de la UIT</w:t>
            </w:r>
          </w:p>
        </w:tc>
      </w:tr>
      <w:tr w:rsidR="001205C7" w:rsidRPr="00EC4C53" w14:paraId="6CF49F7C" w14:textId="77777777" w:rsidTr="00C564B8">
        <w:trPr>
          <w:cantSplit/>
          <w:trHeight w:val="340"/>
        </w:trPr>
        <w:tc>
          <w:tcPr>
            <w:tcW w:w="1418" w:type="dxa"/>
          </w:tcPr>
          <w:p w14:paraId="23CFEFFB" w14:textId="66F67E86" w:rsidR="001205C7" w:rsidRPr="00EC4C53" w:rsidRDefault="001205C7" w:rsidP="00101541">
            <w:pPr>
              <w:spacing w:before="40" w:after="40"/>
              <w:rPr>
                <w:sz w:val="22"/>
                <w:szCs w:val="22"/>
              </w:rPr>
            </w:pPr>
            <w:r w:rsidRPr="00EC4C53">
              <w:rPr>
                <w:sz w:val="22"/>
                <w:szCs w:val="22"/>
              </w:rPr>
              <w:t>Contacto:</w:t>
            </w:r>
          </w:p>
        </w:tc>
        <w:tc>
          <w:tcPr>
            <w:tcW w:w="3611" w:type="dxa"/>
          </w:tcPr>
          <w:p w14:paraId="7B364766" w14:textId="0AF4D1C5" w:rsidR="001205C7" w:rsidRPr="00EC4C53" w:rsidRDefault="001205C7" w:rsidP="00101541">
            <w:pPr>
              <w:spacing w:before="40"/>
              <w:rPr>
                <w:b/>
                <w:bCs/>
                <w:sz w:val="22"/>
                <w:szCs w:val="22"/>
              </w:rPr>
            </w:pPr>
            <w:r w:rsidRPr="00EC4C53">
              <w:rPr>
                <w:b/>
                <w:bCs/>
                <w:sz w:val="22"/>
                <w:szCs w:val="22"/>
              </w:rPr>
              <w:t>Hiroshi Ota</w:t>
            </w:r>
          </w:p>
        </w:tc>
        <w:tc>
          <w:tcPr>
            <w:tcW w:w="5327" w:type="dxa"/>
            <w:vMerge/>
          </w:tcPr>
          <w:p w14:paraId="6C5DFE60" w14:textId="77777777" w:rsidR="001205C7" w:rsidRPr="00EC4C53" w:rsidRDefault="001205C7" w:rsidP="00101541">
            <w:pPr>
              <w:spacing w:before="40" w:after="40"/>
              <w:rPr>
                <w:sz w:val="22"/>
                <w:szCs w:val="22"/>
              </w:rPr>
            </w:pPr>
          </w:p>
        </w:tc>
      </w:tr>
      <w:tr w:rsidR="001205C7" w:rsidRPr="00EC4C53" w14:paraId="1A010FF9" w14:textId="77777777" w:rsidTr="00C564B8">
        <w:trPr>
          <w:cantSplit/>
        </w:trPr>
        <w:tc>
          <w:tcPr>
            <w:tcW w:w="1418" w:type="dxa"/>
          </w:tcPr>
          <w:p w14:paraId="48F92A24" w14:textId="77777777" w:rsidR="001205C7" w:rsidRPr="00EC4C53" w:rsidRDefault="001205C7" w:rsidP="00101541">
            <w:pPr>
              <w:spacing w:before="40" w:after="40"/>
              <w:rPr>
                <w:sz w:val="22"/>
                <w:szCs w:val="22"/>
              </w:rPr>
            </w:pPr>
            <w:r w:rsidRPr="00EC4C53">
              <w:rPr>
                <w:sz w:val="22"/>
                <w:szCs w:val="22"/>
              </w:rPr>
              <w:t>Tel.:</w:t>
            </w:r>
          </w:p>
        </w:tc>
        <w:tc>
          <w:tcPr>
            <w:tcW w:w="3611" w:type="dxa"/>
          </w:tcPr>
          <w:p w14:paraId="19D29048" w14:textId="37921E87" w:rsidR="001205C7" w:rsidRPr="00EC4C53" w:rsidRDefault="001205C7" w:rsidP="00101541">
            <w:pPr>
              <w:spacing w:before="40" w:after="40"/>
              <w:rPr>
                <w:sz w:val="22"/>
                <w:szCs w:val="22"/>
              </w:rPr>
            </w:pPr>
            <w:r w:rsidRPr="00EC4C53">
              <w:rPr>
                <w:sz w:val="22"/>
                <w:szCs w:val="22"/>
              </w:rPr>
              <w:t>+41 22 730 6356</w:t>
            </w:r>
          </w:p>
        </w:tc>
        <w:tc>
          <w:tcPr>
            <w:tcW w:w="5327" w:type="dxa"/>
            <w:vMerge/>
          </w:tcPr>
          <w:p w14:paraId="3DF5CE88" w14:textId="77777777" w:rsidR="001205C7" w:rsidRPr="00EC4C53" w:rsidRDefault="001205C7" w:rsidP="00303D62">
            <w:pPr>
              <w:tabs>
                <w:tab w:val="left" w:pos="226"/>
                <w:tab w:val="left" w:pos="510"/>
              </w:tabs>
              <w:spacing w:before="0"/>
              <w:ind w:left="226" w:hanging="169"/>
              <w:rPr>
                <w:b/>
                <w:sz w:val="22"/>
                <w:szCs w:val="22"/>
              </w:rPr>
            </w:pPr>
          </w:p>
        </w:tc>
      </w:tr>
      <w:tr w:rsidR="001205C7" w:rsidRPr="00EC4C53" w14:paraId="07D56EDD" w14:textId="77777777" w:rsidTr="00C564B8">
        <w:trPr>
          <w:cantSplit/>
        </w:trPr>
        <w:tc>
          <w:tcPr>
            <w:tcW w:w="1418" w:type="dxa"/>
          </w:tcPr>
          <w:p w14:paraId="35CE91C2" w14:textId="77777777" w:rsidR="001205C7" w:rsidRPr="00EC4C53" w:rsidRDefault="001205C7" w:rsidP="00101541">
            <w:pPr>
              <w:spacing w:before="40" w:after="40"/>
              <w:rPr>
                <w:sz w:val="22"/>
                <w:szCs w:val="22"/>
              </w:rPr>
            </w:pPr>
            <w:r w:rsidRPr="00EC4C53">
              <w:rPr>
                <w:sz w:val="22"/>
                <w:szCs w:val="22"/>
              </w:rPr>
              <w:t>Fax:</w:t>
            </w:r>
          </w:p>
        </w:tc>
        <w:tc>
          <w:tcPr>
            <w:tcW w:w="3611" w:type="dxa"/>
          </w:tcPr>
          <w:p w14:paraId="50BA9232" w14:textId="652DF82E" w:rsidR="001205C7" w:rsidRPr="00EC4C53" w:rsidRDefault="001205C7" w:rsidP="00101541">
            <w:pPr>
              <w:spacing w:before="40" w:after="40"/>
              <w:rPr>
                <w:sz w:val="22"/>
                <w:szCs w:val="22"/>
              </w:rPr>
            </w:pPr>
            <w:r w:rsidRPr="00EC4C53">
              <w:rPr>
                <w:sz w:val="22"/>
                <w:szCs w:val="22"/>
              </w:rPr>
              <w:t>+41 22 730 5853</w:t>
            </w:r>
          </w:p>
        </w:tc>
        <w:tc>
          <w:tcPr>
            <w:tcW w:w="5327" w:type="dxa"/>
            <w:vMerge/>
          </w:tcPr>
          <w:p w14:paraId="20877663" w14:textId="77777777" w:rsidR="001205C7" w:rsidRPr="00EC4C53" w:rsidRDefault="001205C7" w:rsidP="00303D62">
            <w:pPr>
              <w:tabs>
                <w:tab w:val="left" w:pos="226"/>
                <w:tab w:val="left" w:pos="510"/>
              </w:tabs>
              <w:spacing w:before="0"/>
              <w:ind w:left="226" w:hanging="169"/>
              <w:rPr>
                <w:b/>
                <w:sz w:val="22"/>
                <w:szCs w:val="22"/>
              </w:rPr>
            </w:pPr>
          </w:p>
        </w:tc>
      </w:tr>
      <w:tr w:rsidR="001350B9" w:rsidRPr="00EC4C53" w14:paraId="30FF827C" w14:textId="77777777" w:rsidTr="00C564B8">
        <w:trPr>
          <w:cantSplit/>
          <w:trHeight w:val="2021"/>
        </w:trPr>
        <w:tc>
          <w:tcPr>
            <w:tcW w:w="1418" w:type="dxa"/>
          </w:tcPr>
          <w:p w14:paraId="220ABEEC" w14:textId="77777777" w:rsidR="001350B9" w:rsidRPr="00EC4C53" w:rsidRDefault="001350B9" w:rsidP="00101541">
            <w:pPr>
              <w:spacing w:before="40" w:after="40"/>
              <w:rPr>
                <w:sz w:val="22"/>
                <w:szCs w:val="22"/>
              </w:rPr>
            </w:pPr>
            <w:r w:rsidRPr="00EC4C53">
              <w:rPr>
                <w:sz w:val="22"/>
                <w:szCs w:val="22"/>
              </w:rPr>
              <w:t>Correo-e:</w:t>
            </w:r>
          </w:p>
        </w:tc>
        <w:tc>
          <w:tcPr>
            <w:tcW w:w="3611" w:type="dxa"/>
          </w:tcPr>
          <w:p w14:paraId="114B24C6" w14:textId="201BC7F0" w:rsidR="001350B9" w:rsidRPr="00EC4C53" w:rsidRDefault="006D069A" w:rsidP="00101541">
            <w:pPr>
              <w:spacing w:before="40" w:after="40"/>
              <w:rPr>
                <w:sz w:val="22"/>
                <w:szCs w:val="22"/>
              </w:rPr>
            </w:pPr>
            <w:hyperlink r:id="rId9" w:history="1">
              <w:r w:rsidR="001205C7" w:rsidRPr="00EC4C53">
                <w:rPr>
                  <w:rStyle w:val="Hyperlink"/>
                  <w:sz w:val="22"/>
                  <w:szCs w:val="22"/>
                </w:rPr>
                <w:t>tsbevents@itu.int</w:t>
              </w:r>
            </w:hyperlink>
          </w:p>
        </w:tc>
        <w:tc>
          <w:tcPr>
            <w:tcW w:w="5327" w:type="dxa"/>
          </w:tcPr>
          <w:p w14:paraId="0827414D" w14:textId="77777777" w:rsidR="001205C7" w:rsidRPr="00EC4C53" w:rsidRDefault="001205C7" w:rsidP="001205C7">
            <w:pPr>
              <w:spacing w:before="40" w:after="40"/>
              <w:rPr>
                <w:b/>
                <w:bCs/>
                <w:sz w:val="22"/>
                <w:szCs w:val="22"/>
              </w:rPr>
            </w:pPr>
            <w:r w:rsidRPr="00EC4C53">
              <w:rPr>
                <w:b/>
                <w:bCs/>
                <w:sz w:val="22"/>
                <w:szCs w:val="22"/>
              </w:rPr>
              <w:t>Copia a:</w:t>
            </w:r>
          </w:p>
          <w:p w14:paraId="6500D068" w14:textId="2CB1EF41" w:rsidR="001205C7" w:rsidRPr="00EC4C53" w:rsidRDefault="001205C7" w:rsidP="001205C7">
            <w:pPr>
              <w:tabs>
                <w:tab w:val="clear" w:pos="794"/>
                <w:tab w:val="left" w:pos="390"/>
              </w:tabs>
              <w:spacing w:before="40" w:after="40"/>
              <w:ind w:left="390" w:hanging="390"/>
              <w:rPr>
                <w:sz w:val="22"/>
                <w:szCs w:val="22"/>
              </w:rPr>
            </w:pPr>
            <w:r w:rsidRPr="00EC4C53">
              <w:rPr>
                <w:sz w:val="22"/>
                <w:szCs w:val="22"/>
              </w:rPr>
              <w:t>–</w:t>
            </w:r>
            <w:r w:rsidRPr="00EC4C53">
              <w:rPr>
                <w:sz w:val="22"/>
                <w:szCs w:val="22"/>
              </w:rPr>
              <w:tab/>
              <w:t xml:space="preserve">los </w:t>
            </w:r>
            <w:proofErr w:type="gramStart"/>
            <w:r w:rsidRPr="00EC4C53">
              <w:rPr>
                <w:sz w:val="22"/>
                <w:szCs w:val="22"/>
              </w:rPr>
              <w:t>Presidentes</w:t>
            </w:r>
            <w:proofErr w:type="gramEnd"/>
            <w:r w:rsidRPr="00EC4C53">
              <w:rPr>
                <w:sz w:val="22"/>
                <w:szCs w:val="22"/>
              </w:rPr>
              <w:t xml:space="preserve"> y Vicepresidentes de las Comisiones de Estudio del UIT-T;</w:t>
            </w:r>
          </w:p>
          <w:p w14:paraId="6B4810C7" w14:textId="41345E77" w:rsidR="001205C7" w:rsidRPr="00EC4C53" w:rsidRDefault="001205C7" w:rsidP="001205C7">
            <w:pPr>
              <w:tabs>
                <w:tab w:val="clear" w:pos="794"/>
                <w:tab w:val="left" w:pos="390"/>
              </w:tabs>
              <w:spacing w:before="40" w:after="40"/>
              <w:ind w:left="390" w:hanging="390"/>
              <w:rPr>
                <w:sz w:val="22"/>
                <w:szCs w:val="22"/>
              </w:rPr>
            </w:pPr>
            <w:r w:rsidRPr="00EC4C53">
              <w:rPr>
                <w:sz w:val="22"/>
                <w:szCs w:val="22"/>
              </w:rPr>
              <w:t>–</w:t>
            </w:r>
            <w:r w:rsidRPr="00EC4C53">
              <w:rPr>
                <w:sz w:val="22"/>
                <w:szCs w:val="22"/>
              </w:rPr>
              <w:tab/>
              <w:t xml:space="preserve">el </w:t>
            </w:r>
            <w:proofErr w:type="gramStart"/>
            <w:r w:rsidRPr="00EC4C53">
              <w:rPr>
                <w:sz w:val="22"/>
                <w:szCs w:val="22"/>
              </w:rPr>
              <w:t>Director</w:t>
            </w:r>
            <w:proofErr w:type="gramEnd"/>
            <w:r w:rsidRPr="00EC4C53">
              <w:rPr>
                <w:sz w:val="22"/>
                <w:szCs w:val="22"/>
              </w:rPr>
              <w:t xml:space="preserve"> de la Oficina de Desarrollo de las Telecomunicaciones;</w:t>
            </w:r>
          </w:p>
          <w:p w14:paraId="0ACE8CE2" w14:textId="1118CA82" w:rsidR="001350B9" w:rsidRPr="00EC4C53" w:rsidRDefault="001205C7" w:rsidP="001205C7">
            <w:pPr>
              <w:tabs>
                <w:tab w:val="clear" w:pos="794"/>
                <w:tab w:val="left" w:pos="390"/>
              </w:tabs>
              <w:spacing w:before="40" w:after="40"/>
              <w:ind w:left="390" w:hanging="390"/>
              <w:rPr>
                <w:sz w:val="22"/>
                <w:szCs w:val="22"/>
              </w:rPr>
            </w:pPr>
            <w:r w:rsidRPr="00EC4C53">
              <w:rPr>
                <w:sz w:val="22"/>
                <w:szCs w:val="22"/>
              </w:rPr>
              <w:t>–</w:t>
            </w:r>
            <w:r w:rsidRPr="00EC4C53">
              <w:rPr>
                <w:sz w:val="22"/>
                <w:szCs w:val="22"/>
              </w:rPr>
              <w:tab/>
              <w:t xml:space="preserve">el </w:t>
            </w:r>
            <w:proofErr w:type="gramStart"/>
            <w:r w:rsidRPr="00EC4C53">
              <w:rPr>
                <w:sz w:val="22"/>
                <w:szCs w:val="22"/>
              </w:rPr>
              <w:t>Director</w:t>
            </w:r>
            <w:proofErr w:type="gramEnd"/>
            <w:r w:rsidRPr="00EC4C53">
              <w:rPr>
                <w:sz w:val="22"/>
                <w:szCs w:val="22"/>
              </w:rPr>
              <w:t xml:space="preserve"> de la Oficina de Radiocomunicaciones</w:t>
            </w:r>
          </w:p>
        </w:tc>
      </w:tr>
      <w:tr w:rsidR="007B6316" w:rsidRPr="00EC4C53" w14:paraId="7F4E66DD" w14:textId="77777777" w:rsidTr="00C564B8">
        <w:trPr>
          <w:cantSplit/>
          <w:trHeight w:val="643"/>
        </w:trPr>
        <w:tc>
          <w:tcPr>
            <w:tcW w:w="1418" w:type="dxa"/>
          </w:tcPr>
          <w:p w14:paraId="7BBE0879" w14:textId="77777777" w:rsidR="007B6316" w:rsidRPr="00EC4C53" w:rsidRDefault="007B6316" w:rsidP="00C564B8">
            <w:pPr>
              <w:spacing w:before="0"/>
              <w:rPr>
                <w:sz w:val="22"/>
                <w:szCs w:val="22"/>
              </w:rPr>
            </w:pPr>
            <w:r w:rsidRPr="00C564B8">
              <w:rPr>
                <w:b/>
                <w:bCs/>
                <w:sz w:val="22"/>
                <w:szCs w:val="22"/>
              </w:rPr>
              <w:t>Asunto</w:t>
            </w:r>
            <w:r w:rsidRPr="00EC4C53">
              <w:rPr>
                <w:sz w:val="22"/>
                <w:szCs w:val="22"/>
              </w:rPr>
              <w:t>:</w:t>
            </w:r>
          </w:p>
        </w:tc>
        <w:tc>
          <w:tcPr>
            <w:tcW w:w="8938" w:type="dxa"/>
            <w:gridSpan w:val="2"/>
          </w:tcPr>
          <w:p w14:paraId="445801EB" w14:textId="3DC3DD39" w:rsidR="007B6316" w:rsidRPr="00EC4C53" w:rsidRDefault="001205C7" w:rsidP="00C564B8">
            <w:pPr>
              <w:spacing w:before="0"/>
              <w:rPr>
                <w:b/>
                <w:bCs/>
                <w:sz w:val="22"/>
                <w:szCs w:val="22"/>
              </w:rPr>
            </w:pPr>
            <w:r w:rsidRPr="00EC4C53">
              <w:rPr>
                <w:b/>
                <w:bCs/>
                <w:sz w:val="22"/>
                <w:szCs w:val="22"/>
              </w:rPr>
              <w:t xml:space="preserve">Noveno Taller Conjunto del IEEE 802 y la Comisión de Estudio 15 del UIT-T </w:t>
            </w:r>
            <w:r w:rsidRPr="00EC4C53">
              <w:rPr>
                <w:b/>
                <w:bCs/>
                <w:sz w:val="22"/>
                <w:szCs w:val="22"/>
              </w:rPr>
              <w:br/>
              <w:t>(Montreal (Canadá), 13 de julio de 2024)</w:t>
            </w:r>
          </w:p>
        </w:tc>
      </w:tr>
    </w:tbl>
    <w:p w14:paraId="7DCD2BF6" w14:textId="711222F5" w:rsidR="00C34772" w:rsidRPr="00EC4C53" w:rsidRDefault="00C34772" w:rsidP="00C564B8">
      <w:pPr>
        <w:pStyle w:val="Normalaftertitle"/>
        <w:spacing w:before="120"/>
        <w:rPr>
          <w:sz w:val="22"/>
          <w:szCs w:val="22"/>
        </w:rPr>
      </w:pPr>
      <w:bookmarkStart w:id="1" w:name="StartTyping_S"/>
      <w:bookmarkStart w:id="2" w:name="suitetext"/>
      <w:bookmarkStart w:id="3" w:name="text"/>
      <w:bookmarkEnd w:id="1"/>
      <w:bookmarkEnd w:id="2"/>
      <w:bookmarkEnd w:id="3"/>
      <w:r w:rsidRPr="00EC4C53">
        <w:rPr>
          <w:sz w:val="22"/>
          <w:szCs w:val="22"/>
        </w:rPr>
        <w:t>Muy Señora mía/Muy Señor mío</w:t>
      </w:r>
      <w:r w:rsidR="00C564B8">
        <w:rPr>
          <w:sz w:val="22"/>
          <w:szCs w:val="22"/>
        </w:rPr>
        <w:t>,</w:t>
      </w:r>
    </w:p>
    <w:p w14:paraId="5E0EEEAA" w14:textId="103BA29D" w:rsidR="001205C7" w:rsidRPr="00EC4C53" w:rsidRDefault="001205C7" w:rsidP="001205C7">
      <w:pPr>
        <w:rPr>
          <w:sz w:val="22"/>
          <w:szCs w:val="22"/>
          <w:lang w:val="es-ES"/>
        </w:rPr>
      </w:pPr>
      <w:r w:rsidRPr="00EC4C53">
        <w:rPr>
          <w:sz w:val="22"/>
          <w:szCs w:val="22"/>
          <w:lang w:val="es-ES"/>
        </w:rPr>
        <w:t>1</w:t>
      </w:r>
      <w:r w:rsidRPr="00EC4C53">
        <w:rPr>
          <w:sz w:val="22"/>
          <w:szCs w:val="22"/>
          <w:lang w:val="es-ES"/>
        </w:rPr>
        <w:tab/>
      </w:r>
      <w:proofErr w:type="gramStart"/>
      <w:r w:rsidRPr="00EC4C53">
        <w:rPr>
          <w:sz w:val="22"/>
          <w:szCs w:val="22"/>
          <w:lang w:val="es-ES"/>
        </w:rPr>
        <w:t>Me</w:t>
      </w:r>
      <w:proofErr w:type="gramEnd"/>
      <w:r w:rsidRPr="00EC4C53">
        <w:rPr>
          <w:sz w:val="22"/>
          <w:szCs w:val="22"/>
          <w:lang w:val="es-ES"/>
        </w:rPr>
        <w:t xml:space="preserve"> complace informarle de que la Unión Internacional de Telecomunicaciones (UIT) y el </w:t>
      </w:r>
      <w:r w:rsidRPr="00EC4C53">
        <w:rPr>
          <w:b/>
          <w:bCs/>
          <w:sz w:val="22"/>
          <w:szCs w:val="22"/>
          <w:lang w:val="es-ES"/>
        </w:rPr>
        <w:t>IEEE</w:t>
      </w:r>
      <w:r w:rsidR="00C77F59" w:rsidRPr="00EC4C53">
        <w:rPr>
          <w:b/>
          <w:bCs/>
          <w:sz w:val="22"/>
          <w:szCs w:val="22"/>
          <w:lang w:val="es-ES"/>
        </w:rPr>
        <w:t> </w:t>
      </w:r>
      <w:r w:rsidRPr="00EC4C53">
        <w:rPr>
          <w:b/>
          <w:bCs/>
          <w:sz w:val="22"/>
          <w:szCs w:val="22"/>
          <w:lang w:val="es-ES"/>
        </w:rPr>
        <w:t xml:space="preserve">802 (el Comité de Normalización LAN/MAN 802 del IEEE) </w:t>
      </w:r>
      <w:r w:rsidRPr="00EC4C53">
        <w:rPr>
          <w:sz w:val="22"/>
          <w:szCs w:val="22"/>
          <w:lang w:val="es-ES"/>
        </w:rPr>
        <w:t xml:space="preserve">están organizando el </w:t>
      </w:r>
      <w:r w:rsidRPr="00EC4C53">
        <w:rPr>
          <w:b/>
          <w:bCs/>
          <w:sz w:val="22"/>
          <w:szCs w:val="22"/>
          <w:lang w:val="es-ES"/>
        </w:rPr>
        <w:t>noveno Taller Conjunto del IEEE 802 y la Comisión de Estudio 15 del UIT-T</w:t>
      </w:r>
      <w:r w:rsidRPr="00EC4C53">
        <w:rPr>
          <w:sz w:val="22"/>
          <w:szCs w:val="22"/>
          <w:lang w:val="es-ES"/>
        </w:rPr>
        <w:t xml:space="preserve"> que tendrá lugar el </w:t>
      </w:r>
      <w:r w:rsidRPr="00EC4C53">
        <w:rPr>
          <w:b/>
          <w:bCs/>
          <w:sz w:val="22"/>
          <w:szCs w:val="22"/>
          <w:lang w:val="es-ES"/>
        </w:rPr>
        <w:t>13 de julio de 2024 en Montreal (Canadá)</w:t>
      </w:r>
      <w:r w:rsidRPr="00EC4C53">
        <w:rPr>
          <w:sz w:val="22"/>
          <w:szCs w:val="22"/>
          <w:lang w:val="es-ES"/>
        </w:rPr>
        <w:t>.</w:t>
      </w:r>
    </w:p>
    <w:p w14:paraId="7DE6C59F" w14:textId="77777777" w:rsidR="001205C7" w:rsidRPr="00EC4C53" w:rsidRDefault="001205C7" w:rsidP="001205C7">
      <w:pPr>
        <w:rPr>
          <w:sz w:val="22"/>
          <w:szCs w:val="22"/>
          <w:lang w:val="es-ES"/>
        </w:rPr>
      </w:pPr>
      <w:r w:rsidRPr="00EC4C53">
        <w:rPr>
          <w:sz w:val="22"/>
          <w:szCs w:val="22"/>
          <w:lang w:val="es-ES"/>
        </w:rPr>
        <w:t>2</w:t>
      </w:r>
      <w:r w:rsidRPr="00EC4C53">
        <w:rPr>
          <w:sz w:val="22"/>
          <w:szCs w:val="22"/>
          <w:lang w:val="es-ES"/>
        </w:rPr>
        <w:tab/>
      </w:r>
      <w:proofErr w:type="gramStart"/>
      <w:r w:rsidRPr="00EC4C53">
        <w:rPr>
          <w:sz w:val="22"/>
          <w:szCs w:val="22"/>
          <w:lang w:val="es-ES"/>
        </w:rPr>
        <w:t>Este</w:t>
      </w:r>
      <w:proofErr w:type="gramEnd"/>
      <w:r w:rsidRPr="00EC4C53">
        <w:rPr>
          <w:sz w:val="22"/>
          <w:szCs w:val="22"/>
          <w:lang w:val="es-ES"/>
        </w:rPr>
        <w:t xml:space="preserve"> taller pretende facilitar una plataforma a todas las partes interesadas implicadas, y tiene como finalidad centrar la atención en temas de interés común como las interfaces ópticas más allá de la transmisión 1T, las redes de acceso y las redes internas, la sincronización y las redes sensibles al tiempo (TSN), YANG y la elaboración de modelos de datos.</w:t>
      </w:r>
    </w:p>
    <w:p w14:paraId="19386B1C" w14:textId="6FED2068" w:rsidR="001205C7" w:rsidRPr="00EC4C53" w:rsidRDefault="001205C7" w:rsidP="001205C7">
      <w:pPr>
        <w:rPr>
          <w:sz w:val="22"/>
          <w:szCs w:val="22"/>
          <w:lang w:val="es-ES"/>
        </w:rPr>
      </w:pPr>
      <w:r w:rsidRPr="00EC4C53">
        <w:rPr>
          <w:sz w:val="22"/>
          <w:szCs w:val="22"/>
          <w:lang w:val="es-ES"/>
        </w:rPr>
        <w:t>3</w:t>
      </w:r>
      <w:r w:rsidRPr="00EC4C53">
        <w:rPr>
          <w:sz w:val="22"/>
          <w:szCs w:val="22"/>
          <w:lang w:val="es-ES"/>
        </w:rPr>
        <w:tab/>
      </w:r>
      <w:proofErr w:type="gramStart"/>
      <w:r w:rsidRPr="00EC4C53">
        <w:rPr>
          <w:sz w:val="22"/>
          <w:szCs w:val="22"/>
          <w:lang w:val="es-ES"/>
        </w:rPr>
        <w:t>Algunos</w:t>
      </w:r>
      <w:proofErr w:type="gramEnd"/>
      <w:r w:rsidRPr="00EC4C53">
        <w:rPr>
          <w:sz w:val="22"/>
          <w:szCs w:val="22"/>
          <w:lang w:val="es-ES"/>
        </w:rPr>
        <w:t xml:space="preserve"> de los objetivos de este taller son la mejora de la colaboración y coordinación de larga data entre el IEEE</w:t>
      </w:r>
      <w:r w:rsidR="00C77F59" w:rsidRPr="00EC4C53">
        <w:rPr>
          <w:sz w:val="22"/>
          <w:szCs w:val="22"/>
          <w:lang w:val="es-ES"/>
        </w:rPr>
        <w:t> </w:t>
      </w:r>
      <w:r w:rsidRPr="00EC4C53">
        <w:rPr>
          <w:sz w:val="22"/>
          <w:szCs w:val="22"/>
          <w:lang w:val="es-ES"/>
        </w:rPr>
        <w:t>802 y la Comisión de Estudio</w:t>
      </w:r>
      <w:r w:rsidR="00C77F59" w:rsidRPr="00EC4C53">
        <w:rPr>
          <w:sz w:val="22"/>
          <w:szCs w:val="22"/>
          <w:lang w:val="es-ES"/>
        </w:rPr>
        <w:t> </w:t>
      </w:r>
      <w:r w:rsidRPr="00EC4C53">
        <w:rPr>
          <w:sz w:val="22"/>
          <w:szCs w:val="22"/>
          <w:lang w:val="es-ES"/>
        </w:rPr>
        <w:t>15 del UIT-T por conducto de los debates y el intercambio de información sobre temas de interés común.</w:t>
      </w:r>
    </w:p>
    <w:p w14:paraId="2471DEE0" w14:textId="77777777" w:rsidR="001205C7" w:rsidRPr="00EC4C53" w:rsidRDefault="001205C7" w:rsidP="001205C7">
      <w:pPr>
        <w:rPr>
          <w:sz w:val="22"/>
          <w:szCs w:val="22"/>
          <w:lang w:val="es-ES"/>
        </w:rPr>
      </w:pPr>
      <w:r w:rsidRPr="00EC4C53">
        <w:rPr>
          <w:sz w:val="22"/>
          <w:szCs w:val="22"/>
          <w:lang w:val="es-ES"/>
        </w:rPr>
        <w:t>4</w:t>
      </w:r>
      <w:r w:rsidRPr="00EC4C53">
        <w:rPr>
          <w:sz w:val="22"/>
          <w:szCs w:val="22"/>
          <w:lang w:val="es-ES"/>
        </w:rPr>
        <w:tab/>
      </w:r>
      <w:proofErr w:type="gramStart"/>
      <w:r w:rsidRPr="00EC4C53">
        <w:rPr>
          <w:sz w:val="22"/>
          <w:szCs w:val="22"/>
          <w:lang w:val="es-ES"/>
        </w:rPr>
        <w:t>La</w:t>
      </w:r>
      <w:proofErr w:type="gramEnd"/>
      <w:r w:rsidRPr="00EC4C53">
        <w:rPr>
          <w:sz w:val="22"/>
          <w:szCs w:val="22"/>
          <w:lang w:val="es-ES"/>
        </w:rPr>
        <w:t xml:space="preserve"> participación en el taller está abierta a los Estados Miembros, a los Miembros de Sector, a los Asociados y a las Instituciones Académicas de la UIT, y a cualquier persona de un país que sea miembro de la UIT y desee contribuir a los trabajos. Esto incluye a las personas que también son miembros de organizaciones nacionales, regionales e internacionales. La participación en este taller es gratuita.</w:t>
      </w:r>
    </w:p>
    <w:p w14:paraId="3F7FF8B6" w14:textId="77777777" w:rsidR="001205C7" w:rsidRPr="00EC4C53" w:rsidRDefault="001205C7" w:rsidP="001205C7">
      <w:pPr>
        <w:rPr>
          <w:sz w:val="22"/>
          <w:szCs w:val="22"/>
          <w:lang w:val="es-ES"/>
        </w:rPr>
      </w:pPr>
      <w:r w:rsidRPr="00EC4C53">
        <w:rPr>
          <w:sz w:val="22"/>
          <w:szCs w:val="22"/>
          <w:lang w:val="es-ES"/>
        </w:rPr>
        <w:t>5</w:t>
      </w:r>
      <w:r w:rsidRPr="00EC4C53">
        <w:rPr>
          <w:sz w:val="22"/>
          <w:szCs w:val="22"/>
          <w:lang w:val="es-ES"/>
        </w:rPr>
        <w:tab/>
      </w:r>
      <w:proofErr w:type="gramStart"/>
      <w:r w:rsidRPr="00EC4C53">
        <w:rPr>
          <w:sz w:val="22"/>
          <w:szCs w:val="22"/>
          <w:lang w:val="es-ES"/>
        </w:rPr>
        <w:t>Toda</w:t>
      </w:r>
      <w:proofErr w:type="gramEnd"/>
      <w:r w:rsidRPr="00EC4C53">
        <w:rPr>
          <w:sz w:val="22"/>
          <w:szCs w:val="22"/>
          <w:lang w:val="es-ES"/>
        </w:rPr>
        <w:t xml:space="preserve"> la información pertinente relativa al evento (por ejemplo, el proyecto de programa, la lista de ponentes y el enlace de inscripción) estará disponible en el sitio web del evento, a saber: </w:t>
      </w:r>
      <w:hyperlink r:id="rId10" w:history="1">
        <w:r w:rsidRPr="00EC4C53">
          <w:rPr>
            <w:rStyle w:val="Hyperlink"/>
            <w:sz w:val="22"/>
            <w:szCs w:val="22"/>
            <w:lang w:val="es-ES"/>
          </w:rPr>
          <w:t>https://www.itu.int/en/ITU-T/Workshops-and-Seminars/2024/0713/Pages/def</w:t>
        </w:r>
        <w:r w:rsidRPr="00EC4C53">
          <w:rPr>
            <w:rStyle w:val="Hyperlink"/>
            <w:sz w:val="22"/>
            <w:szCs w:val="22"/>
            <w:lang w:val="es-ES"/>
          </w:rPr>
          <w:t>a</w:t>
        </w:r>
        <w:r w:rsidRPr="00EC4C53">
          <w:rPr>
            <w:rStyle w:val="Hyperlink"/>
            <w:sz w:val="22"/>
            <w:szCs w:val="22"/>
            <w:lang w:val="es-ES"/>
          </w:rPr>
          <w:t>ult.aspx</w:t>
        </w:r>
      </w:hyperlink>
      <w:r w:rsidRPr="00EC4C53">
        <w:rPr>
          <w:sz w:val="22"/>
          <w:szCs w:val="22"/>
          <w:lang w:val="es-ES"/>
        </w:rPr>
        <w:t>.</w:t>
      </w:r>
    </w:p>
    <w:p w14:paraId="2B7546F2" w14:textId="77777777" w:rsidR="001205C7" w:rsidRPr="00EC4C53" w:rsidRDefault="001205C7" w:rsidP="001205C7">
      <w:pPr>
        <w:rPr>
          <w:sz w:val="22"/>
          <w:szCs w:val="22"/>
          <w:lang w:val="es-ES"/>
        </w:rPr>
      </w:pPr>
      <w:r w:rsidRPr="00EC4C53">
        <w:rPr>
          <w:sz w:val="22"/>
          <w:szCs w:val="22"/>
          <w:lang w:val="es-ES"/>
        </w:rPr>
        <w:t>Este sitio web se actualizará periódicamente a medida que se disponga de más información. Se alienta a los participantes a que consulten regularmente el sitio web para obtener la información más reciente.</w:t>
      </w:r>
    </w:p>
    <w:p w14:paraId="4D2F69CF" w14:textId="77777777" w:rsidR="001205C7" w:rsidRPr="00EC4C53" w:rsidRDefault="001205C7" w:rsidP="001205C7">
      <w:pPr>
        <w:rPr>
          <w:sz w:val="22"/>
          <w:szCs w:val="22"/>
          <w:lang w:val="es-ES"/>
        </w:rPr>
      </w:pPr>
      <w:r w:rsidRPr="00EC4C53">
        <w:rPr>
          <w:sz w:val="22"/>
          <w:szCs w:val="22"/>
          <w:lang w:val="es-ES"/>
        </w:rPr>
        <w:t>6</w:t>
      </w:r>
      <w:r w:rsidRPr="00EC4C53">
        <w:rPr>
          <w:sz w:val="22"/>
          <w:szCs w:val="22"/>
          <w:lang w:val="es-ES"/>
        </w:rPr>
        <w:tab/>
      </w:r>
      <w:proofErr w:type="gramStart"/>
      <w:r w:rsidRPr="00EC4C53">
        <w:rPr>
          <w:sz w:val="22"/>
          <w:szCs w:val="22"/>
          <w:lang w:val="es-ES"/>
        </w:rPr>
        <w:t>A</w:t>
      </w:r>
      <w:proofErr w:type="gramEnd"/>
      <w:r w:rsidRPr="00EC4C53">
        <w:rPr>
          <w:sz w:val="22"/>
          <w:szCs w:val="22"/>
          <w:lang w:val="es-ES"/>
        </w:rPr>
        <w:t xml:space="preserve"> fin de que la TSB pueda tomar las disposiciones necesarias para la organización del taller, le agradeceríamos que se inscribiese a la mayor brevedad en la dirección </w:t>
      </w:r>
      <w:hyperlink r:id="rId11" w:history="1">
        <w:r w:rsidRPr="00EC4C53">
          <w:rPr>
            <w:rStyle w:val="Hyperlink"/>
            <w:sz w:val="22"/>
            <w:szCs w:val="22"/>
            <w:lang w:val="es-ES"/>
          </w:rPr>
          <w:t>https://www.itu.int/net4/CRM/</w:t>
        </w:r>
        <w:r w:rsidRPr="00EC4C53">
          <w:rPr>
            <w:rStyle w:val="Hyperlink"/>
            <w:sz w:val="22"/>
            <w:szCs w:val="22"/>
            <w:lang w:val="es-ES"/>
          </w:rPr>
          <w:t>x</w:t>
        </w:r>
        <w:r w:rsidRPr="00EC4C53">
          <w:rPr>
            <w:rStyle w:val="Hyperlink"/>
            <w:sz w:val="22"/>
            <w:szCs w:val="22"/>
            <w:lang w:val="es-ES"/>
          </w:rPr>
          <w:t>reg/web/registration.aspx?Event=C-00013955</w:t>
        </w:r>
      </w:hyperlink>
      <w:r w:rsidRPr="00EC4C53">
        <w:rPr>
          <w:sz w:val="22"/>
          <w:szCs w:val="22"/>
          <w:lang w:val="es-ES"/>
        </w:rPr>
        <w:t xml:space="preserve">. </w:t>
      </w:r>
      <w:r w:rsidRPr="00EC4C53">
        <w:rPr>
          <w:b/>
          <w:bCs/>
          <w:sz w:val="22"/>
          <w:szCs w:val="22"/>
          <w:lang w:val="es-ES"/>
        </w:rPr>
        <w:t>Le rogamos tenga presente que la preinscripción de los participantes en los talleres es obligatoria y se lleva a cabo exclusivamente en línea.</w:t>
      </w:r>
      <w:r w:rsidRPr="00EC4C53">
        <w:rPr>
          <w:sz w:val="22"/>
          <w:szCs w:val="22"/>
          <w:lang w:val="es-ES"/>
        </w:rPr>
        <w:t xml:space="preserve"> Este taller se celebrará únicamente en la modalidad presencial.</w:t>
      </w:r>
    </w:p>
    <w:p w14:paraId="2EFB175F" w14:textId="77777777" w:rsidR="001205C7" w:rsidRPr="00EC4C53" w:rsidRDefault="001205C7" w:rsidP="001205C7">
      <w:pPr>
        <w:rPr>
          <w:sz w:val="22"/>
          <w:szCs w:val="22"/>
          <w:lang w:val="es-ES"/>
        </w:rPr>
      </w:pPr>
      <w:r w:rsidRPr="00EC4C53">
        <w:rPr>
          <w:sz w:val="22"/>
          <w:szCs w:val="22"/>
          <w:lang w:val="es-ES"/>
        </w:rPr>
        <w:lastRenderedPageBreak/>
        <w:t>7</w:t>
      </w:r>
      <w:r w:rsidRPr="00EC4C53">
        <w:rPr>
          <w:sz w:val="22"/>
          <w:szCs w:val="22"/>
          <w:lang w:val="es-ES"/>
        </w:rPr>
        <w:tab/>
      </w:r>
      <w:proofErr w:type="gramStart"/>
      <w:r w:rsidRPr="00EC4C53">
        <w:rPr>
          <w:sz w:val="22"/>
          <w:szCs w:val="22"/>
          <w:lang w:val="es-ES"/>
        </w:rPr>
        <w:t>Le</w:t>
      </w:r>
      <w:proofErr w:type="gramEnd"/>
      <w:r w:rsidRPr="00EC4C53">
        <w:rPr>
          <w:sz w:val="22"/>
          <w:szCs w:val="22"/>
          <w:lang w:val="es-ES"/>
        </w:rPr>
        <w:t xml:space="preserve"> recordamos que los ciudadanos de algunos países necesitan obtener un visado para entrar y permanecer en Canadá. El visado debe solicitarse y obtenerse en la oficina (embajada o consulado) que representa a Canadá en su país o, en su defecto, en la más próxima a su país de partida. Las solicitudes de ayuda para la obtención de visados deberán enviarse directamente al anfitrión del taller. Se facilitarán instrucciones adicionales sobre la ayuda para la obtención de visados y otros datos pertinentes en materia de logística en el documento titulado</w:t>
      </w:r>
      <w:r w:rsidRPr="00EC4C53">
        <w:rPr>
          <w:b/>
          <w:bCs/>
          <w:sz w:val="22"/>
          <w:szCs w:val="22"/>
          <w:lang w:val="es-ES"/>
        </w:rPr>
        <w:t xml:space="preserve"> "Información práctica"</w:t>
      </w:r>
      <w:r w:rsidRPr="00EC4C53">
        <w:rPr>
          <w:sz w:val="22"/>
          <w:szCs w:val="22"/>
          <w:lang w:val="es-ES"/>
        </w:rPr>
        <w:t>, que se publicará en el sitio web del evento.</w:t>
      </w:r>
    </w:p>
    <w:p w14:paraId="05E4707F" w14:textId="77777777" w:rsidR="007B6316" w:rsidRPr="00EC4C53" w:rsidRDefault="007B6316" w:rsidP="007B6316">
      <w:pPr>
        <w:rPr>
          <w:sz w:val="22"/>
          <w:szCs w:val="22"/>
        </w:rPr>
      </w:pPr>
      <w:r w:rsidRPr="00EC4C53">
        <w:rPr>
          <w:sz w:val="22"/>
          <w:szCs w:val="22"/>
        </w:rPr>
        <w:t>Atentamente,</w:t>
      </w:r>
    </w:p>
    <w:p w14:paraId="37895485" w14:textId="7E7E90A9" w:rsidR="00101541" w:rsidRPr="00EC4C53" w:rsidRDefault="006D069A" w:rsidP="00C564B8">
      <w:pPr>
        <w:spacing w:before="840"/>
        <w:rPr>
          <w:sz w:val="22"/>
          <w:szCs w:val="22"/>
        </w:rPr>
      </w:pPr>
      <w:r>
        <w:rPr>
          <w:noProof/>
          <w:sz w:val="22"/>
          <w:szCs w:val="22"/>
        </w:rPr>
        <w:drawing>
          <wp:anchor distT="0" distB="0" distL="114300" distR="114300" simplePos="0" relativeHeight="251658240" behindDoc="1" locked="0" layoutInCell="1" allowOverlap="1" wp14:anchorId="188F659F" wp14:editId="31B171DA">
            <wp:simplePos x="0" y="0"/>
            <wp:positionH relativeFrom="column">
              <wp:posOffset>-27939</wp:posOffset>
            </wp:positionH>
            <wp:positionV relativeFrom="paragraph">
              <wp:posOffset>99061</wp:posOffset>
            </wp:positionV>
            <wp:extent cx="692150" cy="311732"/>
            <wp:effectExtent l="0" t="0" r="0" b="0"/>
            <wp:wrapNone/>
            <wp:docPr id="437362581"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62581" name="Picture 2" descr="A black and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98083" cy="314404"/>
                    </a:xfrm>
                    <a:prstGeom prst="rect">
                      <a:avLst/>
                    </a:prstGeom>
                  </pic:spPr>
                </pic:pic>
              </a:graphicData>
            </a:graphic>
            <wp14:sizeRelH relativeFrom="margin">
              <wp14:pctWidth>0</wp14:pctWidth>
            </wp14:sizeRelH>
            <wp14:sizeRelV relativeFrom="margin">
              <wp14:pctHeight>0</wp14:pctHeight>
            </wp14:sizeRelV>
          </wp:anchor>
        </w:drawing>
      </w:r>
      <w:r w:rsidR="001350B9" w:rsidRPr="00EC4C53">
        <w:rPr>
          <w:rFonts w:cstheme="minorHAnsi"/>
          <w:sz w:val="22"/>
          <w:szCs w:val="22"/>
          <w:lang w:val="es-ES"/>
        </w:rPr>
        <w:t>Seizo Onoe</w:t>
      </w:r>
      <w:r w:rsidR="007B6316" w:rsidRPr="00EC4C53">
        <w:rPr>
          <w:sz w:val="22"/>
          <w:szCs w:val="22"/>
        </w:rPr>
        <w:br/>
      </w:r>
      <w:proofErr w:type="gramStart"/>
      <w:r w:rsidR="007B6316" w:rsidRPr="00EC4C53">
        <w:rPr>
          <w:sz w:val="22"/>
          <w:szCs w:val="22"/>
        </w:rPr>
        <w:t>Director</w:t>
      </w:r>
      <w:proofErr w:type="gramEnd"/>
      <w:r w:rsidR="007B6316" w:rsidRPr="00EC4C53">
        <w:rPr>
          <w:sz w:val="22"/>
          <w:szCs w:val="22"/>
        </w:rPr>
        <w:t xml:space="preserve"> de la Oficina de </w:t>
      </w:r>
      <w:r w:rsidR="007B6316" w:rsidRPr="00EC4C53">
        <w:rPr>
          <w:sz w:val="22"/>
          <w:szCs w:val="22"/>
        </w:rPr>
        <w:br/>
        <w:t>Normalización de las Telecomunicaciones</w:t>
      </w:r>
    </w:p>
    <w:sectPr w:rsidR="00101541" w:rsidRPr="00EC4C53"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B013" w14:textId="77777777" w:rsidR="00D57125" w:rsidRDefault="00D57125">
      <w:r>
        <w:separator/>
      </w:r>
    </w:p>
  </w:endnote>
  <w:endnote w:type="continuationSeparator" w:id="0">
    <w:p w14:paraId="77A58E56" w14:textId="77777777" w:rsidR="00D57125" w:rsidRDefault="00D5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A026" w14:textId="77777777" w:rsidR="00D57125" w:rsidRDefault="00D57125">
      <w:r>
        <w:t>____________________</w:t>
      </w:r>
    </w:p>
  </w:footnote>
  <w:footnote w:type="continuationSeparator" w:id="0">
    <w:p w14:paraId="2B0C5EFA" w14:textId="77777777" w:rsidR="00D57125" w:rsidRDefault="00D5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0FCF17EB" w:rsidR="00101541" w:rsidRPr="00303D62" w:rsidRDefault="00101541">
    <w:pPr>
      <w:pStyle w:val="Header"/>
      <w:rPr>
        <w:sz w:val="18"/>
        <w:szCs w:val="18"/>
      </w:rPr>
    </w:pPr>
    <w:r w:rsidRPr="00101541">
      <w:rPr>
        <w:sz w:val="18"/>
        <w:szCs w:val="18"/>
      </w:rPr>
      <w:t xml:space="preserve">Circular TSB </w:t>
    </w:r>
    <w:r w:rsidR="001205C7">
      <w:rPr>
        <w:sz w:val="18"/>
        <w:szCs w:val="18"/>
      </w:rPr>
      <w:t>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85662"/>
    <w:rsid w:val="000C382F"/>
    <w:rsid w:val="00101541"/>
    <w:rsid w:val="001173CC"/>
    <w:rsid w:val="001205C7"/>
    <w:rsid w:val="001350B9"/>
    <w:rsid w:val="0014464D"/>
    <w:rsid w:val="001A54CC"/>
    <w:rsid w:val="00257FB4"/>
    <w:rsid w:val="002E496E"/>
    <w:rsid w:val="00303D62"/>
    <w:rsid w:val="00335367"/>
    <w:rsid w:val="00370C2D"/>
    <w:rsid w:val="003B0CBC"/>
    <w:rsid w:val="003D1E8D"/>
    <w:rsid w:val="003D673B"/>
    <w:rsid w:val="003F2855"/>
    <w:rsid w:val="00401C20"/>
    <w:rsid w:val="004A7957"/>
    <w:rsid w:val="004C4144"/>
    <w:rsid w:val="0055719E"/>
    <w:rsid w:val="006969B4"/>
    <w:rsid w:val="006D069A"/>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31158"/>
    <w:rsid w:val="00A444B0"/>
    <w:rsid w:val="00A54E47"/>
    <w:rsid w:val="00AB6E3A"/>
    <w:rsid w:val="00AE7093"/>
    <w:rsid w:val="00B422BC"/>
    <w:rsid w:val="00B43F77"/>
    <w:rsid w:val="00B55A3E"/>
    <w:rsid w:val="00B87E9E"/>
    <w:rsid w:val="00B95F0A"/>
    <w:rsid w:val="00B96180"/>
    <w:rsid w:val="00BA6F31"/>
    <w:rsid w:val="00C116FE"/>
    <w:rsid w:val="00C17AC0"/>
    <w:rsid w:val="00C34772"/>
    <w:rsid w:val="00C5465A"/>
    <w:rsid w:val="00C564B8"/>
    <w:rsid w:val="00C77F59"/>
    <w:rsid w:val="00D54642"/>
    <w:rsid w:val="00D57125"/>
    <w:rsid w:val="00D834E7"/>
    <w:rsid w:val="00DD77C9"/>
    <w:rsid w:val="00DF3538"/>
    <w:rsid w:val="00E839B0"/>
    <w:rsid w:val="00E92C09"/>
    <w:rsid w:val="00EC4C53"/>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120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139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4/0713/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25</TotalTime>
  <Pages>2</Pages>
  <Words>590</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3979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6</cp:revision>
  <cp:lastPrinted>2024-04-24T12:57:00Z</cp:lastPrinted>
  <dcterms:created xsi:type="dcterms:W3CDTF">2024-04-08T08:08:00Z</dcterms:created>
  <dcterms:modified xsi:type="dcterms:W3CDTF">2024-04-24T12:58:00Z</dcterms:modified>
</cp:coreProperties>
</file>