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408"/>
        <w:gridCol w:w="5042"/>
      </w:tblGrid>
      <w:tr w:rsidR="00EF6A23" w:rsidRPr="00B71223" w14:paraId="3FDAE1F3" w14:textId="77777777" w:rsidTr="003F083D">
        <w:trPr>
          <w:cantSplit/>
        </w:trPr>
        <w:tc>
          <w:tcPr>
            <w:tcW w:w="0" w:type="auto"/>
            <w:vAlign w:val="center"/>
          </w:tcPr>
          <w:p w14:paraId="3DE42CAA" w14:textId="77777777" w:rsidR="00EF6A23" w:rsidRPr="00B71223" w:rsidRDefault="00EF6A23" w:rsidP="00D14F31">
            <w:pPr>
              <w:tabs>
                <w:tab w:val="right" w:pos="8732"/>
              </w:tabs>
              <w:spacing w:before="0"/>
              <w:rPr>
                <w:b/>
                <w:bCs/>
                <w:iCs/>
                <w:color w:val="FFFFFF"/>
                <w:sz w:val="30"/>
                <w:szCs w:val="30"/>
              </w:rPr>
            </w:pPr>
            <w:r w:rsidRPr="00B71223">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B71223" w:rsidRDefault="00EF6A23" w:rsidP="00EF6A23">
            <w:pPr>
              <w:spacing w:before="0"/>
              <w:rPr>
                <w:rFonts w:cs="Times New Roman Bold"/>
                <w:b/>
                <w:bCs/>
                <w:iCs/>
                <w:smallCaps/>
                <w:sz w:val="34"/>
                <w:szCs w:val="34"/>
              </w:rPr>
            </w:pPr>
            <w:r w:rsidRPr="00B71223">
              <w:rPr>
                <w:rFonts w:cs="Times New Roman Bold"/>
                <w:b/>
                <w:bCs/>
                <w:iCs/>
                <w:smallCaps/>
                <w:sz w:val="34"/>
                <w:szCs w:val="34"/>
              </w:rPr>
              <w:t>Union internationale des télécommunications</w:t>
            </w:r>
          </w:p>
          <w:p w14:paraId="089E66D0" w14:textId="77777777" w:rsidR="00EF6A23" w:rsidRPr="00B71223" w:rsidRDefault="00EF6A23" w:rsidP="00EF6A23">
            <w:pPr>
              <w:spacing w:before="0"/>
              <w:rPr>
                <w:color w:val="FFFFFF"/>
                <w:sz w:val="26"/>
                <w:szCs w:val="26"/>
              </w:rPr>
            </w:pPr>
            <w:r w:rsidRPr="00B71223">
              <w:rPr>
                <w:rFonts w:cs="Times New Roman Bold"/>
                <w:b/>
                <w:bCs/>
                <w:iCs/>
                <w:smallCaps/>
                <w:sz w:val="28"/>
                <w:szCs w:val="28"/>
              </w:rPr>
              <w:t>B</w:t>
            </w:r>
            <w:r w:rsidRPr="00B71223">
              <w:rPr>
                <w:b/>
                <w:bCs/>
                <w:iCs/>
                <w:smallCaps/>
                <w:sz w:val="28"/>
                <w:szCs w:val="28"/>
              </w:rPr>
              <w:t>ureau de la Normalisation des Télécommunications</w:t>
            </w:r>
          </w:p>
        </w:tc>
      </w:tr>
      <w:tr w:rsidR="00036F4F" w:rsidRPr="00B71223" w14:paraId="18B25741" w14:textId="77777777" w:rsidTr="00307FB4">
        <w:trPr>
          <w:cantSplit/>
        </w:trPr>
        <w:tc>
          <w:tcPr>
            <w:tcW w:w="0" w:type="auto"/>
          </w:tcPr>
          <w:p w14:paraId="4B1AFD72" w14:textId="77777777" w:rsidR="00036F4F" w:rsidRPr="009C30B4" w:rsidRDefault="00036F4F" w:rsidP="00A5280F">
            <w:pPr>
              <w:tabs>
                <w:tab w:val="left" w:pos="4111"/>
              </w:tabs>
              <w:spacing w:before="10"/>
              <w:ind w:left="57"/>
              <w:rPr>
                <w:sz w:val="22"/>
                <w:szCs w:val="22"/>
              </w:rPr>
            </w:pPr>
          </w:p>
        </w:tc>
        <w:tc>
          <w:tcPr>
            <w:tcW w:w="3399" w:type="dxa"/>
          </w:tcPr>
          <w:p w14:paraId="6579D3E8" w14:textId="77777777" w:rsidR="00036F4F" w:rsidRPr="009C30B4" w:rsidRDefault="00036F4F" w:rsidP="00A5280F">
            <w:pPr>
              <w:tabs>
                <w:tab w:val="left" w:pos="4111"/>
              </w:tabs>
              <w:spacing w:before="10"/>
              <w:ind w:left="57"/>
              <w:rPr>
                <w:b/>
                <w:sz w:val="22"/>
                <w:szCs w:val="22"/>
              </w:rPr>
            </w:pPr>
          </w:p>
        </w:tc>
        <w:tc>
          <w:tcPr>
            <w:tcW w:w="5051" w:type="dxa"/>
          </w:tcPr>
          <w:p w14:paraId="0DC34ECA" w14:textId="7260495D" w:rsidR="00036F4F" w:rsidRPr="00CC7989" w:rsidRDefault="00036F4F" w:rsidP="00A5645A">
            <w:pPr>
              <w:tabs>
                <w:tab w:val="clear" w:pos="794"/>
                <w:tab w:val="clear" w:pos="1191"/>
                <w:tab w:val="clear" w:pos="1588"/>
                <w:tab w:val="clear" w:pos="1985"/>
                <w:tab w:val="left" w:pos="284"/>
              </w:tabs>
              <w:spacing w:after="120"/>
              <w:ind w:left="284" w:hanging="227"/>
              <w:rPr>
                <w:sz w:val="22"/>
                <w:szCs w:val="18"/>
              </w:rPr>
            </w:pPr>
            <w:r w:rsidRPr="00CC7989">
              <w:rPr>
                <w:sz w:val="22"/>
                <w:szCs w:val="18"/>
              </w:rPr>
              <w:t>Genève, le</w:t>
            </w:r>
            <w:r w:rsidR="004419E9" w:rsidRPr="00CC7989">
              <w:rPr>
                <w:sz w:val="22"/>
                <w:szCs w:val="18"/>
              </w:rPr>
              <w:t xml:space="preserve"> </w:t>
            </w:r>
            <w:r w:rsidR="00546E6D" w:rsidRPr="00CC7989">
              <w:rPr>
                <w:sz w:val="22"/>
                <w:szCs w:val="18"/>
              </w:rPr>
              <w:t>28 mars 2024</w:t>
            </w:r>
          </w:p>
        </w:tc>
      </w:tr>
      <w:tr w:rsidR="00445B68" w:rsidRPr="00B71223" w14:paraId="16CDDFEF" w14:textId="77777777" w:rsidTr="00307FB4">
        <w:trPr>
          <w:cantSplit/>
          <w:trHeight w:val="340"/>
        </w:trPr>
        <w:tc>
          <w:tcPr>
            <w:tcW w:w="0" w:type="auto"/>
          </w:tcPr>
          <w:p w14:paraId="3EFF375D" w14:textId="58556577" w:rsidR="00445B68" w:rsidRPr="009C30B4" w:rsidRDefault="00445B68" w:rsidP="00307FB4">
            <w:pPr>
              <w:tabs>
                <w:tab w:val="left" w:pos="4111"/>
              </w:tabs>
              <w:spacing w:before="10"/>
              <w:ind w:left="57"/>
              <w:rPr>
                <w:b/>
                <w:bCs/>
                <w:sz w:val="22"/>
                <w:szCs w:val="22"/>
              </w:rPr>
            </w:pPr>
            <w:r w:rsidRPr="009C30B4">
              <w:rPr>
                <w:b/>
                <w:bCs/>
                <w:sz w:val="22"/>
                <w:szCs w:val="22"/>
              </w:rPr>
              <w:t>Réf.:</w:t>
            </w:r>
          </w:p>
        </w:tc>
        <w:tc>
          <w:tcPr>
            <w:tcW w:w="3399" w:type="dxa"/>
          </w:tcPr>
          <w:p w14:paraId="5FFBBC9B" w14:textId="1FAE00A9" w:rsidR="00445B68" w:rsidRPr="009C30B4" w:rsidRDefault="00445B68" w:rsidP="00A5280F">
            <w:pPr>
              <w:tabs>
                <w:tab w:val="left" w:pos="4111"/>
              </w:tabs>
              <w:spacing w:before="10"/>
              <w:ind w:left="57"/>
              <w:rPr>
                <w:b/>
                <w:sz w:val="22"/>
                <w:szCs w:val="22"/>
              </w:rPr>
            </w:pPr>
            <w:r w:rsidRPr="009C30B4">
              <w:rPr>
                <w:b/>
                <w:sz w:val="22"/>
                <w:szCs w:val="22"/>
              </w:rPr>
              <w:t xml:space="preserve">Circulaire TSB </w:t>
            </w:r>
            <w:r w:rsidR="00546E6D" w:rsidRPr="009C30B4">
              <w:rPr>
                <w:b/>
                <w:sz w:val="22"/>
                <w:szCs w:val="22"/>
              </w:rPr>
              <w:t>199</w:t>
            </w:r>
          </w:p>
          <w:p w14:paraId="577F6DA2" w14:textId="16D8B4EF" w:rsidR="00445B68" w:rsidRPr="009C30B4" w:rsidRDefault="00546E6D" w:rsidP="00307FB4">
            <w:pPr>
              <w:tabs>
                <w:tab w:val="left" w:pos="4111"/>
              </w:tabs>
              <w:spacing w:before="10"/>
              <w:ind w:left="57"/>
              <w:rPr>
                <w:sz w:val="22"/>
                <w:szCs w:val="22"/>
              </w:rPr>
            </w:pPr>
            <w:r w:rsidRPr="009C30B4">
              <w:rPr>
                <w:sz w:val="22"/>
                <w:szCs w:val="22"/>
              </w:rPr>
              <w:t>Manifestations du TSB/GM</w:t>
            </w:r>
          </w:p>
        </w:tc>
        <w:tc>
          <w:tcPr>
            <w:tcW w:w="5051" w:type="dxa"/>
            <w:vMerge w:val="restart"/>
          </w:tcPr>
          <w:p w14:paraId="56FFB697" w14:textId="77777777" w:rsidR="00307FB4" w:rsidRPr="00CC7989" w:rsidRDefault="00307FB4" w:rsidP="00307FB4">
            <w:pPr>
              <w:tabs>
                <w:tab w:val="left" w:pos="226"/>
                <w:tab w:val="left" w:pos="4111"/>
              </w:tabs>
              <w:spacing w:before="0"/>
              <w:ind w:left="226" w:hanging="226"/>
              <w:rPr>
                <w:b/>
                <w:bCs/>
                <w:sz w:val="22"/>
                <w:szCs w:val="18"/>
              </w:rPr>
            </w:pPr>
            <w:bookmarkStart w:id="0" w:name="Addressee_F"/>
            <w:bookmarkEnd w:id="0"/>
            <w:r w:rsidRPr="00CC7989">
              <w:rPr>
                <w:b/>
                <w:bCs/>
                <w:sz w:val="22"/>
                <w:szCs w:val="18"/>
              </w:rPr>
              <w:t>Aux:</w:t>
            </w:r>
          </w:p>
          <w:p w14:paraId="35271D8E" w14:textId="536C0CE8" w:rsidR="00307FB4" w:rsidRPr="00CC7989" w:rsidRDefault="00307FB4" w:rsidP="00307FB4">
            <w:pPr>
              <w:tabs>
                <w:tab w:val="left" w:pos="4111"/>
              </w:tabs>
              <w:spacing w:before="0"/>
              <w:ind w:left="426" w:hanging="426"/>
              <w:rPr>
                <w:sz w:val="22"/>
                <w:szCs w:val="18"/>
              </w:rPr>
            </w:pPr>
            <w:r w:rsidRPr="00CC7989">
              <w:rPr>
                <w:sz w:val="22"/>
                <w:szCs w:val="18"/>
              </w:rPr>
              <w:t>–</w:t>
            </w:r>
            <w:r w:rsidRPr="00CC7989">
              <w:rPr>
                <w:sz w:val="22"/>
                <w:szCs w:val="18"/>
              </w:rPr>
              <w:tab/>
              <w:t>Administrations des États Membres de l'Union;</w:t>
            </w:r>
          </w:p>
          <w:p w14:paraId="38A5A6AE" w14:textId="47344D7B" w:rsidR="00307FB4" w:rsidRPr="00CC7989" w:rsidRDefault="00307FB4" w:rsidP="00307FB4">
            <w:pPr>
              <w:tabs>
                <w:tab w:val="left" w:pos="4111"/>
              </w:tabs>
              <w:spacing w:before="0"/>
              <w:ind w:left="426" w:hanging="426"/>
              <w:rPr>
                <w:sz w:val="22"/>
                <w:szCs w:val="18"/>
              </w:rPr>
            </w:pPr>
            <w:r w:rsidRPr="00CC7989">
              <w:rPr>
                <w:sz w:val="22"/>
                <w:szCs w:val="18"/>
              </w:rPr>
              <w:t>–</w:t>
            </w:r>
            <w:r w:rsidRPr="00CC7989">
              <w:rPr>
                <w:sz w:val="22"/>
                <w:szCs w:val="18"/>
              </w:rPr>
              <w:tab/>
              <w:t>Membres du Secteur de l'UIT-T;</w:t>
            </w:r>
          </w:p>
          <w:p w14:paraId="45F82FBC" w14:textId="7313CB0A" w:rsidR="00307FB4" w:rsidRPr="00CC7989" w:rsidRDefault="00307FB4" w:rsidP="00307FB4">
            <w:pPr>
              <w:tabs>
                <w:tab w:val="left" w:pos="4111"/>
              </w:tabs>
              <w:spacing w:before="0"/>
              <w:ind w:left="426" w:hanging="426"/>
              <w:rPr>
                <w:sz w:val="22"/>
                <w:szCs w:val="18"/>
              </w:rPr>
            </w:pPr>
            <w:r w:rsidRPr="00CC7989">
              <w:rPr>
                <w:sz w:val="22"/>
                <w:szCs w:val="18"/>
              </w:rPr>
              <w:t>–</w:t>
            </w:r>
            <w:r w:rsidRPr="00CC7989">
              <w:rPr>
                <w:sz w:val="22"/>
                <w:szCs w:val="18"/>
              </w:rPr>
              <w:tab/>
              <w:t>Associés de l'UIT-T;</w:t>
            </w:r>
          </w:p>
          <w:p w14:paraId="461460AE" w14:textId="5666B808" w:rsidR="00445B68" w:rsidRPr="00CC7989" w:rsidRDefault="00307FB4" w:rsidP="00307FB4">
            <w:pPr>
              <w:tabs>
                <w:tab w:val="left" w:pos="4111"/>
              </w:tabs>
              <w:spacing w:before="0"/>
              <w:ind w:left="426" w:hanging="426"/>
              <w:rPr>
                <w:sz w:val="22"/>
                <w:szCs w:val="18"/>
              </w:rPr>
            </w:pPr>
            <w:r w:rsidRPr="00CC7989">
              <w:rPr>
                <w:sz w:val="22"/>
                <w:szCs w:val="18"/>
              </w:rPr>
              <w:t>–</w:t>
            </w:r>
            <w:r w:rsidRPr="00CC7989">
              <w:rPr>
                <w:sz w:val="22"/>
                <w:szCs w:val="18"/>
              </w:rPr>
              <w:tab/>
              <w:t>Établissements universitaires participant aux travaux de l'UIT</w:t>
            </w:r>
          </w:p>
        </w:tc>
      </w:tr>
      <w:tr w:rsidR="00445B68" w:rsidRPr="00B71223" w14:paraId="724FD23E" w14:textId="77777777" w:rsidTr="00307FB4">
        <w:trPr>
          <w:cantSplit/>
        </w:trPr>
        <w:tc>
          <w:tcPr>
            <w:tcW w:w="0" w:type="auto"/>
          </w:tcPr>
          <w:p w14:paraId="73149CCD" w14:textId="77777777" w:rsidR="00445B68" w:rsidRPr="009C30B4" w:rsidRDefault="00445B68" w:rsidP="00A5280F">
            <w:pPr>
              <w:tabs>
                <w:tab w:val="left" w:pos="4111"/>
              </w:tabs>
              <w:spacing w:before="10"/>
              <w:ind w:left="57"/>
              <w:rPr>
                <w:b/>
                <w:bCs/>
                <w:sz w:val="22"/>
                <w:szCs w:val="22"/>
              </w:rPr>
            </w:pPr>
            <w:r w:rsidRPr="009C30B4">
              <w:rPr>
                <w:b/>
                <w:bCs/>
                <w:sz w:val="22"/>
                <w:szCs w:val="22"/>
              </w:rPr>
              <w:t>Tél.:</w:t>
            </w:r>
          </w:p>
        </w:tc>
        <w:tc>
          <w:tcPr>
            <w:tcW w:w="3399" w:type="dxa"/>
          </w:tcPr>
          <w:p w14:paraId="78D06186" w14:textId="43D4EC02" w:rsidR="00445B68" w:rsidRPr="009C30B4" w:rsidRDefault="00901473" w:rsidP="00A5280F">
            <w:pPr>
              <w:tabs>
                <w:tab w:val="left" w:pos="4111"/>
              </w:tabs>
              <w:spacing w:before="0"/>
              <w:ind w:left="57"/>
              <w:rPr>
                <w:sz w:val="22"/>
                <w:szCs w:val="22"/>
              </w:rPr>
            </w:pPr>
            <w:r w:rsidRPr="009C30B4">
              <w:rPr>
                <w:sz w:val="22"/>
                <w:szCs w:val="22"/>
              </w:rPr>
              <w:t>+41 22 730 5893</w:t>
            </w:r>
          </w:p>
        </w:tc>
        <w:tc>
          <w:tcPr>
            <w:tcW w:w="5051" w:type="dxa"/>
            <w:vMerge/>
          </w:tcPr>
          <w:p w14:paraId="6D3A5806" w14:textId="77777777" w:rsidR="00445B68" w:rsidRPr="00CC7989" w:rsidRDefault="00445B68" w:rsidP="00A5280F">
            <w:pPr>
              <w:tabs>
                <w:tab w:val="left" w:pos="226"/>
                <w:tab w:val="left" w:pos="4111"/>
              </w:tabs>
              <w:spacing w:before="0"/>
              <w:ind w:left="226" w:hanging="226"/>
              <w:rPr>
                <w:b/>
                <w:sz w:val="22"/>
                <w:szCs w:val="18"/>
              </w:rPr>
            </w:pPr>
          </w:p>
        </w:tc>
      </w:tr>
      <w:tr w:rsidR="00307FB4" w:rsidRPr="00B71223" w14:paraId="030F9AE5" w14:textId="77777777" w:rsidTr="00BB6409">
        <w:trPr>
          <w:cantSplit/>
          <w:trHeight w:val="533"/>
        </w:trPr>
        <w:tc>
          <w:tcPr>
            <w:tcW w:w="0" w:type="auto"/>
          </w:tcPr>
          <w:p w14:paraId="7B417C4C" w14:textId="77777777" w:rsidR="00307FB4" w:rsidRPr="009C30B4" w:rsidRDefault="00307FB4" w:rsidP="00A5280F">
            <w:pPr>
              <w:tabs>
                <w:tab w:val="left" w:pos="4111"/>
              </w:tabs>
              <w:spacing w:before="10"/>
              <w:ind w:left="57"/>
              <w:rPr>
                <w:b/>
                <w:bCs/>
                <w:sz w:val="22"/>
                <w:szCs w:val="22"/>
              </w:rPr>
            </w:pPr>
            <w:r w:rsidRPr="009C30B4">
              <w:rPr>
                <w:b/>
                <w:bCs/>
                <w:sz w:val="22"/>
                <w:szCs w:val="22"/>
              </w:rPr>
              <w:t>Télécopie:</w:t>
            </w:r>
          </w:p>
        </w:tc>
        <w:tc>
          <w:tcPr>
            <w:tcW w:w="3399" w:type="dxa"/>
          </w:tcPr>
          <w:p w14:paraId="1A4A5F7B" w14:textId="77777777" w:rsidR="00307FB4" w:rsidRPr="009C30B4" w:rsidRDefault="00307FB4" w:rsidP="00A5280F">
            <w:pPr>
              <w:tabs>
                <w:tab w:val="left" w:pos="4111"/>
              </w:tabs>
              <w:spacing w:before="0"/>
              <w:ind w:left="57"/>
              <w:rPr>
                <w:sz w:val="22"/>
                <w:szCs w:val="22"/>
              </w:rPr>
            </w:pPr>
            <w:r w:rsidRPr="009C30B4">
              <w:rPr>
                <w:sz w:val="22"/>
                <w:szCs w:val="22"/>
              </w:rPr>
              <w:t>+41 22 730 5853</w:t>
            </w:r>
          </w:p>
        </w:tc>
        <w:tc>
          <w:tcPr>
            <w:tcW w:w="5051" w:type="dxa"/>
            <w:vMerge/>
          </w:tcPr>
          <w:p w14:paraId="323DAC81" w14:textId="77777777" w:rsidR="00307FB4" w:rsidRPr="00CC7989" w:rsidRDefault="00307FB4" w:rsidP="00A5280F">
            <w:pPr>
              <w:tabs>
                <w:tab w:val="left" w:pos="226"/>
                <w:tab w:val="left" w:pos="4111"/>
              </w:tabs>
              <w:spacing w:before="0"/>
              <w:ind w:left="226" w:hanging="226"/>
              <w:rPr>
                <w:b/>
                <w:sz w:val="22"/>
                <w:szCs w:val="18"/>
              </w:rPr>
            </w:pPr>
          </w:p>
        </w:tc>
      </w:tr>
      <w:tr w:rsidR="00307FB4" w:rsidRPr="00B71223" w14:paraId="640FB6B9" w14:textId="77777777" w:rsidTr="00307FB4">
        <w:trPr>
          <w:cantSplit/>
        </w:trPr>
        <w:tc>
          <w:tcPr>
            <w:tcW w:w="0" w:type="auto"/>
          </w:tcPr>
          <w:p w14:paraId="15527369" w14:textId="0865F49A" w:rsidR="00307FB4" w:rsidRPr="009C30B4" w:rsidRDefault="00307FB4" w:rsidP="00A5280F">
            <w:pPr>
              <w:tabs>
                <w:tab w:val="left" w:pos="4111"/>
              </w:tabs>
              <w:spacing w:before="10"/>
              <w:ind w:left="57"/>
              <w:rPr>
                <w:b/>
                <w:bCs/>
                <w:sz w:val="22"/>
                <w:szCs w:val="22"/>
              </w:rPr>
            </w:pPr>
            <w:r w:rsidRPr="009C30B4">
              <w:rPr>
                <w:b/>
                <w:bCs/>
                <w:sz w:val="22"/>
                <w:szCs w:val="22"/>
              </w:rPr>
              <w:t>Courriel:</w:t>
            </w:r>
          </w:p>
        </w:tc>
        <w:tc>
          <w:tcPr>
            <w:tcW w:w="3399" w:type="dxa"/>
          </w:tcPr>
          <w:p w14:paraId="3E5E41E1" w14:textId="2EE118E2" w:rsidR="00546E6D" w:rsidRPr="009C30B4" w:rsidRDefault="00B53DC7" w:rsidP="00A5280F">
            <w:pPr>
              <w:tabs>
                <w:tab w:val="left" w:pos="4111"/>
              </w:tabs>
              <w:spacing w:before="0"/>
              <w:ind w:left="57"/>
              <w:rPr>
                <w:sz w:val="22"/>
                <w:szCs w:val="22"/>
              </w:rPr>
            </w:pPr>
            <w:hyperlink r:id="rId9" w:history="1">
              <w:r w:rsidR="00546E6D" w:rsidRPr="009C30B4">
                <w:rPr>
                  <w:rStyle w:val="Hyperlink"/>
                  <w:sz w:val="22"/>
                  <w:szCs w:val="22"/>
                </w:rPr>
                <w:t>quantum@itu.int</w:t>
              </w:r>
            </w:hyperlink>
          </w:p>
          <w:p w14:paraId="172249CE" w14:textId="224B72BF" w:rsidR="00307FB4" w:rsidRPr="009C30B4" w:rsidRDefault="00B53DC7" w:rsidP="00A5280F">
            <w:pPr>
              <w:tabs>
                <w:tab w:val="left" w:pos="4111"/>
              </w:tabs>
              <w:spacing w:before="0"/>
              <w:ind w:left="57"/>
              <w:rPr>
                <w:sz w:val="22"/>
                <w:szCs w:val="22"/>
              </w:rPr>
            </w:pPr>
            <w:hyperlink r:id="rId10" w:history="1">
              <w:r w:rsidR="00546E6D" w:rsidRPr="009C30B4">
                <w:rPr>
                  <w:rStyle w:val="Hyperlink"/>
                  <w:sz w:val="22"/>
                  <w:szCs w:val="22"/>
                </w:rPr>
                <w:t>tsbevents@itu.int</w:t>
              </w:r>
            </w:hyperlink>
          </w:p>
        </w:tc>
        <w:tc>
          <w:tcPr>
            <w:tcW w:w="5051" w:type="dxa"/>
          </w:tcPr>
          <w:p w14:paraId="55E5D357" w14:textId="77777777" w:rsidR="00307FB4" w:rsidRPr="00CC7989" w:rsidRDefault="00307FB4" w:rsidP="00307FB4">
            <w:pPr>
              <w:tabs>
                <w:tab w:val="clear" w:pos="794"/>
                <w:tab w:val="left" w:pos="226"/>
                <w:tab w:val="left" w:pos="4111"/>
              </w:tabs>
              <w:spacing w:before="0"/>
              <w:ind w:left="226" w:hanging="226"/>
              <w:rPr>
                <w:b/>
                <w:bCs/>
                <w:sz w:val="22"/>
                <w:szCs w:val="22"/>
              </w:rPr>
            </w:pPr>
            <w:r w:rsidRPr="00CC7989">
              <w:rPr>
                <w:b/>
                <w:bCs/>
                <w:sz w:val="22"/>
                <w:szCs w:val="22"/>
              </w:rPr>
              <w:t>Copie:</w:t>
            </w:r>
          </w:p>
          <w:p w14:paraId="6CE98CB1" w14:textId="4EAC65B7" w:rsidR="00307FB4" w:rsidRPr="00CC7989" w:rsidRDefault="00307FB4" w:rsidP="00307FB4">
            <w:pPr>
              <w:tabs>
                <w:tab w:val="clear" w:pos="794"/>
                <w:tab w:val="left" w:pos="4111"/>
              </w:tabs>
              <w:spacing w:before="0"/>
              <w:ind w:left="426" w:hanging="426"/>
              <w:rPr>
                <w:sz w:val="22"/>
                <w:szCs w:val="22"/>
              </w:rPr>
            </w:pPr>
            <w:r w:rsidRPr="00CC7989">
              <w:rPr>
                <w:sz w:val="22"/>
                <w:szCs w:val="22"/>
              </w:rPr>
              <w:t>–</w:t>
            </w:r>
            <w:r w:rsidRPr="00CC7989">
              <w:rPr>
                <w:sz w:val="22"/>
                <w:szCs w:val="22"/>
              </w:rPr>
              <w:tab/>
              <w:t xml:space="preserve">Aux Présidents et Vice-Présidents des </w:t>
            </w:r>
            <w:r w:rsidR="00901473" w:rsidRPr="00CC7989">
              <w:rPr>
                <w:sz w:val="22"/>
                <w:szCs w:val="22"/>
              </w:rPr>
              <w:t>c</w:t>
            </w:r>
            <w:r w:rsidRPr="00CC7989">
              <w:rPr>
                <w:sz w:val="22"/>
                <w:szCs w:val="22"/>
              </w:rPr>
              <w:t>ommissions d'études;</w:t>
            </w:r>
          </w:p>
          <w:p w14:paraId="56C75C35" w14:textId="1A09D40C" w:rsidR="00307FB4" w:rsidRPr="00CC7989" w:rsidRDefault="00307FB4" w:rsidP="00307FB4">
            <w:pPr>
              <w:tabs>
                <w:tab w:val="clear" w:pos="794"/>
                <w:tab w:val="left" w:pos="4111"/>
              </w:tabs>
              <w:spacing w:before="0"/>
              <w:ind w:left="426" w:hanging="426"/>
              <w:rPr>
                <w:sz w:val="22"/>
                <w:szCs w:val="22"/>
              </w:rPr>
            </w:pPr>
            <w:r w:rsidRPr="00CC7989">
              <w:rPr>
                <w:sz w:val="22"/>
                <w:szCs w:val="22"/>
              </w:rPr>
              <w:t>–</w:t>
            </w:r>
            <w:r w:rsidRPr="00CC7989">
              <w:rPr>
                <w:sz w:val="22"/>
                <w:szCs w:val="22"/>
              </w:rPr>
              <w:tab/>
              <w:t>Au Directeur du Bureau de développement des télécommunications;</w:t>
            </w:r>
          </w:p>
          <w:p w14:paraId="777AF442" w14:textId="77777777" w:rsidR="00307FB4" w:rsidRPr="00CC7989" w:rsidRDefault="00307FB4" w:rsidP="00307FB4">
            <w:pPr>
              <w:tabs>
                <w:tab w:val="clear" w:pos="794"/>
                <w:tab w:val="left" w:pos="4111"/>
              </w:tabs>
              <w:spacing w:before="0"/>
              <w:ind w:left="426" w:hanging="426"/>
              <w:rPr>
                <w:sz w:val="22"/>
                <w:szCs w:val="22"/>
              </w:rPr>
            </w:pPr>
            <w:r w:rsidRPr="00CC7989">
              <w:rPr>
                <w:sz w:val="22"/>
                <w:szCs w:val="22"/>
              </w:rPr>
              <w:t>–</w:t>
            </w:r>
            <w:r w:rsidRPr="00CC7989">
              <w:rPr>
                <w:sz w:val="22"/>
                <w:szCs w:val="22"/>
              </w:rPr>
              <w:tab/>
              <w:t>Au Directeur du Bureau des radiocommunications</w:t>
            </w:r>
            <w:r w:rsidR="00546E6D" w:rsidRPr="00CC7989">
              <w:rPr>
                <w:sz w:val="22"/>
                <w:szCs w:val="22"/>
              </w:rPr>
              <w:t>;</w:t>
            </w:r>
          </w:p>
          <w:p w14:paraId="19762254" w14:textId="27DE5937" w:rsidR="00546E6D" w:rsidRPr="00CC7989" w:rsidRDefault="00546E6D" w:rsidP="00307FB4">
            <w:pPr>
              <w:tabs>
                <w:tab w:val="clear" w:pos="794"/>
                <w:tab w:val="left" w:pos="4111"/>
              </w:tabs>
              <w:spacing w:before="0"/>
              <w:ind w:left="426" w:hanging="426"/>
              <w:rPr>
                <w:sz w:val="22"/>
                <w:szCs w:val="22"/>
              </w:rPr>
            </w:pPr>
            <w:r w:rsidRPr="00CC7989">
              <w:rPr>
                <w:sz w:val="22"/>
                <w:szCs w:val="22"/>
              </w:rPr>
              <w:t>–</w:t>
            </w:r>
            <w:r w:rsidRPr="00CC7989">
              <w:rPr>
                <w:sz w:val="22"/>
                <w:szCs w:val="22"/>
              </w:rPr>
              <w:tab/>
              <w:t>Au Directeur du Bureau régional de l'UIT pour la région Asie-Pacifique</w:t>
            </w:r>
          </w:p>
        </w:tc>
      </w:tr>
      <w:tr w:rsidR="00517A03" w:rsidRPr="00B71223" w14:paraId="5435C04A" w14:textId="77777777" w:rsidTr="00C41B89">
        <w:trPr>
          <w:cantSplit/>
          <w:trHeight w:val="397"/>
        </w:trPr>
        <w:tc>
          <w:tcPr>
            <w:tcW w:w="0" w:type="auto"/>
          </w:tcPr>
          <w:p w14:paraId="2A0B9B4F" w14:textId="77777777" w:rsidR="00517A03" w:rsidRPr="009C30B4" w:rsidRDefault="00517A03" w:rsidP="00307FB4">
            <w:pPr>
              <w:tabs>
                <w:tab w:val="left" w:pos="4111"/>
              </w:tabs>
              <w:ind w:left="57"/>
              <w:rPr>
                <w:b/>
                <w:bCs/>
                <w:sz w:val="22"/>
                <w:szCs w:val="22"/>
              </w:rPr>
            </w:pPr>
            <w:r w:rsidRPr="009C30B4">
              <w:rPr>
                <w:b/>
                <w:bCs/>
                <w:sz w:val="22"/>
                <w:szCs w:val="22"/>
              </w:rPr>
              <w:t>Objet:</w:t>
            </w:r>
          </w:p>
        </w:tc>
        <w:tc>
          <w:tcPr>
            <w:tcW w:w="0" w:type="auto"/>
            <w:gridSpan w:val="2"/>
          </w:tcPr>
          <w:p w14:paraId="5577BCC4" w14:textId="5D38D4E5" w:rsidR="00517A03" w:rsidRPr="009C30B4" w:rsidRDefault="00546E6D" w:rsidP="0048088B">
            <w:pPr>
              <w:tabs>
                <w:tab w:val="left" w:pos="4111"/>
              </w:tabs>
              <w:spacing w:after="120"/>
              <w:ind w:left="57"/>
              <w:rPr>
                <w:b/>
                <w:bCs/>
                <w:sz w:val="22"/>
                <w:szCs w:val="22"/>
              </w:rPr>
            </w:pPr>
            <w:r w:rsidRPr="009C30B4">
              <w:rPr>
                <w:b/>
                <w:bCs/>
                <w:sz w:val="22"/>
                <w:szCs w:val="22"/>
              </w:rPr>
              <w:t>Quatrième réunion de l'Activité conjointe de coordination sur le</w:t>
            </w:r>
            <w:r w:rsidR="0008186D" w:rsidRPr="009C30B4">
              <w:rPr>
                <w:b/>
                <w:bCs/>
                <w:sz w:val="22"/>
                <w:szCs w:val="22"/>
              </w:rPr>
              <w:t>s</w:t>
            </w:r>
            <w:r w:rsidRPr="009C30B4">
              <w:rPr>
                <w:b/>
                <w:bCs/>
                <w:sz w:val="22"/>
                <w:szCs w:val="22"/>
              </w:rPr>
              <w:t xml:space="preserve"> réseau</w:t>
            </w:r>
            <w:r w:rsidR="0008186D" w:rsidRPr="009C30B4">
              <w:rPr>
                <w:b/>
                <w:bCs/>
                <w:sz w:val="22"/>
                <w:szCs w:val="22"/>
              </w:rPr>
              <w:t>x</w:t>
            </w:r>
            <w:r w:rsidRPr="009C30B4">
              <w:rPr>
                <w:b/>
                <w:bCs/>
                <w:sz w:val="22"/>
                <w:szCs w:val="22"/>
              </w:rPr>
              <w:t xml:space="preserve"> de distribution de clés quantiques (JCA-QKDN) et</w:t>
            </w:r>
          </w:p>
          <w:p w14:paraId="1A51EE75" w14:textId="2D758F25" w:rsidR="00546E6D" w:rsidRPr="009C30B4" w:rsidRDefault="00546E6D" w:rsidP="0048088B">
            <w:pPr>
              <w:tabs>
                <w:tab w:val="left" w:pos="4111"/>
              </w:tabs>
              <w:spacing w:after="120"/>
              <w:ind w:left="57"/>
              <w:rPr>
                <w:b/>
                <w:bCs/>
                <w:sz w:val="22"/>
                <w:szCs w:val="22"/>
              </w:rPr>
            </w:pPr>
            <w:r w:rsidRPr="009C30B4">
              <w:rPr>
                <w:b/>
                <w:bCs/>
                <w:sz w:val="22"/>
                <w:szCs w:val="22"/>
              </w:rPr>
              <w:t>Atelier sur le thème "Points de vue sur la certification de la distribution de clés quantiques et des réseaux de distribution de clés quantiques: Progrès récents et défis à relever" Singapour, 17 mai 2024</w:t>
            </w:r>
          </w:p>
        </w:tc>
      </w:tr>
    </w:tbl>
    <w:p w14:paraId="2D1EC328" w14:textId="77777777" w:rsidR="00517A03" w:rsidRPr="00CC7989" w:rsidRDefault="00517A03" w:rsidP="0048088B">
      <w:pPr>
        <w:spacing w:before="360"/>
        <w:rPr>
          <w:sz w:val="22"/>
          <w:szCs w:val="18"/>
        </w:rPr>
      </w:pPr>
      <w:bookmarkStart w:id="1" w:name="StartTyping_F"/>
      <w:bookmarkEnd w:id="1"/>
      <w:r w:rsidRPr="00CC7989">
        <w:rPr>
          <w:sz w:val="22"/>
          <w:szCs w:val="18"/>
        </w:rPr>
        <w:t>Madame, Monsieur,</w:t>
      </w:r>
    </w:p>
    <w:p w14:paraId="46F2C3C2" w14:textId="78C614E2" w:rsidR="00307FB4" w:rsidRPr="00CC7989" w:rsidRDefault="00546E6D" w:rsidP="00307FB4">
      <w:pPr>
        <w:rPr>
          <w:sz w:val="22"/>
          <w:szCs w:val="21"/>
        </w:rPr>
      </w:pPr>
      <w:r w:rsidRPr="00CC7989">
        <w:rPr>
          <w:bCs/>
          <w:sz w:val="22"/>
          <w:szCs w:val="18"/>
        </w:rPr>
        <w:t>1</w:t>
      </w:r>
      <w:r w:rsidRPr="00CC7989">
        <w:rPr>
          <w:bCs/>
          <w:sz w:val="22"/>
          <w:szCs w:val="18"/>
        </w:rPr>
        <w:tab/>
        <w:t xml:space="preserve">J'ai l'honneur de vous informer que l'Union internationale des télécommunications (UIT) organise un atelier sur le thème </w:t>
      </w:r>
      <w:r w:rsidRPr="00CC7989">
        <w:rPr>
          <w:sz w:val="22"/>
          <w:szCs w:val="21"/>
        </w:rPr>
        <w:t>"</w:t>
      </w:r>
      <w:r w:rsidRPr="00CC7989">
        <w:rPr>
          <w:b/>
          <w:bCs/>
          <w:sz w:val="22"/>
          <w:szCs w:val="21"/>
        </w:rPr>
        <w:t>Points de vue sur la certification de la distribution de clés quantiques et des réseaux de distribution de clés quantiques: Progrès récents et défis à relever</w:t>
      </w:r>
      <w:r w:rsidRPr="00CC7989">
        <w:rPr>
          <w:sz w:val="22"/>
          <w:szCs w:val="21"/>
        </w:rPr>
        <w:t>", qui se tiendra dans les locaux de SG</w:t>
      </w:r>
      <w:r w:rsidR="00901473" w:rsidRPr="00CC7989">
        <w:rPr>
          <w:sz w:val="22"/>
          <w:szCs w:val="21"/>
        </w:rPr>
        <w:t> </w:t>
      </w:r>
      <w:r w:rsidRPr="00CC7989">
        <w:rPr>
          <w:sz w:val="22"/>
          <w:szCs w:val="21"/>
        </w:rPr>
        <w:t>Innovate à Singapour le 17 mai 2024, de 14 h</w:t>
      </w:r>
      <w:r w:rsidR="00901473" w:rsidRPr="00CC7989">
        <w:rPr>
          <w:sz w:val="22"/>
          <w:szCs w:val="21"/>
        </w:rPr>
        <w:t xml:space="preserve">eures </w:t>
      </w:r>
      <w:r w:rsidRPr="00CC7989">
        <w:rPr>
          <w:sz w:val="22"/>
          <w:szCs w:val="21"/>
        </w:rPr>
        <w:t>à 16 h 30 (heure locale).</w:t>
      </w:r>
      <w:r w:rsidRPr="00CC7989">
        <w:rPr>
          <w:sz w:val="22"/>
          <w:szCs w:val="18"/>
        </w:rPr>
        <w:t xml:space="preserve"> </w:t>
      </w:r>
      <w:r w:rsidRPr="00CC7989">
        <w:rPr>
          <w:sz w:val="22"/>
          <w:szCs w:val="21"/>
        </w:rPr>
        <w:t>Cet atelier se tiendra à l'aimable invitation de l'Autorité de développement des médias d'infocommunication (IMDA).</w:t>
      </w:r>
    </w:p>
    <w:p w14:paraId="7870D647" w14:textId="6C50323F" w:rsidR="00546E6D" w:rsidRPr="00CC7989" w:rsidRDefault="00BB28AD" w:rsidP="00307FB4">
      <w:pPr>
        <w:rPr>
          <w:sz w:val="22"/>
          <w:szCs w:val="21"/>
        </w:rPr>
      </w:pPr>
      <w:r w:rsidRPr="00CC7989">
        <w:rPr>
          <w:sz w:val="22"/>
          <w:szCs w:val="21"/>
        </w:rPr>
        <w:t>L'atelier sera suivi par la quatrième réunion de l'</w:t>
      </w:r>
      <w:hyperlink r:id="rId11" w:history="1">
        <w:r w:rsidRPr="00CC7989">
          <w:rPr>
            <w:rStyle w:val="Hyperlink"/>
            <w:sz w:val="22"/>
            <w:szCs w:val="21"/>
          </w:rPr>
          <w:t>Activité conjointe de coordination sur le</w:t>
        </w:r>
        <w:r w:rsidR="0008186D" w:rsidRPr="00CC7989">
          <w:rPr>
            <w:rStyle w:val="Hyperlink"/>
            <w:sz w:val="22"/>
            <w:szCs w:val="21"/>
          </w:rPr>
          <w:t>s</w:t>
        </w:r>
        <w:r w:rsidRPr="00CC7989">
          <w:rPr>
            <w:rStyle w:val="Hyperlink"/>
            <w:sz w:val="22"/>
            <w:szCs w:val="21"/>
          </w:rPr>
          <w:t xml:space="preserve"> réseau</w:t>
        </w:r>
        <w:r w:rsidR="0008186D" w:rsidRPr="00CC7989">
          <w:rPr>
            <w:rStyle w:val="Hyperlink"/>
            <w:sz w:val="22"/>
            <w:szCs w:val="21"/>
          </w:rPr>
          <w:t>x</w:t>
        </w:r>
        <w:r w:rsidRPr="00CC7989">
          <w:rPr>
            <w:rStyle w:val="Hyperlink"/>
            <w:sz w:val="22"/>
            <w:szCs w:val="21"/>
          </w:rPr>
          <w:t xml:space="preserve"> de distribution de clés quantiques (JCA-QKDN)</w:t>
        </w:r>
      </w:hyperlink>
      <w:r w:rsidRPr="00CC7989">
        <w:rPr>
          <w:sz w:val="22"/>
          <w:szCs w:val="21"/>
        </w:rPr>
        <w:t xml:space="preserve"> qui aura lieu de 17 h</w:t>
      </w:r>
      <w:r w:rsidR="00901473" w:rsidRPr="00CC7989">
        <w:rPr>
          <w:sz w:val="22"/>
          <w:szCs w:val="21"/>
        </w:rPr>
        <w:t>eures</w:t>
      </w:r>
      <w:r w:rsidRPr="00CC7989">
        <w:rPr>
          <w:sz w:val="22"/>
          <w:szCs w:val="21"/>
        </w:rPr>
        <w:t xml:space="preserve"> à 18 h 30.</w:t>
      </w:r>
      <w:r w:rsidRPr="00CC7989">
        <w:rPr>
          <w:sz w:val="22"/>
          <w:szCs w:val="18"/>
        </w:rPr>
        <w:t xml:space="preserve"> </w:t>
      </w:r>
      <w:r w:rsidRPr="00CC7989">
        <w:rPr>
          <w:sz w:val="22"/>
          <w:szCs w:val="21"/>
        </w:rPr>
        <w:t>Ces deux</w:t>
      </w:r>
      <w:r w:rsidR="00901473" w:rsidRPr="00CC7989">
        <w:rPr>
          <w:sz w:val="22"/>
          <w:szCs w:val="21"/>
        </w:rPr>
        <w:t> </w:t>
      </w:r>
      <w:r w:rsidRPr="00CC7989">
        <w:rPr>
          <w:sz w:val="22"/>
          <w:szCs w:val="21"/>
        </w:rPr>
        <w:t xml:space="preserve">manifestations se tiendront en anglais seulement. Un service de participation à distance sera assuré pour la réunion et l'atelier, qui sont organisés </w:t>
      </w:r>
      <w:r w:rsidR="000D245C" w:rsidRPr="00CC7989">
        <w:rPr>
          <w:sz w:val="22"/>
          <w:szCs w:val="21"/>
        </w:rPr>
        <w:t>à l'occasion de</w:t>
      </w:r>
      <w:r w:rsidRPr="00CC7989">
        <w:rPr>
          <w:sz w:val="22"/>
          <w:szCs w:val="21"/>
        </w:rPr>
        <w:t xml:space="preserve"> la réunion du Groupe d'action sur le réseau </w:t>
      </w:r>
      <w:r w:rsidR="0008186D" w:rsidRPr="00CC7989">
        <w:rPr>
          <w:sz w:val="22"/>
          <w:szCs w:val="21"/>
        </w:rPr>
        <w:t xml:space="preserve">Telco </w:t>
      </w:r>
      <w:r w:rsidRPr="00CC7989">
        <w:rPr>
          <w:sz w:val="22"/>
          <w:szCs w:val="21"/>
        </w:rPr>
        <w:t xml:space="preserve">post-quantique (PQTN) </w:t>
      </w:r>
      <w:r w:rsidR="0008186D" w:rsidRPr="00CC7989">
        <w:rPr>
          <w:sz w:val="22"/>
          <w:szCs w:val="21"/>
        </w:rPr>
        <w:t xml:space="preserve">de la GSMA </w:t>
      </w:r>
      <w:r w:rsidR="000D245C" w:rsidRPr="00CC7989">
        <w:rPr>
          <w:sz w:val="22"/>
          <w:szCs w:val="21"/>
        </w:rPr>
        <w:t>prévue</w:t>
      </w:r>
      <w:r w:rsidRPr="00CC7989">
        <w:rPr>
          <w:sz w:val="22"/>
          <w:szCs w:val="21"/>
        </w:rPr>
        <w:t xml:space="preserve"> de 9 h</w:t>
      </w:r>
      <w:r w:rsidR="00901473" w:rsidRPr="00CC7989">
        <w:rPr>
          <w:sz w:val="22"/>
          <w:szCs w:val="21"/>
        </w:rPr>
        <w:t>eures</w:t>
      </w:r>
      <w:r w:rsidRPr="00CC7989">
        <w:rPr>
          <w:sz w:val="22"/>
          <w:szCs w:val="21"/>
        </w:rPr>
        <w:t xml:space="preserve"> à 12 h 30. Les manifestations se tiendront </w:t>
      </w:r>
      <w:r w:rsidR="00BB6409" w:rsidRPr="00CC7989">
        <w:rPr>
          <w:sz w:val="22"/>
          <w:szCs w:val="21"/>
        </w:rPr>
        <w:t xml:space="preserve">toutes </w:t>
      </w:r>
      <w:r w:rsidRPr="00CC7989">
        <w:rPr>
          <w:sz w:val="22"/>
          <w:szCs w:val="21"/>
        </w:rPr>
        <w:t xml:space="preserve">le 17 mai </w:t>
      </w:r>
      <w:r w:rsidR="0008186D" w:rsidRPr="00CC7989">
        <w:rPr>
          <w:sz w:val="22"/>
          <w:szCs w:val="21"/>
        </w:rPr>
        <w:t>au même endroit.</w:t>
      </w:r>
    </w:p>
    <w:p w14:paraId="66AB91DC" w14:textId="77777777" w:rsidR="00901473" w:rsidRPr="00CC7989" w:rsidRDefault="00546E6D" w:rsidP="00307FB4">
      <w:pPr>
        <w:rPr>
          <w:bCs/>
          <w:sz w:val="22"/>
          <w:szCs w:val="18"/>
        </w:rPr>
      </w:pPr>
      <w:r w:rsidRPr="00CC7989">
        <w:rPr>
          <w:bCs/>
          <w:sz w:val="22"/>
          <w:szCs w:val="18"/>
        </w:rPr>
        <w:t>2</w:t>
      </w:r>
      <w:r w:rsidRPr="00CC7989">
        <w:rPr>
          <w:bCs/>
          <w:sz w:val="22"/>
          <w:szCs w:val="18"/>
        </w:rPr>
        <w:tab/>
      </w:r>
      <w:r w:rsidR="0008186D" w:rsidRPr="00CC7989">
        <w:rPr>
          <w:bCs/>
          <w:sz w:val="22"/>
          <w:szCs w:val="18"/>
        </w:rPr>
        <w:t xml:space="preserve">La JCA-QKDN de l'UIT-T réunit des spécialistes </w:t>
      </w:r>
      <w:r w:rsidR="000D245C" w:rsidRPr="00CC7989">
        <w:rPr>
          <w:bCs/>
          <w:sz w:val="22"/>
          <w:szCs w:val="18"/>
        </w:rPr>
        <w:t>dont les travaux visent à permettre la</w:t>
      </w:r>
      <w:r w:rsidR="0008186D" w:rsidRPr="00CC7989">
        <w:rPr>
          <w:bCs/>
          <w:sz w:val="22"/>
          <w:szCs w:val="18"/>
        </w:rPr>
        <w:t xml:space="preserve"> normalisation </w:t>
      </w:r>
      <w:proofErr w:type="gramStart"/>
      <w:r w:rsidR="0008186D" w:rsidRPr="00CC7989">
        <w:rPr>
          <w:bCs/>
          <w:sz w:val="22"/>
          <w:szCs w:val="18"/>
        </w:rPr>
        <w:t>de</w:t>
      </w:r>
      <w:proofErr w:type="gramEnd"/>
      <w:r w:rsidR="0008186D" w:rsidRPr="00CC7989">
        <w:rPr>
          <w:bCs/>
          <w:sz w:val="22"/>
          <w:szCs w:val="18"/>
        </w:rPr>
        <w:t xml:space="preserve"> la technologie, du déploiement et de l'interopérabilité des réseaux de distribution de clés quantiques. Cet atelier rassemblera des spécialistes venant de </w:t>
      </w:r>
      <w:r w:rsidR="000D245C" w:rsidRPr="00CC7989">
        <w:rPr>
          <w:bCs/>
          <w:sz w:val="22"/>
          <w:szCs w:val="18"/>
        </w:rPr>
        <w:t xml:space="preserve">divers </w:t>
      </w:r>
      <w:r w:rsidR="0008186D" w:rsidRPr="00CC7989">
        <w:rPr>
          <w:bCs/>
          <w:sz w:val="22"/>
          <w:szCs w:val="18"/>
        </w:rPr>
        <w:t xml:space="preserve">organismes de normalisation, afin </w:t>
      </w:r>
      <w:r w:rsidR="000D245C" w:rsidRPr="00CC7989">
        <w:rPr>
          <w:bCs/>
          <w:sz w:val="22"/>
          <w:szCs w:val="18"/>
        </w:rPr>
        <w:t>de faire le point sur l</w:t>
      </w:r>
      <w:r w:rsidR="0008186D" w:rsidRPr="00CC7989">
        <w:rPr>
          <w:bCs/>
          <w:sz w:val="22"/>
          <w:szCs w:val="18"/>
        </w:rPr>
        <w:t xml:space="preserve">es normes concernant les réseaux QKDN et </w:t>
      </w:r>
      <w:r w:rsidR="000D245C" w:rsidRPr="00CC7989">
        <w:rPr>
          <w:bCs/>
          <w:sz w:val="22"/>
          <w:szCs w:val="18"/>
        </w:rPr>
        <w:t xml:space="preserve">de voir comment elles </w:t>
      </w:r>
      <w:r w:rsidR="00B56F9B" w:rsidRPr="00CC7989">
        <w:rPr>
          <w:bCs/>
          <w:sz w:val="22"/>
          <w:szCs w:val="18"/>
        </w:rPr>
        <w:t xml:space="preserve">sont </w:t>
      </w:r>
      <w:r w:rsidR="000D245C" w:rsidRPr="00CC7989">
        <w:rPr>
          <w:bCs/>
          <w:sz w:val="22"/>
          <w:szCs w:val="18"/>
        </w:rPr>
        <w:t xml:space="preserve">actuellement </w:t>
      </w:r>
      <w:r w:rsidR="00B56F9B" w:rsidRPr="00CC7989">
        <w:rPr>
          <w:bCs/>
          <w:sz w:val="22"/>
          <w:szCs w:val="18"/>
        </w:rPr>
        <w:t>appliqué</w:t>
      </w:r>
      <w:r w:rsidR="000D245C" w:rsidRPr="00CC7989">
        <w:rPr>
          <w:bCs/>
          <w:sz w:val="22"/>
          <w:szCs w:val="18"/>
        </w:rPr>
        <w:t>e</w:t>
      </w:r>
      <w:r w:rsidR="00B56F9B" w:rsidRPr="00CC7989">
        <w:rPr>
          <w:bCs/>
          <w:sz w:val="22"/>
          <w:szCs w:val="18"/>
        </w:rPr>
        <w:t>s et mis</w:t>
      </w:r>
      <w:r w:rsidR="000D245C" w:rsidRPr="00CC7989">
        <w:rPr>
          <w:bCs/>
          <w:sz w:val="22"/>
          <w:szCs w:val="18"/>
        </w:rPr>
        <w:t>es</w:t>
      </w:r>
      <w:r w:rsidR="00B56F9B" w:rsidRPr="00CC7989">
        <w:rPr>
          <w:bCs/>
          <w:sz w:val="22"/>
          <w:szCs w:val="18"/>
        </w:rPr>
        <w:t xml:space="preserve"> </w:t>
      </w:r>
      <w:r w:rsidR="0008186D" w:rsidRPr="00CC7989">
        <w:rPr>
          <w:bCs/>
          <w:sz w:val="22"/>
          <w:szCs w:val="18"/>
        </w:rPr>
        <w:t>en œuvre</w:t>
      </w:r>
      <w:r w:rsidR="00B56F9B" w:rsidRPr="00CC7989">
        <w:rPr>
          <w:bCs/>
          <w:sz w:val="22"/>
          <w:szCs w:val="18"/>
        </w:rPr>
        <w:t xml:space="preserve"> dans les réseaux de production. </w:t>
      </w:r>
      <w:r w:rsidR="00901473" w:rsidRPr="00CC7989">
        <w:rPr>
          <w:bCs/>
          <w:sz w:val="22"/>
          <w:szCs w:val="18"/>
        </w:rPr>
        <w:br w:type="page"/>
      </w:r>
    </w:p>
    <w:p w14:paraId="09FBD868" w14:textId="56A72E64" w:rsidR="00546E6D" w:rsidRPr="00CC7989" w:rsidRDefault="00B56F9B" w:rsidP="00307FB4">
      <w:pPr>
        <w:rPr>
          <w:bCs/>
          <w:sz w:val="22"/>
          <w:szCs w:val="18"/>
        </w:rPr>
      </w:pPr>
      <w:r w:rsidRPr="00CC7989">
        <w:rPr>
          <w:bCs/>
          <w:sz w:val="22"/>
          <w:szCs w:val="18"/>
        </w:rPr>
        <w:lastRenderedPageBreak/>
        <w:t>Une table ronde sur les orientations futures concernant la normalisation de la technologie</w:t>
      </w:r>
      <w:r w:rsidR="00BB6409" w:rsidRPr="00CC7989">
        <w:rPr>
          <w:bCs/>
          <w:sz w:val="22"/>
          <w:szCs w:val="18"/>
        </w:rPr>
        <w:t> </w:t>
      </w:r>
      <w:r w:rsidRPr="00CC7989">
        <w:rPr>
          <w:bCs/>
          <w:sz w:val="22"/>
          <w:szCs w:val="18"/>
        </w:rPr>
        <w:t>QKDN réunira des participants issus d'organismes internationaux de normalisation. En outre, l'UIT-T présentera sa base de données accessible au public sur les normes relatives aux réseaux</w:t>
      </w:r>
      <w:r w:rsidR="00BB6409" w:rsidRPr="00CC7989">
        <w:rPr>
          <w:bCs/>
          <w:sz w:val="22"/>
          <w:szCs w:val="18"/>
        </w:rPr>
        <w:t> </w:t>
      </w:r>
      <w:r w:rsidRPr="00CC7989">
        <w:rPr>
          <w:bCs/>
          <w:sz w:val="22"/>
          <w:szCs w:val="18"/>
        </w:rPr>
        <w:t>QKDN.</w:t>
      </w:r>
    </w:p>
    <w:p w14:paraId="3474FE61" w14:textId="1A09C25A" w:rsidR="00B56F9B" w:rsidRPr="00CC7989" w:rsidRDefault="00B56F9B" w:rsidP="00307FB4">
      <w:pPr>
        <w:rPr>
          <w:bCs/>
          <w:sz w:val="22"/>
          <w:szCs w:val="18"/>
        </w:rPr>
      </w:pPr>
      <w:r w:rsidRPr="00CC7989">
        <w:rPr>
          <w:bCs/>
          <w:sz w:val="22"/>
          <w:szCs w:val="18"/>
        </w:rPr>
        <w:t>3</w:t>
      </w:r>
      <w:r w:rsidRPr="00CC7989">
        <w:rPr>
          <w:bCs/>
          <w:sz w:val="22"/>
          <w:szCs w:val="18"/>
        </w:rPr>
        <w:tab/>
        <w:t xml:space="preserve">La participation à l'atelier est ouverte aux États Membres, aux Membres de Secteur, aux Associés de l'UIT et aux établissements universitaires participant aux travaux de l'UIT, ainsi qu'à toute personne issue d'un pays </w:t>
      </w:r>
      <w:r w:rsidR="00825148" w:rsidRPr="00CC7989">
        <w:rPr>
          <w:bCs/>
          <w:sz w:val="22"/>
          <w:szCs w:val="18"/>
        </w:rPr>
        <w:t>m</w:t>
      </w:r>
      <w:r w:rsidRPr="00CC7989">
        <w:rPr>
          <w:bCs/>
          <w:sz w:val="22"/>
          <w:szCs w:val="18"/>
        </w:rPr>
        <w:t>embre de l'UIT qui souhaite contribuer aux travaux.</w:t>
      </w:r>
      <w:r w:rsidRPr="00CC7989">
        <w:rPr>
          <w:sz w:val="22"/>
          <w:szCs w:val="18"/>
        </w:rPr>
        <w:t xml:space="preserve"> </w:t>
      </w:r>
      <w:r w:rsidRPr="00CC7989">
        <w:rPr>
          <w:bCs/>
          <w:sz w:val="22"/>
          <w:szCs w:val="18"/>
        </w:rPr>
        <w:t>La participation est gratuite et ouverte à tous.</w:t>
      </w:r>
      <w:r w:rsidRPr="00CC7989">
        <w:rPr>
          <w:sz w:val="22"/>
          <w:szCs w:val="18"/>
        </w:rPr>
        <w:t xml:space="preserve"> </w:t>
      </w:r>
      <w:r w:rsidRPr="00CC7989">
        <w:rPr>
          <w:bCs/>
          <w:sz w:val="22"/>
          <w:szCs w:val="18"/>
        </w:rPr>
        <w:t>Aucune bourse ne sera accordée pour l'atelier.</w:t>
      </w:r>
    </w:p>
    <w:p w14:paraId="0AD46F1F" w14:textId="38E4C447" w:rsidR="00B56F9B" w:rsidRPr="00CC7989" w:rsidRDefault="00B56F9B" w:rsidP="00307FB4">
      <w:pPr>
        <w:rPr>
          <w:bCs/>
          <w:sz w:val="22"/>
          <w:szCs w:val="18"/>
        </w:rPr>
      </w:pPr>
      <w:r w:rsidRPr="00CC7989">
        <w:rPr>
          <w:bCs/>
          <w:sz w:val="22"/>
          <w:szCs w:val="18"/>
        </w:rPr>
        <w:t>4</w:t>
      </w:r>
      <w:r w:rsidRPr="00CC7989">
        <w:rPr>
          <w:bCs/>
          <w:sz w:val="22"/>
          <w:szCs w:val="18"/>
        </w:rPr>
        <w:tab/>
        <w:t>Toutes les informations utiles concernant l'atelier, notamment le projet de programme, seront communiquées sur le site web de la manifestation à l'adresse suivante:</w:t>
      </w:r>
      <w:r w:rsidRPr="00CC7989">
        <w:rPr>
          <w:sz w:val="22"/>
          <w:szCs w:val="18"/>
        </w:rPr>
        <w:t xml:space="preserve"> </w:t>
      </w:r>
      <w:hyperlink r:id="rId12" w:history="1">
        <w:r w:rsidRPr="00CC7989">
          <w:rPr>
            <w:rStyle w:val="Hyperlink"/>
            <w:bCs/>
            <w:sz w:val="22"/>
            <w:szCs w:val="18"/>
          </w:rPr>
          <w:t>https://www.itu.int/en/ITU-T/Workshops-and-Seminars/2024/0517/Pages/</w:t>
        </w:r>
      </w:hyperlink>
      <w:r w:rsidRPr="00CC7989">
        <w:rPr>
          <w:bCs/>
          <w:sz w:val="22"/>
          <w:szCs w:val="18"/>
        </w:rPr>
        <w:t>. La page web de la manifestation sera mise à jour périodiquement, à mesure que parviendront des informations nouvelles.</w:t>
      </w:r>
      <w:r w:rsidRPr="00CC7989">
        <w:rPr>
          <w:sz w:val="22"/>
          <w:szCs w:val="18"/>
        </w:rPr>
        <w:t xml:space="preserve"> </w:t>
      </w:r>
      <w:r w:rsidRPr="00CC7989">
        <w:rPr>
          <w:bCs/>
          <w:sz w:val="22"/>
          <w:szCs w:val="18"/>
        </w:rPr>
        <w:t>Il est recommandé aux participants de consulter régulièrement le site web pour prendre connaissance des dernières informations.</w:t>
      </w:r>
    </w:p>
    <w:p w14:paraId="3A6552D8" w14:textId="25B8151D" w:rsidR="00B56F9B" w:rsidRPr="00CC7989" w:rsidRDefault="00B56F9B" w:rsidP="00307FB4">
      <w:pPr>
        <w:rPr>
          <w:bCs/>
          <w:sz w:val="22"/>
          <w:szCs w:val="18"/>
        </w:rPr>
      </w:pPr>
      <w:r w:rsidRPr="00CC7989">
        <w:rPr>
          <w:bCs/>
          <w:sz w:val="22"/>
          <w:szCs w:val="18"/>
        </w:rPr>
        <w:t>5</w:t>
      </w:r>
      <w:r w:rsidRPr="00CC7989">
        <w:rPr>
          <w:bCs/>
          <w:sz w:val="22"/>
          <w:szCs w:val="18"/>
        </w:rPr>
        <w:tab/>
        <w:t>L'inscription est obligatoire pour toutes les personnes qui souhaitent participer à l'atelier.</w:t>
      </w:r>
      <w:r w:rsidRPr="00CC7989">
        <w:rPr>
          <w:sz w:val="22"/>
          <w:szCs w:val="18"/>
        </w:rPr>
        <w:t xml:space="preserve"> </w:t>
      </w:r>
      <w:r w:rsidRPr="00CC7989">
        <w:rPr>
          <w:bCs/>
          <w:sz w:val="22"/>
          <w:szCs w:val="18"/>
        </w:rPr>
        <w:t xml:space="preserve">Pour vous inscrire, vous êtes invités à remplir dès que possible le formulaire en ligne, disponible à l'adresse: </w:t>
      </w:r>
      <w:hyperlink r:id="rId13" w:history="1">
        <w:r w:rsidRPr="00CC7989">
          <w:rPr>
            <w:rStyle w:val="Hyperlink"/>
            <w:bCs/>
            <w:sz w:val="22"/>
            <w:szCs w:val="18"/>
          </w:rPr>
          <w:t>https://www.itu.int/net4/CRM/xreg/web/Registration.aspx?Event=C-00013956</w:t>
        </w:r>
      </w:hyperlink>
      <w:r w:rsidRPr="00CC7989">
        <w:rPr>
          <w:bCs/>
          <w:sz w:val="22"/>
          <w:szCs w:val="18"/>
        </w:rPr>
        <w:t xml:space="preserve">. </w:t>
      </w:r>
      <w:r w:rsidRPr="00CC7989">
        <w:rPr>
          <w:b/>
          <w:sz w:val="22"/>
          <w:szCs w:val="18"/>
        </w:rPr>
        <w:t>Il est conseillé de s'inscrire à l'avance pour participer à l'atelier sur place</w:t>
      </w:r>
      <w:r w:rsidRPr="00CC7989">
        <w:rPr>
          <w:bCs/>
          <w:sz w:val="22"/>
          <w:szCs w:val="18"/>
        </w:rPr>
        <w:t>. La capacité du site de la manifestation étant limitée, l'</w:t>
      </w:r>
      <w:r w:rsidRPr="00CC7989">
        <w:rPr>
          <w:b/>
          <w:sz w:val="22"/>
          <w:szCs w:val="18"/>
        </w:rPr>
        <w:t>inscription pour la participation sur place</w:t>
      </w:r>
      <w:r w:rsidRPr="00CC7989">
        <w:rPr>
          <w:bCs/>
          <w:sz w:val="22"/>
          <w:szCs w:val="18"/>
        </w:rPr>
        <w:t xml:space="preserve"> doit être effectuée </w:t>
      </w:r>
      <w:r w:rsidRPr="00CC7989">
        <w:rPr>
          <w:b/>
          <w:sz w:val="22"/>
          <w:szCs w:val="18"/>
        </w:rPr>
        <w:t>au plus tard le</w:t>
      </w:r>
      <w:r w:rsidRPr="00CC7989">
        <w:rPr>
          <w:bCs/>
          <w:sz w:val="22"/>
          <w:szCs w:val="18"/>
        </w:rPr>
        <w:t xml:space="preserve"> </w:t>
      </w:r>
      <w:r w:rsidRPr="00CC7989">
        <w:rPr>
          <w:b/>
          <w:sz w:val="22"/>
          <w:szCs w:val="18"/>
        </w:rPr>
        <w:t>30 avril 2024</w:t>
      </w:r>
      <w:r w:rsidRPr="00CC7989">
        <w:rPr>
          <w:bCs/>
          <w:sz w:val="22"/>
          <w:szCs w:val="18"/>
        </w:rPr>
        <w:t>.</w:t>
      </w:r>
      <w:r w:rsidRPr="00CC7989">
        <w:rPr>
          <w:sz w:val="22"/>
          <w:szCs w:val="18"/>
        </w:rPr>
        <w:t xml:space="preserve"> </w:t>
      </w:r>
      <w:r w:rsidRPr="00CC7989">
        <w:rPr>
          <w:bCs/>
          <w:sz w:val="22"/>
          <w:szCs w:val="18"/>
        </w:rPr>
        <w:t>Veuillez noter que l'inscription préalable des participants à nos manifestations se fait exclusivement en ligne.</w:t>
      </w:r>
    </w:p>
    <w:p w14:paraId="2B407909" w14:textId="447C7E53" w:rsidR="00B56F9B" w:rsidRPr="00CC7989" w:rsidRDefault="00B56F9B" w:rsidP="00307FB4">
      <w:pPr>
        <w:rPr>
          <w:bCs/>
          <w:sz w:val="22"/>
          <w:szCs w:val="18"/>
        </w:rPr>
      </w:pPr>
      <w:r w:rsidRPr="00CC7989">
        <w:rPr>
          <w:bCs/>
          <w:sz w:val="22"/>
          <w:szCs w:val="18"/>
        </w:rPr>
        <w:t>6</w:t>
      </w:r>
      <w:r w:rsidRPr="00CC7989">
        <w:rPr>
          <w:bCs/>
          <w:sz w:val="22"/>
          <w:szCs w:val="18"/>
        </w:rPr>
        <w:tab/>
        <w:t>Nous vous rappelons que, pour les ressortissants de certains pays, l'entrée et le séjour, quelle qu'en soit la durée, à Singapour sont soumis à l'obtention d'un visa.</w:t>
      </w:r>
      <w:r w:rsidRPr="00CC7989">
        <w:rPr>
          <w:sz w:val="22"/>
          <w:szCs w:val="18"/>
        </w:rPr>
        <w:t xml:space="preserve"> </w:t>
      </w:r>
      <w:r w:rsidRPr="00CC7989">
        <w:rPr>
          <w:bCs/>
          <w:sz w:val="22"/>
          <w:szCs w:val="18"/>
        </w:rPr>
        <w:t>Ce visa doit être obtenu auprès de la représentation de Singapour (ambassade ou consulat) dans votre pays ou, à défaut, dans le pays le plus proche de votre pays de départ. Étant donné que le traitement des demandes de visa et la délivrance des visas peuvent prendre un certain temps, nous vous suggérons de vous renseigner directement auprès de la représentation concernée et de formuler votre demande au plus tôt.</w:t>
      </w:r>
    </w:p>
    <w:p w14:paraId="63B8838F" w14:textId="78EC9662" w:rsidR="00B56F9B" w:rsidRPr="00CC7989" w:rsidRDefault="00B56F9B" w:rsidP="00307FB4">
      <w:pPr>
        <w:rPr>
          <w:bCs/>
          <w:sz w:val="22"/>
          <w:szCs w:val="18"/>
        </w:rPr>
      </w:pPr>
      <w:r w:rsidRPr="00CC7989">
        <w:rPr>
          <w:bCs/>
          <w:sz w:val="22"/>
          <w:szCs w:val="18"/>
        </w:rPr>
        <w:t>Des renseignements supplémentaires concernant les formalités de visa, les hôtels et les transports sont disponibles sur la page web de la manifestation, sous la rubrique "</w:t>
      </w:r>
      <w:r w:rsidRPr="00CC7989">
        <w:rPr>
          <w:b/>
          <w:sz w:val="22"/>
          <w:szCs w:val="18"/>
        </w:rPr>
        <w:t>Informations pratiques</w:t>
      </w:r>
      <w:r w:rsidRPr="00CC7989">
        <w:rPr>
          <w:bCs/>
          <w:sz w:val="22"/>
          <w:szCs w:val="18"/>
        </w:rPr>
        <w:t>".</w:t>
      </w:r>
    </w:p>
    <w:p w14:paraId="6A4CD67F" w14:textId="77777777" w:rsidR="00307FB4" w:rsidRPr="00CC7989" w:rsidRDefault="00307FB4" w:rsidP="00307FB4">
      <w:pPr>
        <w:rPr>
          <w:bCs/>
          <w:sz w:val="22"/>
          <w:szCs w:val="18"/>
        </w:rPr>
      </w:pPr>
      <w:r w:rsidRPr="00CC7989">
        <w:rPr>
          <w:bCs/>
          <w:sz w:val="22"/>
          <w:szCs w:val="18"/>
        </w:rPr>
        <w:t>Veuillez agréer, Madame, Monsieur, l'assurance de ma considération distinguée.</w:t>
      </w:r>
    </w:p>
    <w:p w14:paraId="3A296738" w14:textId="5A5DBCDD" w:rsidR="00B60868" w:rsidRPr="00CC7989" w:rsidRDefault="00B60868" w:rsidP="00B60868">
      <w:pPr>
        <w:spacing w:before="480" w:after="480"/>
        <w:rPr>
          <w:bCs/>
          <w:sz w:val="22"/>
          <w:szCs w:val="18"/>
        </w:rPr>
      </w:pPr>
      <w:r w:rsidRPr="00CC7989">
        <w:rPr>
          <w:bCs/>
          <w:sz w:val="22"/>
          <w:szCs w:val="18"/>
        </w:rPr>
        <w:t>(</w:t>
      </w:r>
      <w:proofErr w:type="gramStart"/>
      <w:r w:rsidRPr="00CC7989">
        <w:rPr>
          <w:bCs/>
          <w:i/>
          <w:sz w:val="22"/>
          <w:szCs w:val="18"/>
        </w:rPr>
        <w:t>signé</w:t>
      </w:r>
      <w:proofErr w:type="gramEnd"/>
      <w:r w:rsidRPr="00CC7989">
        <w:rPr>
          <w:bCs/>
          <w:sz w:val="22"/>
          <w:szCs w:val="18"/>
        </w:rPr>
        <w:t>)</w:t>
      </w:r>
    </w:p>
    <w:p w14:paraId="3B647157" w14:textId="0371BF4E" w:rsidR="00517A03" w:rsidRPr="00CC7989" w:rsidRDefault="00307FB4" w:rsidP="00825148">
      <w:pPr>
        <w:rPr>
          <w:bCs/>
          <w:sz w:val="22"/>
          <w:szCs w:val="18"/>
        </w:rPr>
      </w:pPr>
      <w:r w:rsidRPr="00CC7989">
        <w:rPr>
          <w:bCs/>
          <w:sz w:val="22"/>
          <w:szCs w:val="18"/>
        </w:rPr>
        <w:t>Seizo Onoe</w:t>
      </w:r>
      <w:r w:rsidR="00B60868" w:rsidRPr="00CC7989">
        <w:rPr>
          <w:bCs/>
          <w:sz w:val="22"/>
          <w:szCs w:val="18"/>
        </w:rPr>
        <w:br/>
      </w:r>
      <w:r w:rsidRPr="00CC7989">
        <w:rPr>
          <w:bCs/>
          <w:sz w:val="22"/>
          <w:szCs w:val="18"/>
        </w:rPr>
        <w:t>Directeur du Bureau de la normalisation</w:t>
      </w:r>
      <w:r w:rsidR="00B60868" w:rsidRPr="00CC7989">
        <w:rPr>
          <w:bCs/>
          <w:sz w:val="22"/>
          <w:szCs w:val="18"/>
        </w:rPr>
        <w:br/>
      </w:r>
      <w:r w:rsidRPr="00CC7989">
        <w:rPr>
          <w:bCs/>
          <w:sz w:val="22"/>
          <w:szCs w:val="18"/>
        </w:rPr>
        <w:t>des télécommunications</w:t>
      </w:r>
    </w:p>
    <w:sectPr w:rsidR="00517A03" w:rsidRPr="00CC7989" w:rsidSect="00D249F4">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6715" w14:textId="77777777" w:rsidR="00EB30E5" w:rsidRDefault="00EB30E5">
      <w:r>
        <w:separator/>
      </w:r>
    </w:p>
  </w:endnote>
  <w:endnote w:type="continuationSeparator" w:id="0">
    <w:p w14:paraId="0170C45A" w14:textId="77777777" w:rsidR="00EB30E5" w:rsidRDefault="00EB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800008E7" w:usb1="00000000" w:usb2="00000000" w:usb3="00000000" w:csb0="000001F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28C2BE3B"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D140" w14:textId="77777777" w:rsidR="00EB30E5" w:rsidRDefault="00EB30E5">
      <w:r>
        <w:t>____________________</w:t>
      </w:r>
    </w:p>
  </w:footnote>
  <w:footnote w:type="continuationSeparator" w:id="0">
    <w:p w14:paraId="1A79935C" w14:textId="77777777" w:rsidR="00EB30E5" w:rsidRDefault="00EB3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4057F6CD" w:rsidR="00697BC1" w:rsidRPr="00697BC1" w:rsidRDefault="00B53DC7"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CC7989">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sidR="00CC7989">
          <w:rPr>
            <w:noProof/>
            <w:sz w:val="18"/>
            <w:szCs w:val="16"/>
          </w:rPr>
          <w:t xml:space="preserve"> -</w:t>
        </w:r>
      </w:sdtContent>
    </w:sdt>
    <w:r w:rsidR="00AF0D7D">
      <w:rPr>
        <w:noProof/>
        <w:sz w:val="18"/>
        <w:szCs w:val="16"/>
      </w:rPr>
      <w:br/>
      <w:t xml:space="preserve">Circulaire TSB </w:t>
    </w:r>
    <w:r w:rsidR="00B56F9B">
      <w:rPr>
        <w:noProof/>
        <w:sz w:val="18"/>
        <w:szCs w:val="16"/>
      </w:rPr>
      <w:t>199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186D"/>
    <w:rsid w:val="00085F5A"/>
    <w:rsid w:val="000A36E0"/>
    <w:rsid w:val="000B0D96"/>
    <w:rsid w:val="000B59D8"/>
    <w:rsid w:val="000C1F6B"/>
    <w:rsid w:val="000C25CC"/>
    <w:rsid w:val="000C56BE"/>
    <w:rsid w:val="000D245C"/>
    <w:rsid w:val="001026FD"/>
    <w:rsid w:val="001077FD"/>
    <w:rsid w:val="00115DD7"/>
    <w:rsid w:val="00167472"/>
    <w:rsid w:val="00167F92"/>
    <w:rsid w:val="00173738"/>
    <w:rsid w:val="001B79A3"/>
    <w:rsid w:val="002152A3"/>
    <w:rsid w:val="0023667A"/>
    <w:rsid w:val="002937DB"/>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46E6D"/>
    <w:rsid w:val="005A3DD9"/>
    <w:rsid w:val="005A7707"/>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57E0"/>
    <w:rsid w:val="00825148"/>
    <w:rsid w:val="00850477"/>
    <w:rsid w:val="00854E1D"/>
    <w:rsid w:val="00887FA6"/>
    <w:rsid w:val="008C4397"/>
    <w:rsid w:val="008C465A"/>
    <w:rsid w:val="008F2C9B"/>
    <w:rsid w:val="00901473"/>
    <w:rsid w:val="00923CD6"/>
    <w:rsid w:val="00935AA8"/>
    <w:rsid w:val="00971C9A"/>
    <w:rsid w:val="009C30B4"/>
    <w:rsid w:val="009D51FA"/>
    <w:rsid w:val="009F1E23"/>
    <w:rsid w:val="00A15179"/>
    <w:rsid w:val="00A258AF"/>
    <w:rsid w:val="00A51537"/>
    <w:rsid w:val="00A5280F"/>
    <w:rsid w:val="00A5645A"/>
    <w:rsid w:val="00A60FC1"/>
    <w:rsid w:val="00A97C37"/>
    <w:rsid w:val="00AA131B"/>
    <w:rsid w:val="00AC37B5"/>
    <w:rsid w:val="00AD752F"/>
    <w:rsid w:val="00AF08A4"/>
    <w:rsid w:val="00AF0D7D"/>
    <w:rsid w:val="00B27B41"/>
    <w:rsid w:val="00B42659"/>
    <w:rsid w:val="00B46F2D"/>
    <w:rsid w:val="00B56F9B"/>
    <w:rsid w:val="00B60868"/>
    <w:rsid w:val="00B71223"/>
    <w:rsid w:val="00B8573E"/>
    <w:rsid w:val="00BB24C0"/>
    <w:rsid w:val="00BB28AD"/>
    <w:rsid w:val="00BB6409"/>
    <w:rsid w:val="00BD6ECF"/>
    <w:rsid w:val="00C26F2E"/>
    <w:rsid w:val="00C302E3"/>
    <w:rsid w:val="00C41B89"/>
    <w:rsid w:val="00C45376"/>
    <w:rsid w:val="00C9028F"/>
    <w:rsid w:val="00CA0416"/>
    <w:rsid w:val="00CB1125"/>
    <w:rsid w:val="00CB4E80"/>
    <w:rsid w:val="00CC7989"/>
    <w:rsid w:val="00CD042E"/>
    <w:rsid w:val="00CF2560"/>
    <w:rsid w:val="00CF5B46"/>
    <w:rsid w:val="00D249F4"/>
    <w:rsid w:val="00D46B68"/>
    <w:rsid w:val="00D542A5"/>
    <w:rsid w:val="00D97E9F"/>
    <w:rsid w:val="00DC3D47"/>
    <w:rsid w:val="00DD77DA"/>
    <w:rsid w:val="00E06C61"/>
    <w:rsid w:val="00E13DB3"/>
    <w:rsid w:val="00E2408B"/>
    <w:rsid w:val="00E62CEA"/>
    <w:rsid w:val="00E72AE1"/>
    <w:rsid w:val="00E855D8"/>
    <w:rsid w:val="00E931FD"/>
    <w:rsid w:val="00EB30E5"/>
    <w:rsid w:val="00ED6A7A"/>
    <w:rsid w:val="00EE4C36"/>
    <w:rsid w:val="00EF6A23"/>
    <w:rsid w:val="00F12644"/>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styleId="ListParagraph">
    <w:name w:val="List Paragraph"/>
    <w:basedOn w:val="Normal"/>
    <w:uiPriority w:val="34"/>
    <w:qFormat/>
    <w:rsid w:val="00546E6D"/>
    <w:pPr>
      <w:ind w:left="720"/>
      <w:contextualSpacing/>
    </w:pPr>
  </w:style>
  <w:style w:type="paragraph" w:styleId="Revision">
    <w:name w:val="Revision"/>
    <w:hidden/>
    <w:uiPriority w:val="99"/>
    <w:semiHidden/>
    <w:rsid w:val="000D245C"/>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139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24/0517/Pag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jca/qkdn/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events@itu.int" TargetMode="External"/><Relationship Id="rId4" Type="http://schemas.openxmlformats.org/officeDocument/2006/relationships/settings" Target="settings.xml"/><Relationship Id="rId9" Type="http://schemas.openxmlformats.org/officeDocument/2006/relationships/hyperlink" Target="mailto:quantum@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TotalTime>
  <Pages>2</Pages>
  <Words>776</Words>
  <Characters>4838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UNION INTERNATIONALE DES TÉLÉCOMMUNICATIONS</vt:lpstr>
      <vt:lpstr>UNION INTERNATIONALE DES TÉLÉCOMMUNICATIONS</vt:lpstr>
    </vt:vector>
  </TitlesOfParts>
  <Company>ITU</Company>
  <LinksUpToDate>false</LinksUpToDate>
  <CharactersWithSpaces>5603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2024-04-15T12:44:00Z</dcterms:created>
  <dcterms:modified xsi:type="dcterms:W3CDTF">2024-04-15T12:44:00Z</dcterms:modified>
</cp:coreProperties>
</file>