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CE2D46" w14:paraId="066141F5" w14:textId="77777777" w:rsidTr="007B6316">
        <w:trPr>
          <w:cantSplit/>
          <w:trHeight w:val="340"/>
        </w:trPr>
        <w:tc>
          <w:tcPr>
            <w:tcW w:w="1410" w:type="dxa"/>
            <w:gridSpan w:val="2"/>
          </w:tcPr>
          <w:p w14:paraId="63259D01" w14:textId="77777777" w:rsidR="007B6316" w:rsidRPr="00CE2D46" w:rsidRDefault="007B6316" w:rsidP="00303D62">
            <w:pPr>
              <w:tabs>
                <w:tab w:val="left" w:pos="4111"/>
              </w:tabs>
              <w:spacing w:before="10"/>
              <w:ind w:left="57"/>
              <w:rPr>
                <w:sz w:val="22"/>
              </w:rPr>
            </w:pPr>
            <w:r w:rsidRPr="00CE2D46">
              <w:rPr>
                <w:noProof/>
                <w:lang w:eastAsia="zh-CN"/>
              </w:rPr>
              <w:drawing>
                <wp:inline distT="0" distB="0" distL="0" distR="0" wp14:anchorId="6F43A0B7" wp14:editId="1079747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5050F33" w14:textId="77777777" w:rsidR="007B6316" w:rsidRPr="00CE2D46" w:rsidRDefault="007B6316" w:rsidP="007B6316">
            <w:pPr>
              <w:spacing w:before="0"/>
              <w:rPr>
                <w:rFonts w:cs="Times New Roman Bold"/>
                <w:b/>
                <w:bCs/>
                <w:smallCaps/>
                <w:sz w:val="26"/>
                <w:szCs w:val="26"/>
              </w:rPr>
            </w:pPr>
            <w:r w:rsidRPr="00CE2D46">
              <w:rPr>
                <w:rFonts w:cs="Times New Roman Bold"/>
                <w:b/>
                <w:bCs/>
                <w:smallCaps/>
                <w:sz w:val="36"/>
                <w:szCs w:val="36"/>
              </w:rPr>
              <w:t>Unión Internacional de Telecomunicaciones</w:t>
            </w:r>
          </w:p>
          <w:p w14:paraId="1E24D738" w14:textId="77777777" w:rsidR="007B6316" w:rsidRPr="00CE2D46" w:rsidRDefault="007B6316" w:rsidP="007B6316">
            <w:pPr>
              <w:spacing w:before="0"/>
            </w:pPr>
            <w:r w:rsidRPr="00CE2D46">
              <w:rPr>
                <w:rFonts w:cs="Times New Roman Bold"/>
                <w:b/>
                <w:bCs/>
                <w:smallCaps/>
                <w:sz w:val="28"/>
                <w:szCs w:val="28"/>
              </w:rPr>
              <w:t>Oficina</w:t>
            </w:r>
            <w:r w:rsidRPr="00CE2D46">
              <w:rPr>
                <w:rFonts w:cs="Times New Roman Bold"/>
                <w:b/>
                <w:bCs/>
                <w:iCs/>
                <w:smallCaps/>
                <w:sz w:val="22"/>
                <w:szCs w:val="22"/>
              </w:rPr>
              <w:t xml:space="preserve"> </w:t>
            </w:r>
            <w:r w:rsidRPr="00CE2D46">
              <w:rPr>
                <w:rFonts w:cs="Times New Roman Bold"/>
                <w:b/>
                <w:bCs/>
                <w:iCs/>
                <w:smallCaps/>
                <w:sz w:val="28"/>
                <w:szCs w:val="28"/>
              </w:rPr>
              <w:t>de Normalización de las Telecomunicaciones</w:t>
            </w:r>
          </w:p>
        </w:tc>
      </w:tr>
      <w:tr w:rsidR="007B6316" w:rsidRPr="00CE2D46" w14:paraId="1F4B3AAF" w14:textId="77777777" w:rsidTr="00303D62">
        <w:trPr>
          <w:cantSplit/>
          <w:trHeight w:val="340"/>
        </w:trPr>
        <w:tc>
          <w:tcPr>
            <w:tcW w:w="993" w:type="dxa"/>
          </w:tcPr>
          <w:p w14:paraId="5C2C19D6" w14:textId="77777777" w:rsidR="007B6316" w:rsidRPr="006305D8" w:rsidRDefault="007B6316" w:rsidP="00303D62">
            <w:pPr>
              <w:tabs>
                <w:tab w:val="left" w:pos="4111"/>
              </w:tabs>
              <w:spacing w:before="10"/>
              <w:ind w:left="57"/>
              <w:rPr>
                <w:b/>
                <w:bCs/>
                <w:sz w:val="22"/>
                <w:szCs w:val="22"/>
              </w:rPr>
            </w:pPr>
          </w:p>
        </w:tc>
        <w:tc>
          <w:tcPr>
            <w:tcW w:w="3884" w:type="dxa"/>
            <w:gridSpan w:val="2"/>
          </w:tcPr>
          <w:p w14:paraId="22E80BAC" w14:textId="77777777" w:rsidR="007B6316" w:rsidRPr="006305D8" w:rsidRDefault="007B6316" w:rsidP="00303D62">
            <w:pPr>
              <w:tabs>
                <w:tab w:val="left" w:pos="4111"/>
              </w:tabs>
              <w:spacing w:before="0"/>
              <w:ind w:left="57"/>
              <w:rPr>
                <w:b/>
                <w:sz w:val="22"/>
                <w:szCs w:val="22"/>
              </w:rPr>
            </w:pPr>
          </w:p>
        </w:tc>
        <w:tc>
          <w:tcPr>
            <w:tcW w:w="5329" w:type="dxa"/>
          </w:tcPr>
          <w:p w14:paraId="3B1492A9" w14:textId="6BFC8536" w:rsidR="007B6316" w:rsidRPr="006305D8" w:rsidRDefault="007B6316" w:rsidP="007B6316">
            <w:pPr>
              <w:tabs>
                <w:tab w:val="clear" w:pos="794"/>
                <w:tab w:val="clear" w:pos="1191"/>
                <w:tab w:val="clear" w:pos="1588"/>
                <w:tab w:val="clear" w:pos="1985"/>
                <w:tab w:val="left" w:pos="284"/>
              </w:tabs>
              <w:spacing w:after="120"/>
              <w:ind w:left="284" w:hanging="227"/>
              <w:rPr>
                <w:sz w:val="22"/>
                <w:szCs w:val="22"/>
              </w:rPr>
            </w:pPr>
            <w:r w:rsidRPr="006305D8">
              <w:rPr>
                <w:sz w:val="22"/>
                <w:szCs w:val="22"/>
              </w:rPr>
              <w:t>Ginebra,</w:t>
            </w:r>
            <w:r w:rsidR="009D347C" w:rsidRPr="006305D8">
              <w:rPr>
                <w:sz w:val="22"/>
                <w:szCs w:val="22"/>
              </w:rPr>
              <w:t xml:space="preserve"> 9 de abril de 2024</w:t>
            </w:r>
          </w:p>
        </w:tc>
      </w:tr>
      <w:tr w:rsidR="001350B9" w:rsidRPr="00CE2D46" w14:paraId="5BB636D7" w14:textId="77777777" w:rsidTr="00303D62">
        <w:trPr>
          <w:cantSplit/>
          <w:trHeight w:val="340"/>
        </w:trPr>
        <w:tc>
          <w:tcPr>
            <w:tcW w:w="993" w:type="dxa"/>
          </w:tcPr>
          <w:p w14:paraId="24170486" w14:textId="77777777" w:rsidR="001350B9" w:rsidRPr="006305D8" w:rsidRDefault="001350B9" w:rsidP="00303D62">
            <w:pPr>
              <w:tabs>
                <w:tab w:val="left" w:pos="4111"/>
              </w:tabs>
              <w:spacing w:before="10"/>
              <w:ind w:left="57"/>
              <w:rPr>
                <w:sz w:val="22"/>
                <w:szCs w:val="22"/>
              </w:rPr>
            </w:pPr>
            <w:r w:rsidRPr="006305D8">
              <w:rPr>
                <w:sz w:val="22"/>
                <w:szCs w:val="22"/>
              </w:rPr>
              <w:t>Ref.:</w:t>
            </w:r>
          </w:p>
          <w:p w14:paraId="22153DF5" w14:textId="2FF78449" w:rsidR="001350B9" w:rsidRPr="006305D8" w:rsidRDefault="009D347C" w:rsidP="007B6316">
            <w:pPr>
              <w:tabs>
                <w:tab w:val="left" w:pos="4111"/>
              </w:tabs>
              <w:spacing w:before="10"/>
              <w:ind w:left="57"/>
              <w:rPr>
                <w:sz w:val="22"/>
                <w:szCs w:val="22"/>
              </w:rPr>
            </w:pPr>
            <w:r w:rsidRPr="006305D8">
              <w:rPr>
                <w:sz w:val="22"/>
                <w:szCs w:val="22"/>
              </w:rPr>
              <w:t>Contacto:</w:t>
            </w:r>
          </w:p>
        </w:tc>
        <w:tc>
          <w:tcPr>
            <w:tcW w:w="3884" w:type="dxa"/>
            <w:gridSpan w:val="2"/>
          </w:tcPr>
          <w:p w14:paraId="23F6991A" w14:textId="4932294D" w:rsidR="001350B9" w:rsidRPr="006305D8" w:rsidRDefault="001350B9" w:rsidP="00303D62">
            <w:pPr>
              <w:tabs>
                <w:tab w:val="left" w:pos="4111"/>
              </w:tabs>
              <w:spacing w:before="0"/>
              <w:ind w:left="57"/>
              <w:rPr>
                <w:b/>
                <w:sz w:val="22"/>
                <w:szCs w:val="22"/>
              </w:rPr>
            </w:pPr>
            <w:r w:rsidRPr="006305D8">
              <w:rPr>
                <w:b/>
                <w:sz w:val="22"/>
                <w:szCs w:val="22"/>
              </w:rPr>
              <w:t>Circular TSB</w:t>
            </w:r>
            <w:r w:rsidR="009D347C" w:rsidRPr="006305D8">
              <w:rPr>
                <w:b/>
                <w:sz w:val="22"/>
                <w:szCs w:val="22"/>
              </w:rPr>
              <w:t xml:space="preserve"> 198</w:t>
            </w:r>
          </w:p>
          <w:p w14:paraId="5BB62D3F" w14:textId="08105490" w:rsidR="001350B9" w:rsidRPr="006305D8" w:rsidRDefault="009D347C" w:rsidP="007B6316">
            <w:pPr>
              <w:tabs>
                <w:tab w:val="left" w:pos="4111"/>
              </w:tabs>
              <w:spacing w:before="0"/>
              <w:ind w:left="57"/>
              <w:rPr>
                <w:b/>
                <w:bCs/>
                <w:sz w:val="22"/>
                <w:szCs w:val="22"/>
              </w:rPr>
            </w:pPr>
            <w:r w:rsidRPr="006305D8">
              <w:rPr>
                <w:b/>
                <w:bCs/>
                <w:sz w:val="22"/>
                <w:szCs w:val="22"/>
              </w:rPr>
              <w:t xml:space="preserve">Reyna </w:t>
            </w:r>
            <w:r w:rsidR="00CE2D46" w:rsidRPr="006305D8">
              <w:rPr>
                <w:b/>
                <w:bCs/>
                <w:sz w:val="22"/>
                <w:szCs w:val="22"/>
              </w:rPr>
              <w:t>Ú</w:t>
            </w:r>
            <w:r w:rsidRPr="006305D8">
              <w:rPr>
                <w:b/>
                <w:bCs/>
                <w:sz w:val="22"/>
                <w:szCs w:val="22"/>
              </w:rPr>
              <w:t>beda</w:t>
            </w:r>
          </w:p>
        </w:tc>
        <w:tc>
          <w:tcPr>
            <w:tcW w:w="5329" w:type="dxa"/>
            <w:vMerge w:val="restart"/>
          </w:tcPr>
          <w:p w14:paraId="76F2B435" w14:textId="539CC4FF" w:rsidR="001350B9" w:rsidRPr="006305D8" w:rsidRDefault="009D347C" w:rsidP="009D347C">
            <w:pPr>
              <w:tabs>
                <w:tab w:val="clear" w:pos="794"/>
                <w:tab w:val="clear" w:pos="1191"/>
                <w:tab w:val="clear" w:pos="1588"/>
                <w:tab w:val="clear" w:pos="1985"/>
              </w:tabs>
              <w:spacing w:before="0"/>
              <w:ind w:left="284" w:hanging="227"/>
              <w:rPr>
                <w:b/>
                <w:bCs/>
                <w:sz w:val="22"/>
                <w:szCs w:val="22"/>
              </w:rPr>
            </w:pPr>
            <w:bookmarkStart w:id="0" w:name="Addressee_S"/>
            <w:bookmarkEnd w:id="0"/>
            <w:r w:rsidRPr="006305D8">
              <w:rPr>
                <w:b/>
                <w:bCs/>
                <w:sz w:val="22"/>
                <w:szCs w:val="22"/>
              </w:rPr>
              <w:t>A:</w:t>
            </w:r>
          </w:p>
          <w:p w14:paraId="6B806C02" w14:textId="557CE804" w:rsidR="001350B9" w:rsidRPr="006305D8" w:rsidRDefault="001350B9" w:rsidP="00B36A9E">
            <w:pPr>
              <w:tabs>
                <w:tab w:val="clear" w:pos="794"/>
                <w:tab w:val="left" w:pos="226"/>
                <w:tab w:val="left" w:pos="4111"/>
              </w:tabs>
              <w:spacing w:before="0"/>
              <w:ind w:left="226" w:hanging="226"/>
              <w:rPr>
                <w:sz w:val="22"/>
                <w:szCs w:val="22"/>
              </w:rPr>
            </w:pPr>
            <w:r w:rsidRPr="006305D8">
              <w:rPr>
                <w:sz w:val="22"/>
                <w:szCs w:val="22"/>
              </w:rPr>
              <w:t>-</w:t>
            </w:r>
            <w:r w:rsidRPr="006305D8">
              <w:rPr>
                <w:sz w:val="22"/>
                <w:szCs w:val="22"/>
              </w:rPr>
              <w:tab/>
            </w:r>
            <w:r w:rsidR="00B36A9E" w:rsidRPr="006305D8">
              <w:rPr>
                <w:sz w:val="22"/>
                <w:szCs w:val="22"/>
              </w:rPr>
              <w:t>Las Administraciones de los Estados Miembros de la Unión</w:t>
            </w:r>
            <w:r w:rsidR="001D39BE" w:rsidRPr="006305D8">
              <w:rPr>
                <w:sz w:val="22"/>
                <w:szCs w:val="22"/>
              </w:rPr>
              <w:t>;</w:t>
            </w:r>
          </w:p>
          <w:p w14:paraId="7B2F6261" w14:textId="229F504A" w:rsidR="00B36A9E" w:rsidRPr="006305D8" w:rsidRDefault="00B36A9E" w:rsidP="00303D62">
            <w:pPr>
              <w:tabs>
                <w:tab w:val="clear" w:pos="794"/>
                <w:tab w:val="left" w:pos="226"/>
                <w:tab w:val="left" w:pos="4111"/>
              </w:tabs>
              <w:spacing w:before="0"/>
              <w:rPr>
                <w:sz w:val="22"/>
                <w:szCs w:val="22"/>
              </w:rPr>
            </w:pPr>
            <w:r w:rsidRPr="006305D8">
              <w:rPr>
                <w:sz w:val="22"/>
                <w:szCs w:val="22"/>
              </w:rPr>
              <w:t>-</w:t>
            </w:r>
            <w:r w:rsidRPr="006305D8">
              <w:rPr>
                <w:sz w:val="22"/>
                <w:szCs w:val="22"/>
              </w:rPr>
              <w:tab/>
              <w:t>Los Miembros del Sector UIT</w:t>
            </w:r>
            <w:r w:rsidRPr="006305D8">
              <w:rPr>
                <w:sz w:val="22"/>
                <w:szCs w:val="22"/>
              </w:rPr>
              <w:noBreakHyphen/>
              <w:t>T;</w:t>
            </w:r>
          </w:p>
          <w:p w14:paraId="38BC6A95" w14:textId="38E66B60" w:rsidR="001350B9" w:rsidRPr="006305D8" w:rsidRDefault="001350B9" w:rsidP="00303D62">
            <w:pPr>
              <w:tabs>
                <w:tab w:val="clear" w:pos="794"/>
                <w:tab w:val="left" w:pos="226"/>
                <w:tab w:val="left" w:pos="4111"/>
              </w:tabs>
              <w:spacing w:before="0"/>
              <w:rPr>
                <w:sz w:val="22"/>
                <w:szCs w:val="22"/>
              </w:rPr>
            </w:pPr>
            <w:r w:rsidRPr="006305D8">
              <w:rPr>
                <w:sz w:val="22"/>
                <w:szCs w:val="22"/>
              </w:rPr>
              <w:t>-</w:t>
            </w:r>
            <w:r w:rsidR="009D347C" w:rsidRPr="006305D8">
              <w:rPr>
                <w:sz w:val="22"/>
                <w:szCs w:val="22"/>
              </w:rPr>
              <w:tab/>
              <w:t>L</w:t>
            </w:r>
            <w:r w:rsidRPr="006305D8">
              <w:rPr>
                <w:sz w:val="22"/>
                <w:szCs w:val="22"/>
              </w:rPr>
              <w:t>os Asociados del UIT</w:t>
            </w:r>
            <w:r w:rsidRPr="006305D8">
              <w:rPr>
                <w:sz w:val="22"/>
                <w:szCs w:val="22"/>
              </w:rPr>
              <w:noBreakHyphen/>
              <w:t>T;</w:t>
            </w:r>
          </w:p>
          <w:p w14:paraId="2F51B8A9" w14:textId="43E4C537" w:rsidR="001350B9" w:rsidRPr="006305D8" w:rsidRDefault="001350B9" w:rsidP="00303D62">
            <w:pPr>
              <w:tabs>
                <w:tab w:val="clear" w:pos="794"/>
                <w:tab w:val="left" w:pos="226"/>
                <w:tab w:val="left" w:pos="4111"/>
              </w:tabs>
              <w:spacing w:before="0"/>
              <w:rPr>
                <w:sz w:val="22"/>
                <w:szCs w:val="22"/>
              </w:rPr>
            </w:pPr>
            <w:r w:rsidRPr="006305D8">
              <w:rPr>
                <w:sz w:val="22"/>
                <w:szCs w:val="22"/>
              </w:rPr>
              <w:t>-</w:t>
            </w:r>
            <w:r w:rsidRPr="006305D8">
              <w:rPr>
                <w:sz w:val="22"/>
                <w:szCs w:val="22"/>
              </w:rPr>
              <w:tab/>
            </w:r>
            <w:r w:rsidR="009D347C" w:rsidRPr="006305D8">
              <w:rPr>
                <w:sz w:val="22"/>
                <w:szCs w:val="22"/>
              </w:rPr>
              <w:t>L</w:t>
            </w:r>
            <w:r w:rsidRPr="006305D8">
              <w:rPr>
                <w:sz w:val="22"/>
                <w:szCs w:val="22"/>
              </w:rPr>
              <w:t>as Instituciones Académicas del UIT-T;</w:t>
            </w:r>
          </w:p>
          <w:p w14:paraId="172DB39F" w14:textId="12D6C030" w:rsidR="009D347C" w:rsidRPr="006305D8" w:rsidRDefault="009D347C" w:rsidP="00303D62">
            <w:pPr>
              <w:tabs>
                <w:tab w:val="clear" w:pos="794"/>
                <w:tab w:val="left" w:pos="226"/>
                <w:tab w:val="left" w:pos="4111"/>
              </w:tabs>
              <w:spacing w:before="0"/>
              <w:rPr>
                <w:b/>
                <w:bCs/>
                <w:sz w:val="22"/>
                <w:szCs w:val="22"/>
              </w:rPr>
            </w:pPr>
            <w:r w:rsidRPr="006305D8">
              <w:rPr>
                <w:b/>
                <w:bCs/>
                <w:sz w:val="22"/>
                <w:szCs w:val="22"/>
              </w:rPr>
              <w:t>Copia a:</w:t>
            </w:r>
          </w:p>
          <w:p w14:paraId="7B50D72E" w14:textId="33DDD36C" w:rsidR="00B36A9E" w:rsidRPr="006305D8" w:rsidRDefault="001350B9" w:rsidP="00B36A9E">
            <w:pPr>
              <w:tabs>
                <w:tab w:val="left" w:pos="226"/>
                <w:tab w:val="left" w:pos="4111"/>
              </w:tabs>
              <w:spacing w:before="0"/>
              <w:ind w:left="226" w:hanging="226"/>
              <w:rPr>
                <w:sz w:val="22"/>
                <w:szCs w:val="22"/>
              </w:rPr>
            </w:pPr>
            <w:r w:rsidRPr="006305D8">
              <w:rPr>
                <w:sz w:val="22"/>
                <w:szCs w:val="22"/>
              </w:rPr>
              <w:t>-</w:t>
            </w:r>
            <w:r w:rsidRPr="006305D8">
              <w:rPr>
                <w:sz w:val="22"/>
                <w:szCs w:val="22"/>
              </w:rPr>
              <w:tab/>
            </w:r>
            <w:r w:rsidR="00B36A9E" w:rsidRPr="006305D8">
              <w:rPr>
                <w:sz w:val="22"/>
                <w:szCs w:val="22"/>
              </w:rPr>
              <w:t xml:space="preserve">Los </w:t>
            </w:r>
            <w:proofErr w:type="gramStart"/>
            <w:r w:rsidR="00B36A9E" w:rsidRPr="006305D8">
              <w:rPr>
                <w:sz w:val="22"/>
                <w:szCs w:val="22"/>
              </w:rPr>
              <w:t>Presidentes</w:t>
            </w:r>
            <w:proofErr w:type="gramEnd"/>
            <w:r w:rsidR="00B36A9E" w:rsidRPr="006305D8">
              <w:rPr>
                <w:sz w:val="22"/>
                <w:szCs w:val="22"/>
              </w:rPr>
              <w:t xml:space="preserve"> y Vicepresidentes de las Comisiones de Estudio</w:t>
            </w:r>
            <w:r w:rsidR="001D39BE" w:rsidRPr="006305D8">
              <w:rPr>
                <w:sz w:val="22"/>
                <w:szCs w:val="22"/>
              </w:rPr>
              <w:t>;</w:t>
            </w:r>
          </w:p>
          <w:p w14:paraId="675BFABE" w14:textId="60049446" w:rsidR="00B36A9E" w:rsidRPr="006305D8" w:rsidRDefault="00B36A9E" w:rsidP="00B36A9E">
            <w:pPr>
              <w:tabs>
                <w:tab w:val="left" w:pos="226"/>
                <w:tab w:val="left" w:pos="4111"/>
              </w:tabs>
              <w:spacing w:before="0"/>
              <w:ind w:left="226" w:hanging="226"/>
              <w:rPr>
                <w:sz w:val="22"/>
                <w:szCs w:val="22"/>
              </w:rPr>
            </w:pPr>
            <w:r w:rsidRPr="006305D8">
              <w:rPr>
                <w:sz w:val="22"/>
                <w:szCs w:val="22"/>
              </w:rPr>
              <w:t>-</w:t>
            </w:r>
            <w:r w:rsidRPr="006305D8">
              <w:rPr>
                <w:sz w:val="22"/>
                <w:szCs w:val="22"/>
              </w:rPr>
              <w:tab/>
              <w:t xml:space="preserve">El </w:t>
            </w:r>
            <w:proofErr w:type="gramStart"/>
            <w:r w:rsidRPr="006305D8">
              <w:rPr>
                <w:sz w:val="22"/>
                <w:szCs w:val="22"/>
              </w:rPr>
              <w:t>Director</w:t>
            </w:r>
            <w:proofErr w:type="gramEnd"/>
            <w:r w:rsidRPr="006305D8">
              <w:rPr>
                <w:sz w:val="22"/>
                <w:szCs w:val="22"/>
              </w:rPr>
              <w:t xml:space="preserve"> de la Oficina de Desarrollo de las Telecomunicaciones</w:t>
            </w:r>
            <w:r w:rsidR="001D39BE" w:rsidRPr="006305D8">
              <w:rPr>
                <w:sz w:val="22"/>
                <w:szCs w:val="22"/>
              </w:rPr>
              <w:t>;</w:t>
            </w:r>
          </w:p>
          <w:p w14:paraId="4EAF2EC1" w14:textId="2AB92A8E" w:rsidR="00B36A9E" w:rsidRPr="006305D8" w:rsidRDefault="00B36A9E" w:rsidP="00B36A9E">
            <w:pPr>
              <w:tabs>
                <w:tab w:val="left" w:pos="226"/>
                <w:tab w:val="left" w:pos="4111"/>
              </w:tabs>
              <w:spacing w:before="0"/>
              <w:ind w:left="226" w:hanging="226"/>
              <w:rPr>
                <w:sz w:val="22"/>
                <w:szCs w:val="22"/>
              </w:rPr>
            </w:pPr>
            <w:r w:rsidRPr="006305D8">
              <w:rPr>
                <w:sz w:val="22"/>
                <w:szCs w:val="22"/>
              </w:rPr>
              <w:t>-</w:t>
            </w:r>
            <w:r w:rsidRPr="006305D8">
              <w:rPr>
                <w:sz w:val="22"/>
                <w:szCs w:val="22"/>
              </w:rPr>
              <w:tab/>
              <w:t xml:space="preserve">El </w:t>
            </w:r>
            <w:proofErr w:type="gramStart"/>
            <w:r w:rsidRPr="006305D8">
              <w:rPr>
                <w:sz w:val="22"/>
                <w:szCs w:val="22"/>
              </w:rPr>
              <w:t>Director</w:t>
            </w:r>
            <w:proofErr w:type="gramEnd"/>
            <w:r w:rsidRPr="006305D8">
              <w:rPr>
                <w:sz w:val="22"/>
                <w:szCs w:val="22"/>
              </w:rPr>
              <w:t xml:space="preserve"> de la Oficina de Radiocomunicaciones</w:t>
            </w:r>
            <w:r w:rsidR="001D39BE" w:rsidRPr="006305D8">
              <w:rPr>
                <w:sz w:val="22"/>
                <w:szCs w:val="22"/>
              </w:rPr>
              <w:t>;</w:t>
            </w:r>
          </w:p>
          <w:p w14:paraId="31A172E3" w14:textId="1CA25D5C" w:rsidR="00B36A9E" w:rsidRPr="006305D8" w:rsidRDefault="00B36A9E" w:rsidP="00B36A9E">
            <w:pPr>
              <w:tabs>
                <w:tab w:val="left" w:pos="226"/>
                <w:tab w:val="left" w:pos="4111"/>
              </w:tabs>
              <w:spacing w:before="0"/>
              <w:ind w:left="226" w:hanging="226"/>
              <w:rPr>
                <w:sz w:val="22"/>
                <w:szCs w:val="22"/>
              </w:rPr>
            </w:pPr>
            <w:r w:rsidRPr="006305D8">
              <w:rPr>
                <w:sz w:val="22"/>
                <w:szCs w:val="22"/>
              </w:rPr>
              <w:t>-</w:t>
            </w:r>
            <w:r w:rsidRPr="006305D8">
              <w:rPr>
                <w:sz w:val="22"/>
                <w:szCs w:val="22"/>
              </w:rPr>
              <w:tab/>
              <w:t>La Oficina Regional de la UIT para África</w:t>
            </w:r>
            <w:r w:rsidR="001D39BE" w:rsidRPr="006305D8">
              <w:rPr>
                <w:sz w:val="22"/>
                <w:szCs w:val="22"/>
              </w:rPr>
              <w:t>;</w:t>
            </w:r>
          </w:p>
          <w:p w14:paraId="42D4E0B7" w14:textId="77777777" w:rsidR="001350B9" w:rsidRDefault="00B36A9E" w:rsidP="00B36A9E">
            <w:pPr>
              <w:tabs>
                <w:tab w:val="left" w:pos="226"/>
                <w:tab w:val="left" w:pos="4111"/>
              </w:tabs>
              <w:spacing w:before="0"/>
              <w:ind w:left="226" w:hanging="226"/>
              <w:rPr>
                <w:sz w:val="22"/>
                <w:szCs w:val="22"/>
              </w:rPr>
            </w:pPr>
            <w:r w:rsidRPr="006305D8">
              <w:rPr>
                <w:sz w:val="22"/>
                <w:szCs w:val="22"/>
              </w:rPr>
              <w:t>-</w:t>
            </w:r>
            <w:r w:rsidRPr="006305D8">
              <w:rPr>
                <w:sz w:val="22"/>
                <w:szCs w:val="22"/>
              </w:rPr>
              <w:tab/>
              <w:t>La Oficina Zonal de la UIT para África</w:t>
            </w:r>
            <w:r w:rsidR="001D39BE" w:rsidRPr="006305D8">
              <w:rPr>
                <w:sz w:val="22"/>
                <w:szCs w:val="22"/>
              </w:rPr>
              <w:t>.</w:t>
            </w:r>
          </w:p>
          <w:p w14:paraId="3C3BC30A" w14:textId="1BE448BF" w:rsidR="00B471C0" w:rsidRPr="006305D8" w:rsidRDefault="00B471C0" w:rsidP="00B36A9E">
            <w:pPr>
              <w:tabs>
                <w:tab w:val="left" w:pos="226"/>
                <w:tab w:val="left" w:pos="4111"/>
              </w:tabs>
              <w:spacing w:before="0"/>
              <w:ind w:left="226" w:hanging="226"/>
              <w:rPr>
                <w:sz w:val="22"/>
                <w:szCs w:val="22"/>
              </w:rPr>
            </w:pPr>
          </w:p>
        </w:tc>
      </w:tr>
      <w:tr w:rsidR="001350B9" w:rsidRPr="00CE2D46" w14:paraId="249FD2AA" w14:textId="77777777" w:rsidTr="00303D62">
        <w:trPr>
          <w:cantSplit/>
        </w:trPr>
        <w:tc>
          <w:tcPr>
            <w:tcW w:w="993" w:type="dxa"/>
          </w:tcPr>
          <w:p w14:paraId="7862B8A2" w14:textId="77777777" w:rsidR="001350B9" w:rsidRPr="006305D8" w:rsidRDefault="001350B9" w:rsidP="00303D62">
            <w:pPr>
              <w:tabs>
                <w:tab w:val="left" w:pos="4111"/>
              </w:tabs>
              <w:spacing w:before="10"/>
              <w:ind w:left="57"/>
              <w:rPr>
                <w:sz w:val="22"/>
                <w:szCs w:val="22"/>
              </w:rPr>
            </w:pPr>
            <w:r w:rsidRPr="006305D8">
              <w:rPr>
                <w:sz w:val="22"/>
                <w:szCs w:val="22"/>
              </w:rPr>
              <w:t>Tel.:</w:t>
            </w:r>
          </w:p>
        </w:tc>
        <w:tc>
          <w:tcPr>
            <w:tcW w:w="3884" w:type="dxa"/>
            <w:gridSpan w:val="2"/>
          </w:tcPr>
          <w:p w14:paraId="7E521995" w14:textId="6F77D965" w:rsidR="001350B9" w:rsidRPr="006305D8" w:rsidRDefault="001350B9" w:rsidP="00303D62">
            <w:pPr>
              <w:tabs>
                <w:tab w:val="left" w:pos="4111"/>
              </w:tabs>
              <w:spacing w:before="0"/>
              <w:ind w:left="57"/>
              <w:rPr>
                <w:rStyle w:val="Hyperlink"/>
                <w:sz w:val="22"/>
                <w:szCs w:val="22"/>
              </w:rPr>
            </w:pPr>
            <w:r w:rsidRPr="006305D8">
              <w:rPr>
                <w:sz w:val="22"/>
                <w:szCs w:val="22"/>
              </w:rPr>
              <w:t>+41 22 730</w:t>
            </w:r>
            <w:r w:rsidR="00A45273" w:rsidRPr="006305D8">
              <w:rPr>
                <w:sz w:val="22"/>
                <w:szCs w:val="22"/>
              </w:rPr>
              <w:t xml:space="preserve"> 5356</w:t>
            </w:r>
          </w:p>
        </w:tc>
        <w:tc>
          <w:tcPr>
            <w:tcW w:w="5329" w:type="dxa"/>
            <w:vMerge/>
          </w:tcPr>
          <w:p w14:paraId="2EAC575A" w14:textId="77777777" w:rsidR="001350B9" w:rsidRPr="006305D8" w:rsidRDefault="001350B9" w:rsidP="00303D62">
            <w:pPr>
              <w:tabs>
                <w:tab w:val="left" w:pos="226"/>
                <w:tab w:val="left" w:pos="510"/>
              </w:tabs>
              <w:spacing w:before="0"/>
              <w:ind w:left="226" w:hanging="169"/>
              <w:rPr>
                <w:b/>
                <w:sz w:val="22"/>
                <w:szCs w:val="22"/>
              </w:rPr>
            </w:pPr>
          </w:p>
        </w:tc>
      </w:tr>
      <w:tr w:rsidR="001350B9" w:rsidRPr="00CE2D46" w14:paraId="03DC0286" w14:textId="77777777" w:rsidTr="00303D62">
        <w:trPr>
          <w:cantSplit/>
        </w:trPr>
        <w:tc>
          <w:tcPr>
            <w:tcW w:w="993" w:type="dxa"/>
          </w:tcPr>
          <w:p w14:paraId="22619BBA" w14:textId="77777777" w:rsidR="001350B9" w:rsidRPr="006305D8" w:rsidRDefault="001350B9" w:rsidP="00303D62">
            <w:pPr>
              <w:tabs>
                <w:tab w:val="left" w:pos="4111"/>
              </w:tabs>
              <w:spacing w:before="10"/>
              <w:ind w:left="57"/>
              <w:rPr>
                <w:sz w:val="22"/>
                <w:szCs w:val="22"/>
              </w:rPr>
            </w:pPr>
            <w:r w:rsidRPr="006305D8">
              <w:rPr>
                <w:sz w:val="22"/>
                <w:szCs w:val="22"/>
              </w:rPr>
              <w:t>Fax:</w:t>
            </w:r>
          </w:p>
        </w:tc>
        <w:tc>
          <w:tcPr>
            <w:tcW w:w="3884" w:type="dxa"/>
            <w:gridSpan w:val="2"/>
          </w:tcPr>
          <w:p w14:paraId="159FEB7D" w14:textId="77777777" w:rsidR="001350B9" w:rsidRPr="006305D8" w:rsidRDefault="001350B9" w:rsidP="00303D62">
            <w:pPr>
              <w:tabs>
                <w:tab w:val="left" w:pos="4111"/>
              </w:tabs>
              <w:spacing w:before="0"/>
              <w:ind w:left="57"/>
              <w:rPr>
                <w:rStyle w:val="Hyperlink"/>
                <w:sz w:val="22"/>
                <w:szCs w:val="22"/>
              </w:rPr>
            </w:pPr>
            <w:r w:rsidRPr="006305D8">
              <w:rPr>
                <w:sz w:val="22"/>
                <w:szCs w:val="22"/>
              </w:rPr>
              <w:t>+41 22 730 5853</w:t>
            </w:r>
          </w:p>
        </w:tc>
        <w:tc>
          <w:tcPr>
            <w:tcW w:w="5329" w:type="dxa"/>
            <w:vMerge/>
          </w:tcPr>
          <w:p w14:paraId="3319E7BD" w14:textId="77777777" w:rsidR="001350B9" w:rsidRPr="006305D8" w:rsidRDefault="001350B9" w:rsidP="00303D62">
            <w:pPr>
              <w:tabs>
                <w:tab w:val="left" w:pos="226"/>
                <w:tab w:val="left" w:pos="510"/>
              </w:tabs>
              <w:spacing w:before="0"/>
              <w:ind w:left="226" w:hanging="169"/>
              <w:rPr>
                <w:b/>
                <w:sz w:val="22"/>
                <w:szCs w:val="22"/>
              </w:rPr>
            </w:pPr>
          </w:p>
        </w:tc>
      </w:tr>
      <w:tr w:rsidR="001350B9" w:rsidRPr="00CE2D46" w14:paraId="448C6EE1" w14:textId="77777777" w:rsidTr="00303D62">
        <w:trPr>
          <w:cantSplit/>
        </w:trPr>
        <w:tc>
          <w:tcPr>
            <w:tcW w:w="993" w:type="dxa"/>
          </w:tcPr>
          <w:p w14:paraId="2A597F62" w14:textId="77777777" w:rsidR="001350B9" w:rsidRPr="006305D8" w:rsidRDefault="001350B9" w:rsidP="00303D62">
            <w:pPr>
              <w:tabs>
                <w:tab w:val="left" w:pos="4111"/>
              </w:tabs>
              <w:spacing w:before="10"/>
              <w:ind w:left="57"/>
              <w:rPr>
                <w:sz w:val="22"/>
                <w:szCs w:val="22"/>
              </w:rPr>
            </w:pPr>
            <w:r w:rsidRPr="006305D8">
              <w:rPr>
                <w:sz w:val="22"/>
                <w:szCs w:val="22"/>
              </w:rPr>
              <w:t>Correo-e:</w:t>
            </w:r>
          </w:p>
        </w:tc>
        <w:tc>
          <w:tcPr>
            <w:tcW w:w="3884" w:type="dxa"/>
            <w:gridSpan w:val="2"/>
          </w:tcPr>
          <w:p w14:paraId="4678AEFD" w14:textId="02352CC8" w:rsidR="001350B9" w:rsidRPr="006305D8" w:rsidRDefault="005C42F1" w:rsidP="00303D62">
            <w:pPr>
              <w:tabs>
                <w:tab w:val="left" w:pos="4111"/>
              </w:tabs>
              <w:spacing w:before="0"/>
              <w:ind w:left="57"/>
              <w:rPr>
                <w:sz w:val="22"/>
                <w:szCs w:val="22"/>
              </w:rPr>
            </w:pPr>
            <w:hyperlink r:id="rId9" w:history="1">
              <w:r w:rsidR="0023796F" w:rsidRPr="006305D8">
                <w:rPr>
                  <w:rStyle w:val="Hyperlink"/>
                  <w:sz w:val="22"/>
                  <w:szCs w:val="22"/>
                </w:rPr>
                <w:t>tsbevents@itu.int</w:t>
              </w:r>
            </w:hyperlink>
          </w:p>
        </w:tc>
        <w:tc>
          <w:tcPr>
            <w:tcW w:w="5329" w:type="dxa"/>
            <w:vMerge/>
          </w:tcPr>
          <w:p w14:paraId="1EDDF854" w14:textId="77777777" w:rsidR="001350B9" w:rsidRPr="006305D8" w:rsidRDefault="001350B9"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rsidRPr="00CE2D46" w14:paraId="700E149D" w14:textId="77777777" w:rsidTr="00DA30ED">
        <w:trPr>
          <w:cantSplit/>
        </w:trPr>
        <w:tc>
          <w:tcPr>
            <w:tcW w:w="993" w:type="dxa"/>
          </w:tcPr>
          <w:p w14:paraId="152E3489" w14:textId="77777777" w:rsidR="007B6316" w:rsidRPr="006305D8" w:rsidRDefault="007B6316" w:rsidP="00303D62">
            <w:pPr>
              <w:tabs>
                <w:tab w:val="left" w:pos="4111"/>
              </w:tabs>
              <w:spacing w:before="10"/>
              <w:ind w:left="57"/>
              <w:rPr>
                <w:sz w:val="22"/>
                <w:szCs w:val="22"/>
              </w:rPr>
            </w:pPr>
            <w:r w:rsidRPr="006305D8">
              <w:rPr>
                <w:sz w:val="22"/>
                <w:szCs w:val="22"/>
              </w:rPr>
              <w:t>Asunto:</w:t>
            </w:r>
          </w:p>
        </w:tc>
        <w:tc>
          <w:tcPr>
            <w:tcW w:w="9213" w:type="dxa"/>
            <w:gridSpan w:val="3"/>
          </w:tcPr>
          <w:p w14:paraId="28A22910" w14:textId="57AD1F67" w:rsidR="007B6316" w:rsidRPr="006305D8" w:rsidRDefault="00B36A9E" w:rsidP="00303D62">
            <w:pPr>
              <w:tabs>
                <w:tab w:val="left" w:pos="4111"/>
              </w:tabs>
              <w:spacing w:before="0"/>
              <w:rPr>
                <w:b/>
                <w:sz w:val="22"/>
                <w:szCs w:val="22"/>
              </w:rPr>
            </w:pPr>
            <w:r w:rsidRPr="006305D8">
              <w:rPr>
                <w:b/>
                <w:sz w:val="22"/>
                <w:szCs w:val="22"/>
              </w:rPr>
              <w:t>15º Simposio sobre TIC, Medio Ambiente, Cambio Climático y Economía Circular (</w:t>
            </w:r>
            <w:proofErr w:type="spellStart"/>
            <w:r w:rsidRPr="006305D8">
              <w:rPr>
                <w:b/>
                <w:sz w:val="22"/>
                <w:szCs w:val="22"/>
              </w:rPr>
              <w:t>Ouagadougou</w:t>
            </w:r>
            <w:proofErr w:type="spellEnd"/>
            <w:r w:rsidRPr="006305D8">
              <w:rPr>
                <w:b/>
                <w:sz w:val="22"/>
                <w:szCs w:val="22"/>
              </w:rPr>
              <w:t>, Burkina Faso, 7 a 9 de mayo de 2024)</w:t>
            </w:r>
          </w:p>
        </w:tc>
      </w:tr>
    </w:tbl>
    <w:p w14:paraId="6739C803" w14:textId="77777777" w:rsidR="00C34772" w:rsidRPr="006305D8" w:rsidRDefault="00C34772" w:rsidP="007B6316">
      <w:pPr>
        <w:spacing w:before="320"/>
        <w:rPr>
          <w:sz w:val="22"/>
          <w:szCs w:val="22"/>
        </w:rPr>
      </w:pPr>
      <w:bookmarkStart w:id="1" w:name="StartTyping_S"/>
      <w:bookmarkStart w:id="2" w:name="suitetext"/>
      <w:bookmarkStart w:id="3" w:name="text"/>
      <w:bookmarkEnd w:id="1"/>
      <w:bookmarkEnd w:id="2"/>
      <w:bookmarkEnd w:id="3"/>
      <w:r w:rsidRPr="006305D8">
        <w:rPr>
          <w:sz w:val="22"/>
          <w:szCs w:val="22"/>
        </w:rPr>
        <w:t>Muy Señora mía/Muy Señor mío:</w:t>
      </w:r>
    </w:p>
    <w:p w14:paraId="6DDBDF5D" w14:textId="77777777" w:rsidR="00B36A9E" w:rsidRPr="006305D8" w:rsidRDefault="00B36A9E" w:rsidP="00B36A9E">
      <w:pPr>
        <w:rPr>
          <w:sz w:val="22"/>
          <w:szCs w:val="22"/>
        </w:rPr>
      </w:pPr>
      <w:r w:rsidRPr="006305D8">
        <w:rPr>
          <w:sz w:val="22"/>
          <w:szCs w:val="22"/>
        </w:rPr>
        <w:t>1</w:t>
      </w:r>
      <w:r w:rsidRPr="006305D8">
        <w:rPr>
          <w:sz w:val="22"/>
          <w:szCs w:val="22"/>
        </w:rPr>
        <w:tab/>
      </w:r>
      <w:proofErr w:type="gramStart"/>
      <w:r w:rsidRPr="006305D8">
        <w:rPr>
          <w:sz w:val="22"/>
          <w:szCs w:val="22"/>
        </w:rPr>
        <w:t>Me</w:t>
      </w:r>
      <w:proofErr w:type="gramEnd"/>
      <w:r w:rsidRPr="006305D8">
        <w:rPr>
          <w:sz w:val="22"/>
          <w:szCs w:val="22"/>
        </w:rPr>
        <w:t xml:space="preserve"> complace informarle que la Unión Internacional de Telecomunicaciones (UIT), junto con la red </w:t>
      </w:r>
      <w:proofErr w:type="spellStart"/>
      <w:r w:rsidRPr="006305D8">
        <w:rPr>
          <w:sz w:val="22"/>
          <w:szCs w:val="22"/>
        </w:rPr>
        <w:t>One</w:t>
      </w:r>
      <w:proofErr w:type="spellEnd"/>
      <w:r w:rsidRPr="006305D8">
        <w:rPr>
          <w:sz w:val="22"/>
          <w:szCs w:val="22"/>
        </w:rPr>
        <w:t xml:space="preserve"> </w:t>
      </w:r>
      <w:proofErr w:type="spellStart"/>
      <w:r w:rsidRPr="006305D8">
        <w:rPr>
          <w:sz w:val="22"/>
          <w:szCs w:val="22"/>
        </w:rPr>
        <w:t>Planet</w:t>
      </w:r>
      <w:proofErr w:type="spellEnd"/>
      <w:r w:rsidRPr="006305D8">
        <w:rPr>
          <w:sz w:val="22"/>
          <w:szCs w:val="22"/>
        </w:rPr>
        <w:t>, ECOS y la Secretaría del Convenio de Basilea, están organizando el "</w:t>
      </w:r>
      <w:r w:rsidRPr="006305D8">
        <w:rPr>
          <w:b/>
          <w:bCs/>
          <w:sz w:val="22"/>
          <w:szCs w:val="22"/>
        </w:rPr>
        <w:t>15º Simposio sobre TIC, Medio Ambiente, Cambio Climático y Economía Circular</w:t>
      </w:r>
      <w:r w:rsidRPr="006305D8">
        <w:rPr>
          <w:sz w:val="22"/>
          <w:szCs w:val="22"/>
        </w:rPr>
        <w:t xml:space="preserve">", que tendrá lugar del </w:t>
      </w:r>
      <w:r w:rsidRPr="006305D8">
        <w:rPr>
          <w:b/>
          <w:bCs/>
          <w:sz w:val="22"/>
          <w:szCs w:val="22"/>
        </w:rPr>
        <w:t>7 al 9 de mayo de 2024</w:t>
      </w:r>
      <w:r w:rsidRPr="006305D8">
        <w:rPr>
          <w:sz w:val="22"/>
          <w:szCs w:val="22"/>
        </w:rPr>
        <w:t xml:space="preserve"> en </w:t>
      </w:r>
      <w:proofErr w:type="spellStart"/>
      <w:r w:rsidRPr="006305D8">
        <w:rPr>
          <w:b/>
          <w:bCs/>
          <w:sz w:val="22"/>
          <w:szCs w:val="22"/>
        </w:rPr>
        <w:t>Ouagadougou</w:t>
      </w:r>
      <w:proofErr w:type="spellEnd"/>
      <w:r w:rsidRPr="006305D8">
        <w:rPr>
          <w:sz w:val="22"/>
          <w:szCs w:val="22"/>
        </w:rPr>
        <w:t xml:space="preserve"> (Burkina Faso). El tema del simposio de este año es "</w:t>
      </w:r>
      <w:r w:rsidRPr="006305D8">
        <w:rPr>
          <w:i/>
          <w:iCs/>
          <w:sz w:val="22"/>
          <w:szCs w:val="22"/>
        </w:rPr>
        <w:t>Soluciones digitales para un futuro sostenible: integración de la acción para el clima, la economía circular, los datos y las normas internacionales</w:t>
      </w:r>
      <w:r w:rsidRPr="006305D8">
        <w:rPr>
          <w:sz w:val="22"/>
          <w:szCs w:val="22"/>
        </w:rPr>
        <w:t xml:space="preserve">". El simposio será acogido amablemente por el Ministerio de Transición Digital, Correos y Comunicaciones Electrónicas en el Hotel </w:t>
      </w:r>
      <w:proofErr w:type="spellStart"/>
      <w:r w:rsidRPr="006305D8">
        <w:rPr>
          <w:sz w:val="22"/>
          <w:szCs w:val="22"/>
        </w:rPr>
        <w:t>Silmandé</w:t>
      </w:r>
      <w:proofErr w:type="spellEnd"/>
      <w:r w:rsidRPr="006305D8">
        <w:rPr>
          <w:sz w:val="22"/>
          <w:szCs w:val="22"/>
        </w:rPr>
        <w:t xml:space="preserve"> de </w:t>
      </w:r>
      <w:proofErr w:type="spellStart"/>
      <w:r w:rsidRPr="006305D8">
        <w:rPr>
          <w:sz w:val="22"/>
          <w:szCs w:val="22"/>
        </w:rPr>
        <w:t>Ouagadougou</w:t>
      </w:r>
      <w:proofErr w:type="spellEnd"/>
      <w:r w:rsidRPr="006305D8">
        <w:rPr>
          <w:sz w:val="22"/>
          <w:szCs w:val="22"/>
        </w:rPr>
        <w:t>.</w:t>
      </w:r>
    </w:p>
    <w:p w14:paraId="2714F71C" w14:textId="77777777" w:rsidR="00B36A9E" w:rsidRPr="006305D8" w:rsidRDefault="00B36A9E" w:rsidP="00B36A9E">
      <w:pPr>
        <w:rPr>
          <w:sz w:val="22"/>
          <w:szCs w:val="22"/>
        </w:rPr>
      </w:pPr>
      <w:r w:rsidRPr="006305D8">
        <w:rPr>
          <w:sz w:val="22"/>
          <w:szCs w:val="22"/>
        </w:rPr>
        <w:t>2</w:t>
      </w:r>
      <w:r w:rsidRPr="006305D8">
        <w:rPr>
          <w:sz w:val="22"/>
          <w:szCs w:val="22"/>
        </w:rPr>
        <w:tab/>
      </w:r>
      <w:proofErr w:type="gramStart"/>
      <w:r w:rsidRPr="006305D8">
        <w:rPr>
          <w:sz w:val="22"/>
          <w:szCs w:val="22"/>
        </w:rPr>
        <w:t>El</w:t>
      </w:r>
      <w:proofErr w:type="gramEnd"/>
      <w:r w:rsidRPr="006305D8">
        <w:rPr>
          <w:sz w:val="22"/>
          <w:szCs w:val="22"/>
        </w:rPr>
        <w:t xml:space="preserve"> fomento de la sostenibilidad y la promoción de la economía circular son requisitos fundamentales para que las ciudades africanas hagan frente a los desafíos ambientales e impulsen a su vez el crecimiento económico. Este innovador evento de tres días de duración está concebido para ofrecer soluciones a los problemas relativos a los desechos de equipos eléctricos y electrónicos, en particular los relacionados con la extracción minera en zonas de conflicto. Cada jornada se centrará en un tema específico, como las infraestructuras de eficiencia ambiental, los datos sobre los residuos electrónicos, los principios de la economía circular, y la función capital del sector de las TIC para el fomento del compromiso. Además, el evento hará hincapié en la importancia y la función de las normas, la impartición de formación práctica sobre el proceso de normalización, la participación y la contribución, dado que las normas desempeñan una función fundamental para convertir la acción para el clima en resultados tangibles. Mediante sesiones interactivas, presentaciones y debates, el evento reunirá a partes interesadas del Gobierno, la industria, las instituciones académicas y la sociedad civil con el fin de compartir ideas y mejores prácticas, e identificar estrategias viables para fomentar las iniciativas destinadas a la sostenibilidad.</w:t>
      </w:r>
    </w:p>
    <w:p w14:paraId="6A58BE9E" w14:textId="1C3DC1EF" w:rsidR="00B36A9E" w:rsidRPr="006305D8" w:rsidRDefault="00B36A9E" w:rsidP="00B36A9E">
      <w:pPr>
        <w:rPr>
          <w:sz w:val="22"/>
          <w:szCs w:val="22"/>
        </w:rPr>
      </w:pPr>
      <w:r w:rsidRPr="006305D8">
        <w:rPr>
          <w:sz w:val="22"/>
          <w:szCs w:val="22"/>
        </w:rPr>
        <w:t>3</w:t>
      </w:r>
      <w:r w:rsidRPr="006305D8">
        <w:rPr>
          <w:sz w:val="22"/>
          <w:szCs w:val="22"/>
        </w:rPr>
        <w:tab/>
      </w:r>
      <w:proofErr w:type="gramStart"/>
      <w:r w:rsidRPr="006305D8">
        <w:rPr>
          <w:sz w:val="22"/>
          <w:szCs w:val="22"/>
        </w:rPr>
        <w:t>El</w:t>
      </w:r>
      <w:proofErr w:type="gramEnd"/>
      <w:r w:rsidRPr="006305D8">
        <w:rPr>
          <w:sz w:val="22"/>
          <w:szCs w:val="22"/>
        </w:rPr>
        <w:t xml:space="preserve"> Simposio se celebrará con ocasión de la reunión del </w:t>
      </w:r>
      <w:hyperlink r:id="rId10" w:history="1">
        <w:r w:rsidRPr="006305D8">
          <w:rPr>
            <w:rStyle w:val="Hyperlink"/>
            <w:sz w:val="22"/>
            <w:szCs w:val="22"/>
          </w:rPr>
          <w:t>Grupo Regional de la Comisión de Estudio 5 del UIT-T para África</w:t>
        </w:r>
      </w:hyperlink>
      <w:r w:rsidRPr="006305D8">
        <w:rPr>
          <w:sz w:val="22"/>
          <w:szCs w:val="22"/>
        </w:rPr>
        <w:t xml:space="preserve"> que tendrá lugar del 7 al 9 de mayo de 2024 en el mismo lugar. El Simposio se celebrará en inglés, con interpretación al francés. Se facilitará la participación a distancia.</w:t>
      </w:r>
    </w:p>
    <w:p w14:paraId="69959E3E" w14:textId="77777777" w:rsidR="00B36A9E" w:rsidRPr="006305D8" w:rsidRDefault="00B36A9E" w:rsidP="00B36A9E">
      <w:pPr>
        <w:rPr>
          <w:sz w:val="22"/>
          <w:szCs w:val="22"/>
        </w:rPr>
      </w:pPr>
      <w:r w:rsidRPr="006305D8">
        <w:rPr>
          <w:sz w:val="22"/>
          <w:szCs w:val="22"/>
        </w:rPr>
        <w:t>4</w:t>
      </w:r>
      <w:r w:rsidRPr="006305D8">
        <w:rPr>
          <w:sz w:val="22"/>
          <w:szCs w:val="22"/>
        </w:rPr>
        <w:tab/>
      </w:r>
      <w:proofErr w:type="gramStart"/>
      <w:r w:rsidRPr="006305D8">
        <w:rPr>
          <w:sz w:val="22"/>
          <w:szCs w:val="22"/>
        </w:rPr>
        <w:t>El</w:t>
      </w:r>
      <w:proofErr w:type="gramEnd"/>
      <w:r w:rsidRPr="006305D8">
        <w:rPr>
          <w:sz w:val="22"/>
          <w:szCs w:val="22"/>
        </w:rPr>
        <w:t xml:space="preserve"> Simposio tiene por objeto alcanzar los siguientes objetivos:</w:t>
      </w:r>
    </w:p>
    <w:p w14:paraId="2BE4B17A" w14:textId="30759E88" w:rsidR="00B36A9E" w:rsidRPr="006305D8" w:rsidRDefault="00DF6BA3" w:rsidP="006305D8">
      <w:pPr>
        <w:pStyle w:val="enumlev1"/>
        <w:tabs>
          <w:tab w:val="clear" w:pos="794"/>
        </w:tabs>
        <w:ind w:left="993" w:hanging="426"/>
        <w:rPr>
          <w:sz w:val="22"/>
          <w:szCs w:val="22"/>
        </w:rPr>
      </w:pPr>
      <w:r w:rsidRPr="006305D8">
        <w:rPr>
          <w:rFonts w:cstheme="minorHAnsi"/>
          <w:sz w:val="22"/>
          <w:szCs w:val="22"/>
        </w:rPr>
        <w:t>‒</w:t>
      </w:r>
      <w:r w:rsidR="00B36A9E" w:rsidRPr="006305D8">
        <w:rPr>
          <w:sz w:val="22"/>
          <w:szCs w:val="22"/>
        </w:rPr>
        <w:tab/>
        <w:t>Proporcionar información sobre la necesidad de la acción climática y las normas disponibles.</w:t>
      </w:r>
    </w:p>
    <w:p w14:paraId="7F795FF2" w14:textId="4EF2CD3D" w:rsidR="00B36A9E" w:rsidRPr="006305D8" w:rsidRDefault="00DF6BA3" w:rsidP="006305D8">
      <w:pPr>
        <w:pStyle w:val="enumlev1"/>
        <w:tabs>
          <w:tab w:val="clear" w:pos="794"/>
        </w:tabs>
        <w:ind w:left="993" w:hanging="426"/>
        <w:rPr>
          <w:sz w:val="22"/>
          <w:szCs w:val="22"/>
        </w:rPr>
      </w:pPr>
      <w:r w:rsidRPr="006305D8">
        <w:rPr>
          <w:sz w:val="22"/>
          <w:szCs w:val="22"/>
        </w:rPr>
        <w:lastRenderedPageBreak/>
        <w:t>‒</w:t>
      </w:r>
      <w:r w:rsidR="00B36A9E" w:rsidRPr="006305D8">
        <w:rPr>
          <w:sz w:val="22"/>
          <w:szCs w:val="22"/>
        </w:rPr>
        <w:tab/>
        <w:t>Hacer hincapié en la importancia de los datos normalizados.</w:t>
      </w:r>
    </w:p>
    <w:p w14:paraId="6E62C3D1" w14:textId="321B0A31"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Facilitar el intercambio de las mejores prácticas entre los países africanos.</w:t>
      </w:r>
    </w:p>
    <w:p w14:paraId="5DFF2156" w14:textId="36F17848"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Servir de plataforma para la colaboración, la compartición de conocimientos y la creación de alianzas.</w:t>
      </w:r>
    </w:p>
    <w:p w14:paraId="1FAEB630" w14:textId="718BA11F"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Acelerar la transición hacia una economía sostenible y circular en las ciudades africanas.</w:t>
      </w:r>
    </w:p>
    <w:p w14:paraId="0C901007" w14:textId="22295E5A"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Reunir a diversas partes interesadas para fomentar soluciones innovadoras.</w:t>
      </w:r>
    </w:p>
    <w:p w14:paraId="0DC3A60D" w14:textId="7A34611D"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Sentar las bases de acciones tangibles que contribuyan a la protección del medio ambiente, al crecimiento económico y al desarrollo social en la región.</w:t>
      </w:r>
    </w:p>
    <w:p w14:paraId="25C5FB78" w14:textId="302AEF8A" w:rsidR="00B36A9E" w:rsidRPr="006305D8" w:rsidRDefault="00DF6BA3" w:rsidP="006305D8">
      <w:pPr>
        <w:pStyle w:val="enumlev1"/>
        <w:tabs>
          <w:tab w:val="clear" w:pos="794"/>
        </w:tabs>
        <w:ind w:left="993" w:hanging="426"/>
        <w:rPr>
          <w:sz w:val="22"/>
          <w:szCs w:val="22"/>
        </w:rPr>
      </w:pPr>
      <w:r w:rsidRPr="006305D8">
        <w:rPr>
          <w:sz w:val="22"/>
          <w:szCs w:val="22"/>
        </w:rPr>
        <w:t>‒</w:t>
      </w:r>
      <w:r w:rsidR="00B36A9E" w:rsidRPr="006305D8">
        <w:rPr>
          <w:sz w:val="22"/>
          <w:szCs w:val="22"/>
        </w:rPr>
        <w:tab/>
        <w:t>Impartir una formación práctica sobre la reducción de la brecha de normalización.</w:t>
      </w:r>
    </w:p>
    <w:p w14:paraId="374CEDA8" w14:textId="1F814023" w:rsidR="00B36A9E" w:rsidRPr="006305D8" w:rsidRDefault="00B36A9E" w:rsidP="00B36A9E">
      <w:pPr>
        <w:rPr>
          <w:sz w:val="22"/>
          <w:szCs w:val="22"/>
        </w:rPr>
      </w:pPr>
      <w:r w:rsidRPr="006305D8">
        <w:rPr>
          <w:sz w:val="22"/>
          <w:szCs w:val="22"/>
        </w:rPr>
        <w:t>5</w:t>
      </w:r>
      <w:r w:rsidRPr="006305D8">
        <w:rPr>
          <w:sz w:val="22"/>
          <w:szCs w:val="22"/>
        </w:rPr>
        <w:tab/>
      </w:r>
      <w:proofErr w:type="gramStart"/>
      <w:r w:rsidRPr="006305D8">
        <w:rPr>
          <w:sz w:val="22"/>
          <w:szCs w:val="22"/>
        </w:rPr>
        <w:t>La</w:t>
      </w:r>
      <w:proofErr w:type="gramEnd"/>
      <w:r w:rsidRPr="006305D8">
        <w:rPr>
          <w:sz w:val="22"/>
          <w:szCs w:val="22"/>
        </w:rPr>
        <w:t xml:space="preserve"> participación en el Simposio está abierta a los Estados Miembros, a los Miembros de Sector, a los Asociados, a las Instituciones Académicas de la UIT, y a cualquier persona de un país que sea miembro de la UIT y desee contribuir a los trabajos. Esto incluye a las personas que también son miembros de organizaciones nacionales, regionales e internacionales. La participación es gratuita.</w:t>
      </w:r>
    </w:p>
    <w:p w14:paraId="1D460F50" w14:textId="20A0E631" w:rsidR="00B36A9E" w:rsidRPr="006305D8" w:rsidRDefault="00B36A9E" w:rsidP="00B36A9E">
      <w:pPr>
        <w:rPr>
          <w:sz w:val="22"/>
          <w:szCs w:val="22"/>
        </w:rPr>
      </w:pPr>
      <w:r w:rsidRPr="006305D8">
        <w:rPr>
          <w:sz w:val="22"/>
          <w:szCs w:val="22"/>
        </w:rPr>
        <w:t>6</w:t>
      </w:r>
      <w:r w:rsidRPr="006305D8">
        <w:rPr>
          <w:sz w:val="22"/>
          <w:szCs w:val="22"/>
        </w:rPr>
        <w:tab/>
      </w:r>
      <w:proofErr w:type="gramStart"/>
      <w:r w:rsidRPr="006305D8">
        <w:rPr>
          <w:sz w:val="22"/>
          <w:szCs w:val="22"/>
        </w:rPr>
        <w:t>Toda</w:t>
      </w:r>
      <w:proofErr w:type="gramEnd"/>
      <w:r w:rsidRPr="006305D8">
        <w:rPr>
          <w:sz w:val="22"/>
          <w:szCs w:val="22"/>
        </w:rPr>
        <w:t xml:space="preserve"> la información pertinente del evento (a saber, el proyecto de programa, la lista de oradores, el enlace para la inscripción en el mismo y los detalles relativos a la conexión a distancia) estará disponible en su sitio web: </w:t>
      </w:r>
      <w:hyperlink r:id="rId11" w:history="1">
        <w:r w:rsidRPr="006305D8">
          <w:rPr>
            <w:rStyle w:val="Hyperlink"/>
            <w:sz w:val="22"/>
            <w:szCs w:val="22"/>
          </w:rPr>
          <w:t>https://www.itu.int/en/ITU-T/climatechange/symposia/202405/Pages/default.aspx</w:t>
        </w:r>
      </w:hyperlink>
      <w:r w:rsidRPr="006305D8">
        <w:rPr>
          <w:sz w:val="22"/>
          <w:szCs w:val="22"/>
        </w:rPr>
        <w:t>. Este sitio web se actualizará periódicamente a medida que se disponga de más información. Se alienta a los participantes a que consulten regularmente el sitio web para obtener la información más reciente.</w:t>
      </w:r>
    </w:p>
    <w:p w14:paraId="0702CC22" w14:textId="7F6EBA69" w:rsidR="00B36A9E" w:rsidRPr="006305D8" w:rsidRDefault="00B36A9E" w:rsidP="00B36A9E">
      <w:pPr>
        <w:rPr>
          <w:b/>
          <w:bCs/>
          <w:sz w:val="22"/>
          <w:szCs w:val="22"/>
        </w:rPr>
      </w:pPr>
      <w:r w:rsidRPr="006305D8">
        <w:rPr>
          <w:sz w:val="22"/>
          <w:szCs w:val="22"/>
        </w:rPr>
        <w:t>7</w:t>
      </w:r>
      <w:r w:rsidRPr="006305D8">
        <w:rPr>
          <w:sz w:val="22"/>
          <w:szCs w:val="22"/>
        </w:rPr>
        <w:tab/>
        <w:t xml:space="preserve">Para que la UIT pueda adoptar las disposiciones necesarias en relación con la organización del Simposio, le agradecería que se inscribiese a la mayor brevedad posible utilizando el </w:t>
      </w:r>
      <w:hyperlink r:id="rId12" w:history="1">
        <w:r w:rsidRPr="006305D8">
          <w:rPr>
            <w:rStyle w:val="Hyperlink"/>
            <w:sz w:val="22"/>
            <w:szCs w:val="22"/>
          </w:rPr>
          <w:t>formulario en línea</w:t>
        </w:r>
      </w:hyperlink>
      <w:r w:rsidRPr="006305D8">
        <w:rPr>
          <w:sz w:val="22"/>
          <w:szCs w:val="22"/>
        </w:rPr>
        <w:t xml:space="preserve">, y a más tardar el </w:t>
      </w:r>
      <w:r w:rsidRPr="006305D8">
        <w:rPr>
          <w:b/>
          <w:bCs/>
          <w:sz w:val="22"/>
          <w:szCs w:val="22"/>
        </w:rPr>
        <w:t>30 de abril de 2024</w:t>
      </w:r>
      <w:r w:rsidRPr="006305D8">
        <w:rPr>
          <w:sz w:val="22"/>
          <w:szCs w:val="22"/>
        </w:rPr>
        <w:t>.</w:t>
      </w:r>
      <w:r w:rsidR="00DF6BA3" w:rsidRPr="006305D8">
        <w:rPr>
          <w:sz w:val="22"/>
          <w:szCs w:val="22"/>
        </w:rPr>
        <w:br/>
      </w:r>
      <w:r w:rsidRPr="006305D8">
        <w:rPr>
          <w:b/>
          <w:bCs/>
          <w:sz w:val="22"/>
          <w:szCs w:val="22"/>
        </w:rPr>
        <w:t xml:space="preserve">Le ruego que tenga presente que la preinscripción de los participantes en el Simposio es obligatoria y se lleva a cabo exclusivamente </w:t>
      </w:r>
      <w:r w:rsidRPr="006305D8">
        <w:rPr>
          <w:b/>
          <w:bCs/>
          <w:i/>
          <w:iCs/>
          <w:sz w:val="22"/>
          <w:szCs w:val="22"/>
        </w:rPr>
        <w:t>en línea</w:t>
      </w:r>
      <w:r w:rsidRPr="006305D8">
        <w:rPr>
          <w:b/>
          <w:bCs/>
          <w:sz w:val="22"/>
          <w:szCs w:val="22"/>
        </w:rPr>
        <w:t>.</w:t>
      </w:r>
    </w:p>
    <w:p w14:paraId="2EBB1A65" w14:textId="115DD626" w:rsidR="007B6316" w:rsidRPr="006305D8" w:rsidRDefault="00B36A9E" w:rsidP="00A41674">
      <w:pPr>
        <w:keepNext/>
        <w:keepLines/>
        <w:rPr>
          <w:sz w:val="22"/>
          <w:szCs w:val="22"/>
        </w:rPr>
      </w:pPr>
      <w:r w:rsidRPr="006305D8">
        <w:rPr>
          <w:sz w:val="22"/>
          <w:szCs w:val="22"/>
        </w:rPr>
        <w:t>8</w:t>
      </w:r>
      <w:r w:rsidRPr="006305D8">
        <w:rPr>
          <w:sz w:val="22"/>
          <w:szCs w:val="22"/>
        </w:rPr>
        <w:tab/>
      </w:r>
      <w:proofErr w:type="gramStart"/>
      <w:r w:rsidRPr="006305D8">
        <w:rPr>
          <w:sz w:val="22"/>
          <w:szCs w:val="22"/>
        </w:rPr>
        <w:t>Le</w:t>
      </w:r>
      <w:proofErr w:type="gramEnd"/>
      <w:r w:rsidRPr="006305D8">
        <w:rPr>
          <w:sz w:val="22"/>
          <w:szCs w:val="22"/>
        </w:rPr>
        <w:t xml:space="preserve"> recordamos que los ciudadanos de algunos países necesitan obtener un visado para entrar y permanecer en Burkina Faso. El visado debe solicitarse y obtenerse en la oficina (embajada o consulado) que representa a Burkina Faso en su país o, en su defecto, en la más próxima a su país de partida. Las solicitudes de ayuda para la obtención de visados deberán enviarse directamente al anfitrión de la reunión. Se facilitarán instrucciones adicionales sobre la ayuda para la obtención de visados y otros datos pertinentes en materia de logística en el documento titulado "</w:t>
      </w:r>
      <w:r w:rsidRPr="006305D8">
        <w:rPr>
          <w:b/>
          <w:bCs/>
          <w:sz w:val="22"/>
          <w:szCs w:val="22"/>
        </w:rPr>
        <w:t>Información práctica</w:t>
      </w:r>
      <w:r w:rsidRPr="006305D8">
        <w:rPr>
          <w:sz w:val="22"/>
          <w:szCs w:val="22"/>
        </w:rPr>
        <w:t>", que se publicará en el sitio web del evento.</w:t>
      </w:r>
    </w:p>
    <w:p w14:paraId="528B6312" w14:textId="77777777" w:rsidR="007B6316" w:rsidRPr="006305D8" w:rsidRDefault="007B6316" w:rsidP="00A41674">
      <w:pPr>
        <w:keepNext/>
        <w:keepLines/>
        <w:spacing w:before="360"/>
        <w:rPr>
          <w:sz w:val="22"/>
          <w:szCs w:val="22"/>
        </w:rPr>
      </w:pPr>
      <w:r w:rsidRPr="006305D8">
        <w:rPr>
          <w:sz w:val="22"/>
          <w:szCs w:val="22"/>
        </w:rPr>
        <w:t>Atentamente,</w:t>
      </w:r>
    </w:p>
    <w:p w14:paraId="486499A2" w14:textId="77777777" w:rsidR="007B6316" w:rsidRPr="006305D8" w:rsidRDefault="007B6316" w:rsidP="00A41674">
      <w:pPr>
        <w:keepNext/>
        <w:keepLines/>
        <w:spacing w:before="480" w:line="480" w:lineRule="auto"/>
        <w:rPr>
          <w:sz w:val="22"/>
          <w:szCs w:val="22"/>
        </w:rPr>
      </w:pPr>
      <w:r w:rsidRPr="006305D8">
        <w:rPr>
          <w:i/>
          <w:iCs/>
          <w:sz w:val="22"/>
          <w:szCs w:val="22"/>
        </w:rPr>
        <w:t>(firmado)</w:t>
      </w:r>
    </w:p>
    <w:p w14:paraId="3BCE2A90" w14:textId="6F42598F" w:rsidR="00401C20" w:rsidRPr="006305D8" w:rsidRDefault="001350B9" w:rsidP="00A41674">
      <w:pPr>
        <w:keepNext/>
        <w:keepLines/>
        <w:spacing w:before="360"/>
        <w:rPr>
          <w:sz w:val="22"/>
          <w:szCs w:val="22"/>
        </w:rPr>
      </w:pPr>
      <w:r w:rsidRPr="006305D8">
        <w:rPr>
          <w:rFonts w:cstheme="minorHAnsi"/>
          <w:sz w:val="22"/>
          <w:szCs w:val="22"/>
        </w:rPr>
        <w:t>Seizo Onoe</w:t>
      </w:r>
      <w:r w:rsidR="007B6316" w:rsidRPr="006305D8">
        <w:rPr>
          <w:sz w:val="22"/>
          <w:szCs w:val="22"/>
        </w:rPr>
        <w:br/>
      </w:r>
      <w:proofErr w:type="gramStart"/>
      <w:r w:rsidR="007B6316" w:rsidRPr="006305D8">
        <w:rPr>
          <w:sz w:val="22"/>
          <w:szCs w:val="22"/>
        </w:rPr>
        <w:t>Director</w:t>
      </w:r>
      <w:proofErr w:type="gramEnd"/>
      <w:r w:rsidR="007B6316" w:rsidRPr="006305D8">
        <w:rPr>
          <w:sz w:val="22"/>
          <w:szCs w:val="22"/>
        </w:rPr>
        <w:t xml:space="preserve"> de la Oficina de </w:t>
      </w:r>
      <w:r w:rsidR="007B6316" w:rsidRPr="006305D8">
        <w:rPr>
          <w:sz w:val="22"/>
          <w:szCs w:val="22"/>
        </w:rPr>
        <w:br/>
        <w:t>Normalización de las Telecomunicaciones</w:t>
      </w:r>
    </w:p>
    <w:sectPr w:rsidR="00401C20" w:rsidRPr="006305D8"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1368" w14:textId="77777777" w:rsidR="002239E1" w:rsidRDefault="002239E1">
      <w:r>
        <w:separator/>
      </w:r>
    </w:p>
  </w:endnote>
  <w:endnote w:type="continuationSeparator" w:id="0">
    <w:p w14:paraId="655B29C9" w14:textId="77777777" w:rsidR="002239E1" w:rsidRDefault="0022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15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1837" w14:textId="77777777" w:rsidR="002239E1" w:rsidRDefault="002239E1">
      <w:r>
        <w:t>____________________</w:t>
      </w:r>
    </w:p>
  </w:footnote>
  <w:footnote w:type="continuationSeparator" w:id="0">
    <w:p w14:paraId="5730019E" w14:textId="77777777" w:rsidR="002239E1" w:rsidRDefault="0022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E3E8" w14:textId="6BBD8A53"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E66D9D">
      <w:rPr>
        <w:rStyle w:val="PageNumber"/>
        <w:sz w:val="18"/>
        <w:szCs w:val="18"/>
      </w:rPr>
      <w:t>–</w:t>
    </w:r>
  </w:p>
  <w:p w14:paraId="09801F56" w14:textId="1483D788" w:rsidR="00E66D9D" w:rsidRPr="00303D62" w:rsidRDefault="00E66D9D">
    <w:pPr>
      <w:pStyle w:val="Header"/>
      <w:rPr>
        <w:sz w:val="18"/>
        <w:szCs w:val="18"/>
      </w:rPr>
    </w:pPr>
    <w:r w:rsidRPr="00A65300">
      <w:rPr>
        <w:noProof/>
        <w:sz w:val="18"/>
        <w:szCs w:val="18"/>
      </w:rPr>
      <w:t xml:space="preserve">TSB Circular </w:t>
    </w:r>
    <w:r w:rsidRPr="00A65300">
      <w:rPr>
        <w:sz w:val="18"/>
        <w:szCs w:val="18"/>
      </w:rPr>
      <w:t>19</w:t>
    </w:r>
    <w:r>
      <w:rPr>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C"/>
    <w:rsid w:val="00002529"/>
    <w:rsid w:val="00085662"/>
    <w:rsid w:val="000C382F"/>
    <w:rsid w:val="001173CC"/>
    <w:rsid w:val="001350B9"/>
    <w:rsid w:val="0014464D"/>
    <w:rsid w:val="001A54CC"/>
    <w:rsid w:val="001D39BE"/>
    <w:rsid w:val="002239E1"/>
    <w:rsid w:val="0023796F"/>
    <w:rsid w:val="00257FB4"/>
    <w:rsid w:val="00284DBE"/>
    <w:rsid w:val="002E496E"/>
    <w:rsid w:val="00303D62"/>
    <w:rsid w:val="00335367"/>
    <w:rsid w:val="00370C2D"/>
    <w:rsid w:val="003D1E8D"/>
    <w:rsid w:val="003D673B"/>
    <w:rsid w:val="003F2855"/>
    <w:rsid w:val="00401C20"/>
    <w:rsid w:val="004A7957"/>
    <w:rsid w:val="004C4144"/>
    <w:rsid w:val="0055719E"/>
    <w:rsid w:val="006305D8"/>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230F7"/>
    <w:rsid w:val="0095172A"/>
    <w:rsid w:val="009A0BA0"/>
    <w:rsid w:val="009D347C"/>
    <w:rsid w:val="00A41674"/>
    <w:rsid w:val="00A45273"/>
    <w:rsid w:val="00A54E47"/>
    <w:rsid w:val="00AB6E3A"/>
    <w:rsid w:val="00AE7093"/>
    <w:rsid w:val="00B36A9E"/>
    <w:rsid w:val="00B422BC"/>
    <w:rsid w:val="00B43F77"/>
    <w:rsid w:val="00B471C0"/>
    <w:rsid w:val="00B55A3E"/>
    <w:rsid w:val="00B87E9E"/>
    <w:rsid w:val="00B95F0A"/>
    <w:rsid w:val="00B96180"/>
    <w:rsid w:val="00C116FE"/>
    <w:rsid w:val="00C17AC0"/>
    <w:rsid w:val="00C34772"/>
    <w:rsid w:val="00C5465A"/>
    <w:rsid w:val="00C72E2B"/>
    <w:rsid w:val="00CE2D46"/>
    <w:rsid w:val="00D54642"/>
    <w:rsid w:val="00D834E7"/>
    <w:rsid w:val="00DD77C9"/>
    <w:rsid w:val="00DF3538"/>
    <w:rsid w:val="00DF6BA3"/>
    <w:rsid w:val="00E66D9D"/>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35C3D"/>
  <w15:docId w15:val="{B579D913-7642-46F9-93CC-0F513C3C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D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Login.aspx?src=Registration&amp;Event=C-000139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2405/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regionalgroups/sg05-afr/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6339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Marin Matas, Juan Gabriel</dc:creator>
  <cp:lastModifiedBy>Maguire, Mairéad</cp:lastModifiedBy>
  <cp:revision>2</cp:revision>
  <cp:lastPrinted>2011-04-15T08:24:00Z</cp:lastPrinted>
  <dcterms:created xsi:type="dcterms:W3CDTF">2024-04-16T08:27:00Z</dcterms:created>
  <dcterms:modified xsi:type="dcterms:W3CDTF">2024-04-16T08:27:00Z</dcterms:modified>
</cp:coreProperties>
</file>