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6"/>
        <w:gridCol w:w="5044"/>
      </w:tblGrid>
      <w:tr w:rsidR="00EF6A23" w:rsidRPr="00233CF1" w14:paraId="3FDAE1F3" w14:textId="77777777" w:rsidTr="003F083D">
        <w:trPr>
          <w:cantSplit/>
        </w:trPr>
        <w:tc>
          <w:tcPr>
            <w:tcW w:w="0" w:type="auto"/>
            <w:vAlign w:val="center"/>
          </w:tcPr>
          <w:p w14:paraId="3DE42CAA" w14:textId="77777777" w:rsidR="00EF6A23" w:rsidRPr="00233CF1" w:rsidRDefault="00EF6A23" w:rsidP="00D14F31">
            <w:pPr>
              <w:tabs>
                <w:tab w:val="right" w:pos="8732"/>
              </w:tabs>
              <w:spacing w:before="0"/>
              <w:rPr>
                <w:b/>
                <w:bCs/>
                <w:iCs/>
                <w:color w:val="FFFFFF"/>
                <w:sz w:val="30"/>
                <w:szCs w:val="30"/>
              </w:rPr>
            </w:pPr>
            <w:r w:rsidRPr="00233CF1">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233CF1" w:rsidRDefault="00EF6A23" w:rsidP="00EF6A23">
            <w:pPr>
              <w:spacing w:before="0"/>
              <w:rPr>
                <w:rFonts w:cs="Times New Roman Bold"/>
                <w:b/>
                <w:bCs/>
                <w:iCs/>
                <w:smallCaps/>
                <w:sz w:val="34"/>
                <w:szCs w:val="34"/>
              </w:rPr>
            </w:pPr>
            <w:r w:rsidRPr="00233CF1">
              <w:rPr>
                <w:rFonts w:cs="Times New Roman Bold"/>
                <w:b/>
                <w:bCs/>
                <w:iCs/>
                <w:smallCaps/>
                <w:sz w:val="34"/>
                <w:szCs w:val="34"/>
              </w:rPr>
              <w:t>Union internationale des télécommunications</w:t>
            </w:r>
          </w:p>
          <w:p w14:paraId="089E66D0" w14:textId="77777777" w:rsidR="00EF6A23" w:rsidRPr="00233CF1" w:rsidRDefault="00EF6A23" w:rsidP="00EF6A23">
            <w:pPr>
              <w:spacing w:before="0"/>
              <w:rPr>
                <w:color w:val="FFFFFF"/>
                <w:sz w:val="26"/>
                <w:szCs w:val="26"/>
              </w:rPr>
            </w:pPr>
            <w:r w:rsidRPr="00233CF1">
              <w:rPr>
                <w:rFonts w:cs="Times New Roman Bold"/>
                <w:b/>
                <w:bCs/>
                <w:iCs/>
                <w:smallCaps/>
                <w:sz w:val="28"/>
                <w:szCs w:val="28"/>
              </w:rPr>
              <w:t>B</w:t>
            </w:r>
            <w:r w:rsidRPr="00233CF1">
              <w:rPr>
                <w:b/>
                <w:bCs/>
                <w:iCs/>
                <w:smallCaps/>
                <w:sz w:val="28"/>
                <w:szCs w:val="28"/>
              </w:rPr>
              <w:t>ureau de la Normalisation des Télécommunications</w:t>
            </w:r>
          </w:p>
        </w:tc>
      </w:tr>
      <w:tr w:rsidR="00036F4F" w:rsidRPr="00233CF1" w14:paraId="18B25741" w14:textId="77777777" w:rsidTr="00307FB4">
        <w:trPr>
          <w:cantSplit/>
        </w:trPr>
        <w:tc>
          <w:tcPr>
            <w:tcW w:w="0" w:type="auto"/>
          </w:tcPr>
          <w:p w14:paraId="4B1AFD72" w14:textId="77777777" w:rsidR="00036F4F" w:rsidRPr="005B7ACE" w:rsidRDefault="00036F4F" w:rsidP="00A5280F">
            <w:pPr>
              <w:tabs>
                <w:tab w:val="left" w:pos="4111"/>
              </w:tabs>
              <w:spacing w:before="10"/>
              <w:ind w:left="57"/>
              <w:rPr>
                <w:sz w:val="22"/>
                <w:szCs w:val="22"/>
              </w:rPr>
            </w:pPr>
          </w:p>
        </w:tc>
        <w:tc>
          <w:tcPr>
            <w:tcW w:w="3399" w:type="dxa"/>
          </w:tcPr>
          <w:p w14:paraId="6579D3E8" w14:textId="77777777" w:rsidR="00036F4F" w:rsidRPr="005B7ACE" w:rsidRDefault="00036F4F" w:rsidP="00A5280F">
            <w:pPr>
              <w:tabs>
                <w:tab w:val="left" w:pos="4111"/>
              </w:tabs>
              <w:spacing w:before="10"/>
              <w:ind w:left="57"/>
              <w:rPr>
                <w:b/>
                <w:sz w:val="22"/>
                <w:szCs w:val="22"/>
              </w:rPr>
            </w:pPr>
          </w:p>
        </w:tc>
        <w:tc>
          <w:tcPr>
            <w:tcW w:w="5051" w:type="dxa"/>
          </w:tcPr>
          <w:p w14:paraId="0DC34ECA" w14:textId="0D665C16" w:rsidR="00036F4F" w:rsidRPr="005B7ACE" w:rsidRDefault="00036F4F" w:rsidP="00A5645A">
            <w:pPr>
              <w:tabs>
                <w:tab w:val="clear" w:pos="794"/>
                <w:tab w:val="clear" w:pos="1191"/>
                <w:tab w:val="clear" w:pos="1588"/>
                <w:tab w:val="clear" w:pos="1985"/>
                <w:tab w:val="left" w:pos="284"/>
              </w:tabs>
              <w:spacing w:after="120"/>
              <w:ind w:left="284" w:hanging="227"/>
              <w:rPr>
                <w:sz w:val="22"/>
                <w:szCs w:val="22"/>
              </w:rPr>
            </w:pPr>
            <w:r w:rsidRPr="005B7ACE">
              <w:rPr>
                <w:sz w:val="22"/>
                <w:szCs w:val="22"/>
              </w:rPr>
              <w:t>Genève, le</w:t>
            </w:r>
            <w:r w:rsidR="004419E9" w:rsidRPr="005B7ACE">
              <w:rPr>
                <w:sz w:val="22"/>
                <w:szCs w:val="22"/>
              </w:rPr>
              <w:t xml:space="preserve"> </w:t>
            </w:r>
            <w:r w:rsidR="00C821B4" w:rsidRPr="005B7ACE">
              <w:rPr>
                <w:sz w:val="22"/>
                <w:szCs w:val="22"/>
              </w:rPr>
              <w:t>9 avril 2024</w:t>
            </w:r>
          </w:p>
        </w:tc>
      </w:tr>
      <w:tr w:rsidR="00445B68" w:rsidRPr="00233CF1" w14:paraId="16CDDFEF" w14:textId="77777777" w:rsidTr="00307FB4">
        <w:trPr>
          <w:cantSplit/>
          <w:trHeight w:val="340"/>
        </w:trPr>
        <w:tc>
          <w:tcPr>
            <w:tcW w:w="0" w:type="auto"/>
          </w:tcPr>
          <w:p w14:paraId="3EFF375D" w14:textId="58556577" w:rsidR="00445B68" w:rsidRPr="005B7ACE" w:rsidRDefault="00445B68" w:rsidP="00307FB4">
            <w:pPr>
              <w:tabs>
                <w:tab w:val="left" w:pos="4111"/>
              </w:tabs>
              <w:spacing w:before="10"/>
              <w:ind w:left="57"/>
              <w:rPr>
                <w:b/>
                <w:bCs/>
                <w:sz w:val="22"/>
                <w:szCs w:val="22"/>
              </w:rPr>
            </w:pPr>
            <w:r w:rsidRPr="005B7ACE">
              <w:rPr>
                <w:b/>
                <w:bCs/>
                <w:sz w:val="22"/>
                <w:szCs w:val="22"/>
              </w:rPr>
              <w:t>Réf.:</w:t>
            </w:r>
          </w:p>
        </w:tc>
        <w:tc>
          <w:tcPr>
            <w:tcW w:w="3399" w:type="dxa"/>
          </w:tcPr>
          <w:p w14:paraId="577F6DA2" w14:textId="285B9CC0" w:rsidR="00445B68" w:rsidRPr="005B7ACE" w:rsidRDefault="00445B68" w:rsidP="00307FB4">
            <w:pPr>
              <w:tabs>
                <w:tab w:val="left" w:pos="4111"/>
              </w:tabs>
              <w:spacing w:before="10"/>
              <w:ind w:left="57"/>
              <w:rPr>
                <w:b/>
                <w:sz w:val="22"/>
                <w:szCs w:val="22"/>
              </w:rPr>
            </w:pPr>
            <w:r w:rsidRPr="005B7ACE">
              <w:rPr>
                <w:b/>
                <w:sz w:val="22"/>
                <w:szCs w:val="22"/>
              </w:rPr>
              <w:t xml:space="preserve">Circulaire TSB </w:t>
            </w:r>
            <w:r w:rsidR="00C821B4" w:rsidRPr="005B7ACE">
              <w:rPr>
                <w:b/>
                <w:sz w:val="22"/>
                <w:szCs w:val="22"/>
              </w:rPr>
              <w:t>198</w:t>
            </w:r>
          </w:p>
        </w:tc>
        <w:tc>
          <w:tcPr>
            <w:tcW w:w="5051" w:type="dxa"/>
            <w:vMerge w:val="restart"/>
          </w:tcPr>
          <w:p w14:paraId="56FFB697" w14:textId="77777777" w:rsidR="00307FB4" w:rsidRPr="005B7ACE" w:rsidRDefault="00307FB4" w:rsidP="00307FB4">
            <w:pPr>
              <w:tabs>
                <w:tab w:val="left" w:pos="226"/>
                <w:tab w:val="left" w:pos="4111"/>
              </w:tabs>
              <w:spacing w:before="0"/>
              <w:ind w:left="226" w:hanging="226"/>
              <w:rPr>
                <w:b/>
                <w:bCs/>
                <w:sz w:val="22"/>
                <w:szCs w:val="22"/>
              </w:rPr>
            </w:pPr>
            <w:bookmarkStart w:id="0" w:name="Addressee_F"/>
            <w:bookmarkEnd w:id="0"/>
            <w:r w:rsidRPr="005B7ACE">
              <w:rPr>
                <w:b/>
                <w:bCs/>
                <w:sz w:val="22"/>
                <w:szCs w:val="22"/>
              </w:rPr>
              <w:t>Aux:</w:t>
            </w:r>
          </w:p>
          <w:p w14:paraId="35271D8E" w14:textId="5F7F3A7D" w:rsidR="00307FB4" w:rsidRPr="005B7ACE" w:rsidRDefault="00307FB4" w:rsidP="00307FB4">
            <w:pPr>
              <w:tabs>
                <w:tab w:val="left" w:pos="4111"/>
              </w:tabs>
              <w:spacing w:before="0"/>
              <w:ind w:left="426" w:hanging="426"/>
              <w:rPr>
                <w:sz w:val="22"/>
                <w:szCs w:val="22"/>
              </w:rPr>
            </w:pPr>
            <w:r w:rsidRPr="005B7ACE">
              <w:rPr>
                <w:sz w:val="22"/>
                <w:szCs w:val="22"/>
              </w:rPr>
              <w:t>–</w:t>
            </w:r>
            <w:r w:rsidRPr="005B7ACE">
              <w:rPr>
                <w:sz w:val="22"/>
                <w:szCs w:val="22"/>
              </w:rPr>
              <w:tab/>
              <w:t>Administrations des États Membres de l</w:t>
            </w:r>
            <w:r w:rsidR="00233CF1" w:rsidRPr="005B7ACE">
              <w:rPr>
                <w:sz w:val="22"/>
                <w:szCs w:val="22"/>
              </w:rPr>
              <w:t>'</w:t>
            </w:r>
            <w:r w:rsidRPr="005B7ACE">
              <w:rPr>
                <w:sz w:val="22"/>
                <w:szCs w:val="22"/>
              </w:rPr>
              <w:t>Union;</w:t>
            </w:r>
          </w:p>
          <w:p w14:paraId="38A5A6AE" w14:textId="56AB99AB" w:rsidR="00307FB4" w:rsidRPr="005B7ACE" w:rsidRDefault="00307FB4" w:rsidP="00307FB4">
            <w:pPr>
              <w:tabs>
                <w:tab w:val="left" w:pos="4111"/>
              </w:tabs>
              <w:spacing w:before="0"/>
              <w:ind w:left="426" w:hanging="426"/>
              <w:rPr>
                <w:sz w:val="22"/>
                <w:szCs w:val="22"/>
              </w:rPr>
            </w:pPr>
            <w:r w:rsidRPr="005B7ACE">
              <w:rPr>
                <w:sz w:val="22"/>
                <w:szCs w:val="22"/>
              </w:rPr>
              <w:t>–</w:t>
            </w:r>
            <w:r w:rsidRPr="005B7ACE">
              <w:rPr>
                <w:sz w:val="22"/>
                <w:szCs w:val="22"/>
              </w:rPr>
              <w:tab/>
              <w:t>Membres du Secteur de l</w:t>
            </w:r>
            <w:r w:rsidR="00233CF1" w:rsidRPr="005B7ACE">
              <w:rPr>
                <w:sz w:val="22"/>
                <w:szCs w:val="22"/>
              </w:rPr>
              <w:t>'</w:t>
            </w:r>
            <w:r w:rsidRPr="005B7ACE">
              <w:rPr>
                <w:sz w:val="22"/>
                <w:szCs w:val="22"/>
              </w:rPr>
              <w:t>UIT-T;</w:t>
            </w:r>
          </w:p>
          <w:p w14:paraId="45F82FBC" w14:textId="12DD1904" w:rsidR="00307FB4" w:rsidRPr="005B7ACE" w:rsidRDefault="00307FB4" w:rsidP="00307FB4">
            <w:pPr>
              <w:tabs>
                <w:tab w:val="left" w:pos="4111"/>
              </w:tabs>
              <w:spacing w:before="0"/>
              <w:ind w:left="426" w:hanging="426"/>
              <w:rPr>
                <w:sz w:val="22"/>
                <w:szCs w:val="22"/>
              </w:rPr>
            </w:pPr>
            <w:r w:rsidRPr="005B7ACE">
              <w:rPr>
                <w:sz w:val="22"/>
                <w:szCs w:val="22"/>
              </w:rPr>
              <w:t>–</w:t>
            </w:r>
            <w:r w:rsidRPr="005B7ACE">
              <w:rPr>
                <w:sz w:val="22"/>
                <w:szCs w:val="22"/>
              </w:rPr>
              <w:tab/>
              <w:t>Associés de l</w:t>
            </w:r>
            <w:r w:rsidR="00233CF1" w:rsidRPr="005B7ACE">
              <w:rPr>
                <w:sz w:val="22"/>
                <w:szCs w:val="22"/>
              </w:rPr>
              <w:t>'</w:t>
            </w:r>
            <w:r w:rsidRPr="005B7ACE">
              <w:rPr>
                <w:sz w:val="22"/>
                <w:szCs w:val="22"/>
              </w:rPr>
              <w:t>UIT-T;</w:t>
            </w:r>
          </w:p>
          <w:p w14:paraId="461460AE" w14:textId="1A57D944" w:rsidR="00445B68" w:rsidRPr="005B7ACE" w:rsidRDefault="00307FB4" w:rsidP="00307FB4">
            <w:pPr>
              <w:tabs>
                <w:tab w:val="left" w:pos="4111"/>
              </w:tabs>
              <w:spacing w:before="0"/>
              <w:ind w:left="426" w:hanging="426"/>
              <w:rPr>
                <w:sz w:val="22"/>
                <w:szCs w:val="22"/>
              </w:rPr>
            </w:pPr>
            <w:r w:rsidRPr="005B7ACE">
              <w:rPr>
                <w:sz w:val="22"/>
                <w:szCs w:val="22"/>
              </w:rPr>
              <w:t>–</w:t>
            </w:r>
            <w:r w:rsidRPr="005B7ACE">
              <w:rPr>
                <w:sz w:val="22"/>
                <w:szCs w:val="22"/>
              </w:rPr>
              <w:tab/>
              <w:t>Établissements universitaires participant aux travaux de l</w:t>
            </w:r>
            <w:r w:rsidR="00233CF1" w:rsidRPr="005B7ACE">
              <w:rPr>
                <w:sz w:val="22"/>
                <w:szCs w:val="22"/>
              </w:rPr>
              <w:t>'</w:t>
            </w:r>
            <w:r w:rsidRPr="005B7ACE">
              <w:rPr>
                <w:sz w:val="22"/>
                <w:szCs w:val="22"/>
              </w:rPr>
              <w:t>UIT</w:t>
            </w:r>
          </w:p>
        </w:tc>
      </w:tr>
      <w:tr w:rsidR="00307FB4" w:rsidRPr="00233CF1" w14:paraId="06A3F0E7" w14:textId="77777777" w:rsidTr="00307FB4">
        <w:trPr>
          <w:cantSplit/>
          <w:trHeight w:val="340"/>
        </w:trPr>
        <w:tc>
          <w:tcPr>
            <w:tcW w:w="0" w:type="auto"/>
          </w:tcPr>
          <w:p w14:paraId="5CF43A7B" w14:textId="3933CF6D" w:rsidR="00307FB4" w:rsidRPr="005B7ACE" w:rsidRDefault="00307FB4" w:rsidP="00A5280F">
            <w:pPr>
              <w:tabs>
                <w:tab w:val="left" w:pos="4111"/>
              </w:tabs>
              <w:spacing w:before="10"/>
              <w:ind w:left="57"/>
              <w:rPr>
                <w:b/>
                <w:bCs/>
                <w:sz w:val="22"/>
                <w:szCs w:val="22"/>
              </w:rPr>
            </w:pPr>
            <w:r w:rsidRPr="005B7ACE">
              <w:rPr>
                <w:b/>
                <w:bCs/>
                <w:sz w:val="22"/>
                <w:szCs w:val="22"/>
              </w:rPr>
              <w:t>Contact:</w:t>
            </w:r>
          </w:p>
        </w:tc>
        <w:tc>
          <w:tcPr>
            <w:tcW w:w="3399" w:type="dxa"/>
          </w:tcPr>
          <w:p w14:paraId="2074781F" w14:textId="4B1896C4" w:rsidR="00307FB4" w:rsidRPr="005B7ACE" w:rsidRDefault="00C821B4" w:rsidP="00A5280F">
            <w:pPr>
              <w:tabs>
                <w:tab w:val="left" w:pos="4111"/>
              </w:tabs>
              <w:spacing w:before="10"/>
              <w:ind w:left="57"/>
              <w:rPr>
                <w:b/>
                <w:sz w:val="22"/>
                <w:szCs w:val="22"/>
              </w:rPr>
            </w:pPr>
            <w:r w:rsidRPr="005B7ACE">
              <w:rPr>
                <w:b/>
                <w:bCs/>
                <w:sz w:val="22"/>
                <w:szCs w:val="22"/>
              </w:rPr>
              <w:t>Reyna Ubeda</w:t>
            </w:r>
          </w:p>
        </w:tc>
        <w:tc>
          <w:tcPr>
            <w:tcW w:w="5051" w:type="dxa"/>
            <w:vMerge/>
          </w:tcPr>
          <w:p w14:paraId="2F310545" w14:textId="77777777" w:rsidR="00307FB4" w:rsidRPr="005B7ACE"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233CF1" w14:paraId="724FD23E" w14:textId="77777777" w:rsidTr="00307FB4">
        <w:trPr>
          <w:cantSplit/>
        </w:trPr>
        <w:tc>
          <w:tcPr>
            <w:tcW w:w="0" w:type="auto"/>
          </w:tcPr>
          <w:p w14:paraId="73149CCD" w14:textId="77777777" w:rsidR="00445B68" w:rsidRPr="005B7ACE" w:rsidRDefault="00445B68" w:rsidP="00A5280F">
            <w:pPr>
              <w:tabs>
                <w:tab w:val="left" w:pos="4111"/>
              </w:tabs>
              <w:spacing w:before="10"/>
              <w:ind w:left="57"/>
              <w:rPr>
                <w:b/>
                <w:bCs/>
                <w:sz w:val="22"/>
                <w:szCs w:val="22"/>
              </w:rPr>
            </w:pPr>
            <w:r w:rsidRPr="005B7ACE">
              <w:rPr>
                <w:b/>
                <w:bCs/>
                <w:sz w:val="22"/>
                <w:szCs w:val="22"/>
              </w:rPr>
              <w:t>Tél.:</w:t>
            </w:r>
          </w:p>
        </w:tc>
        <w:tc>
          <w:tcPr>
            <w:tcW w:w="3399" w:type="dxa"/>
          </w:tcPr>
          <w:p w14:paraId="78D06186" w14:textId="494D52DA" w:rsidR="00445B68" w:rsidRPr="005B7ACE" w:rsidRDefault="00445B68" w:rsidP="00A5280F">
            <w:pPr>
              <w:tabs>
                <w:tab w:val="left" w:pos="4111"/>
              </w:tabs>
              <w:spacing w:before="0"/>
              <w:ind w:left="57"/>
              <w:rPr>
                <w:sz w:val="22"/>
                <w:szCs w:val="22"/>
              </w:rPr>
            </w:pPr>
            <w:r w:rsidRPr="005B7ACE">
              <w:rPr>
                <w:sz w:val="22"/>
                <w:szCs w:val="22"/>
              </w:rPr>
              <w:t>+41 22 730</w:t>
            </w:r>
            <w:r w:rsidR="00C821B4" w:rsidRPr="005B7ACE">
              <w:rPr>
                <w:rFonts w:cs="Calibri"/>
                <w:sz w:val="22"/>
                <w:szCs w:val="22"/>
              </w:rPr>
              <w:t xml:space="preserve"> 5356</w:t>
            </w:r>
          </w:p>
        </w:tc>
        <w:tc>
          <w:tcPr>
            <w:tcW w:w="5051" w:type="dxa"/>
            <w:vMerge/>
          </w:tcPr>
          <w:p w14:paraId="6D3A5806" w14:textId="77777777" w:rsidR="00445B68" w:rsidRPr="005B7ACE" w:rsidRDefault="00445B68" w:rsidP="00A5280F">
            <w:pPr>
              <w:tabs>
                <w:tab w:val="left" w:pos="226"/>
                <w:tab w:val="left" w:pos="4111"/>
              </w:tabs>
              <w:spacing w:before="0"/>
              <w:ind w:left="226" w:hanging="226"/>
              <w:rPr>
                <w:b/>
                <w:sz w:val="22"/>
                <w:szCs w:val="22"/>
              </w:rPr>
            </w:pPr>
          </w:p>
        </w:tc>
      </w:tr>
      <w:tr w:rsidR="00307FB4" w:rsidRPr="00233CF1" w14:paraId="030F9AE5" w14:textId="77777777" w:rsidTr="00E75269">
        <w:trPr>
          <w:cantSplit/>
          <w:trHeight w:val="586"/>
        </w:trPr>
        <w:tc>
          <w:tcPr>
            <w:tcW w:w="0" w:type="auto"/>
          </w:tcPr>
          <w:p w14:paraId="7B417C4C" w14:textId="77777777" w:rsidR="00307FB4" w:rsidRPr="005B7ACE" w:rsidRDefault="00307FB4" w:rsidP="00A5280F">
            <w:pPr>
              <w:tabs>
                <w:tab w:val="left" w:pos="4111"/>
              </w:tabs>
              <w:spacing w:before="10"/>
              <w:ind w:left="57"/>
              <w:rPr>
                <w:b/>
                <w:bCs/>
                <w:sz w:val="22"/>
                <w:szCs w:val="22"/>
              </w:rPr>
            </w:pPr>
            <w:r w:rsidRPr="005B7ACE">
              <w:rPr>
                <w:b/>
                <w:bCs/>
                <w:sz w:val="22"/>
                <w:szCs w:val="22"/>
              </w:rPr>
              <w:t>Télécopie:</w:t>
            </w:r>
          </w:p>
        </w:tc>
        <w:tc>
          <w:tcPr>
            <w:tcW w:w="3399" w:type="dxa"/>
          </w:tcPr>
          <w:p w14:paraId="1A4A5F7B" w14:textId="77777777" w:rsidR="00307FB4" w:rsidRPr="005B7ACE" w:rsidRDefault="00307FB4" w:rsidP="00A5280F">
            <w:pPr>
              <w:tabs>
                <w:tab w:val="left" w:pos="4111"/>
              </w:tabs>
              <w:spacing w:before="0"/>
              <w:ind w:left="57"/>
              <w:rPr>
                <w:sz w:val="22"/>
                <w:szCs w:val="22"/>
              </w:rPr>
            </w:pPr>
            <w:r w:rsidRPr="005B7ACE">
              <w:rPr>
                <w:sz w:val="22"/>
                <w:szCs w:val="22"/>
              </w:rPr>
              <w:t>+41 22 730 5853</w:t>
            </w:r>
          </w:p>
        </w:tc>
        <w:tc>
          <w:tcPr>
            <w:tcW w:w="5051" w:type="dxa"/>
            <w:vMerge/>
          </w:tcPr>
          <w:p w14:paraId="323DAC81" w14:textId="77777777" w:rsidR="00307FB4" w:rsidRPr="005B7ACE" w:rsidRDefault="00307FB4" w:rsidP="00A5280F">
            <w:pPr>
              <w:tabs>
                <w:tab w:val="left" w:pos="226"/>
                <w:tab w:val="left" w:pos="4111"/>
              </w:tabs>
              <w:spacing w:before="0"/>
              <w:ind w:left="226" w:hanging="226"/>
              <w:rPr>
                <w:b/>
                <w:sz w:val="22"/>
                <w:szCs w:val="22"/>
              </w:rPr>
            </w:pPr>
          </w:p>
        </w:tc>
      </w:tr>
      <w:tr w:rsidR="00307FB4" w:rsidRPr="00233CF1" w14:paraId="640FB6B9" w14:textId="77777777" w:rsidTr="00307FB4">
        <w:trPr>
          <w:cantSplit/>
        </w:trPr>
        <w:tc>
          <w:tcPr>
            <w:tcW w:w="0" w:type="auto"/>
          </w:tcPr>
          <w:p w14:paraId="15527369" w14:textId="0865F49A" w:rsidR="00307FB4" w:rsidRPr="005B7ACE" w:rsidRDefault="00307FB4" w:rsidP="00A5280F">
            <w:pPr>
              <w:tabs>
                <w:tab w:val="left" w:pos="4111"/>
              </w:tabs>
              <w:spacing w:before="10"/>
              <w:ind w:left="57"/>
              <w:rPr>
                <w:b/>
                <w:bCs/>
                <w:sz w:val="22"/>
                <w:szCs w:val="22"/>
              </w:rPr>
            </w:pPr>
            <w:r w:rsidRPr="005B7ACE">
              <w:rPr>
                <w:b/>
                <w:bCs/>
                <w:sz w:val="22"/>
                <w:szCs w:val="22"/>
              </w:rPr>
              <w:t>Courriel:</w:t>
            </w:r>
          </w:p>
        </w:tc>
        <w:tc>
          <w:tcPr>
            <w:tcW w:w="3399" w:type="dxa"/>
          </w:tcPr>
          <w:p w14:paraId="172249CE" w14:textId="6057807D" w:rsidR="00307FB4" w:rsidRPr="005B7ACE" w:rsidRDefault="00C16F2B" w:rsidP="00A5280F">
            <w:pPr>
              <w:tabs>
                <w:tab w:val="left" w:pos="4111"/>
              </w:tabs>
              <w:spacing w:before="0"/>
              <w:ind w:left="57"/>
              <w:rPr>
                <w:sz w:val="22"/>
                <w:szCs w:val="22"/>
              </w:rPr>
            </w:pPr>
            <w:hyperlink r:id="rId9" w:history="1">
              <w:r w:rsidR="00C821B4" w:rsidRPr="005B7ACE">
                <w:rPr>
                  <w:rStyle w:val="Hyperlink"/>
                  <w:sz w:val="22"/>
                  <w:szCs w:val="22"/>
                </w:rPr>
                <w:t>tsbevents@itu.int</w:t>
              </w:r>
            </w:hyperlink>
          </w:p>
        </w:tc>
        <w:tc>
          <w:tcPr>
            <w:tcW w:w="5051" w:type="dxa"/>
          </w:tcPr>
          <w:p w14:paraId="55E5D357" w14:textId="77777777" w:rsidR="00307FB4" w:rsidRPr="005B7ACE" w:rsidRDefault="00307FB4" w:rsidP="00307FB4">
            <w:pPr>
              <w:tabs>
                <w:tab w:val="clear" w:pos="794"/>
                <w:tab w:val="left" w:pos="226"/>
                <w:tab w:val="left" w:pos="4111"/>
              </w:tabs>
              <w:spacing w:before="0"/>
              <w:ind w:left="226" w:hanging="226"/>
              <w:rPr>
                <w:b/>
                <w:bCs/>
                <w:sz w:val="22"/>
                <w:szCs w:val="22"/>
              </w:rPr>
            </w:pPr>
            <w:r w:rsidRPr="005B7ACE">
              <w:rPr>
                <w:b/>
                <w:bCs/>
                <w:sz w:val="22"/>
                <w:szCs w:val="22"/>
              </w:rPr>
              <w:t>Copie:</w:t>
            </w:r>
          </w:p>
          <w:p w14:paraId="6CE98CB1" w14:textId="49F7C50C" w:rsidR="00307FB4" w:rsidRPr="005B7ACE" w:rsidRDefault="00307FB4" w:rsidP="00307FB4">
            <w:pPr>
              <w:tabs>
                <w:tab w:val="clear" w:pos="794"/>
                <w:tab w:val="left" w:pos="4111"/>
              </w:tabs>
              <w:spacing w:before="0"/>
              <w:ind w:left="426" w:hanging="426"/>
              <w:rPr>
                <w:sz w:val="22"/>
                <w:szCs w:val="22"/>
              </w:rPr>
            </w:pPr>
            <w:r w:rsidRPr="005B7ACE">
              <w:rPr>
                <w:sz w:val="22"/>
                <w:szCs w:val="22"/>
              </w:rPr>
              <w:t>–</w:t>
            </w:r>
            <w:r w:rsidRPr="005B7ACE">
              <w:rPr>
                <w:sz w:val="22"/>
                <w:szCs w:val="22"/>
              </w:rPr>
              <w:tab/>
              <w:t>Aux Présidents et Vice-Présidents des Commissions d</w:t>
            </w:r>
            <w:r w:rsidR="00233CF1" w:rsidRPr="005B7ACE">
              <w:rPr>
                <w:sz w:val="22"/>
                <w:szCs w:val="22"/>
              </w:rPr>
              <w:t>'</w:t>
            </w:r>
            <w:r w:rsidRPr="005B7ACE">
              <w:rPr>
                <w:sz w:val="22"/>
                <w:szCs w:val="22"/>
              </w:rPr>
              <w:t>études;</w:t>
            </w:r>
          </w:p>
          <w:p w14:paraId="56C75C35" w14:textId="1A09D40C" w:rsidR="00307FB4" w:rsidRPr="005B7ACE" w:rsidRDefault="00307FB4" w:rsidP="00307FB4">
            <w:pPr>
              <w:tabs>
                <w:tab w:val="clear" w:pos="794"/>
                <w:tab w:val="left" w:pos="4111"/>
              </w:tabs>
              <w:spacing w:before="0"/>
              <w:ind w:left="426" w:hanging="426"/>
              <w:rPr>
                <w:sz w:val="22"/>
                <w:szCs w:val="22"/>
              </w:rPr>
            </w:pPr>
            <w:r w:rsidRPr="005B7ACE">
              <w:rPr>
                <w:sz w:val="22"/>
                <w:szCs w:val="22"/>
              </w:rPr>
              <w:t>–</w:t>
            </w:r>
            <w:r w:rsidRPr="005B7ACE">
              <w:rPr>
                <w:sz w:val="22"/>
                <w:szCs w:val="22"/>
              </w:rPr>
              <w:tab/>
              <w:t>Au Directeur du Bureau de développement des télécommunications;</w:t>
            </w:r>
          </w:p>
          <w:p w14:paraId="09D92AA9" w14:textId="77777777" w:rsidR="00307FB4" w:rsidRPr="005B7ACE" w:rsidRDefault="00307FB4" w:rsidP="00307FB4">
            <w:pPr>
              <w:tabs>
                <w:tab w:val="clear" w:pos="794"/>
                <w:tab w:val="left" w:pos="4111"/>
              </w:tabs>
              <w:spacing w:before="0"/>
              <w:ind w:left="426" w:hanging="426"/>
              <w:rPr>
                <w:sz w:val="22"/>
                <w:szCs w:val="22"/>
              </w:rPr>
            </w:pPr>
            <w:r w:rsidRPr="005B7ACE">
              <w:rPr>
                <w:sz w:val="22"/>
                <w:szCs w:val="22"/>
              </w:rPr>
              <w:t>–</w:t>
            </w:r>
            <w:r w:rsidRPr="005B7ACE">
              <w:rPr>
                <w:sz w:val="22"/>
                <w:szCs w:val="22"/>
              </w:rPr>
              <w:tab/>
              <w:t>Au Directeur du Bureau des radiocommunications</w:t>
            </w:r>
            <w:r w:rsidR="00233CF1" w:rsidRPr="005B7ACE">
              <w:rPr>
                <w:sz w:val="22"/>
                <w:szCs w:val="22"/>
              </w:rPr>
              <w:t>;</w:t>
            </w:r>
          </w:p>
          <w:p w14:paraId="73B445B8" w14:textId="24032A15" w:rsidR="00233CF1" w:rsidRPr="005B7ACE" w:rsidRDefault="00233CF1" w:rsidP="00233CF1">
            <w:pPr>
              <w:tabs>
                <w:tab w:val="clear" w:pos="794"/>
                <w:tab w:val="left" w:pos="4111"/>
              </w:tabs>
              <w:spacing w:before="0"/>
              <w:ind w:left="426" w:hanging="426"/>
              <w:rPr>
                <w:sz w:val="22"/>
                <w:szCs w:val="22"/>
              </w:rPr>
            </w:pPr>
            <w:r w:rsidRPr="005B7ACE">
              <w:rPr>
                <w:sz w:val="22"/>
                <w:szCs w:val="22"/>
              </w:rPr>
              <w:t>–</w:t>
            </w:r>
            <w:r w:rsidRPr="005B7ACE">
              <w:rPr>
                <w:sz w:val="22"/>
                <w:szCs w:val="22"/>
              </w:rPr>
              <w:tab/>
              <w:t>Au Bureau régional de l'UIT pour l'Afrique;</w:t>
            </w:r>
          </w:p>
          <w:p w14:paraId="19762254" w14:textId="5444D239" w:rsidR="00233CF1" w:rsidRPr="005B7ACE" w:rsidRDefault="00233CF1" w:rsidP="00233CF1">
            <w:pPr>
              <w:tabs>
                <w:tab w:val="clear" w:pos="794"/>
                <w:tab w:val="left" w:pos="4111"/>
              </w:tabs>
              <w:spacing w:before="0"/>
              <w:ind w:left="426" w:hanging="426"/>
              <w:rPr>
                <w:sz w:val="22"/>
                <w:szCs w:val="22"/>
              </w:rPr>
            </w:pPr>
            <w:r w:rsidRPr="005B7ACE">
              <w:rPr>
                <w:sz w:val="22"/>
                <w:szCs w:val="22"/>
              </w:rPr>
              <w:t>–</w:t>
            </w:r>
            <w:r w:rsidRPr="005B7ACE">
              <w:rPr>
                <w:sz w:val="22"/>
                <w:szCs w:val="22"/>
              </w:rPr>
              <w:tab/>
              <w:t>Au Bureau de zone de l'UIT pour l'Afrique</w:t>
            </w:r>
          </w:p>
        </w:tc>
      </w:tr>
      <w:tr w:rsidR="00517A03" w:rsidRPr="00233CF1" w14:paraId="5435C04A" w14:textId="77777777" w:rsidTr="00C41B89">
        <w:trPr>
          <w:cantSplit/>
          <w:trHeight w:val="397"/>
        </w:trPr>
        <w:tc>
          <w:tcPr>
            <w:tcW w:w="0" w:type="auto"/>
          </w:tcPr>
          <w:p w14:paraId="2A0B9B4F" w14:textId="77777777" w:rsidR="00517A03" w:rsidRPr="005B7ACE" w:rsidRDefault="00517A03" w:rsidP="00307FB4">
            <w:pPr>
              <w:tabs>
                <w:tab w:val="left" w:pos="4111"/>
              </w:tabs>
              <w:ind w:left="57"/>
              <w:rPr>
                <w:b/>
                <w:bCs/>
                <w:sz w:val="22"/>
                <w:szCs w:val="22"/>
              </w:rPr>
            </w:pPr>
            <w:r w:rsidRPr="005B7ACE">
              <w:rPr>
                <w:b/>
                <w:bCs/>
                <w:sz w:val="22"/>
                <w:szCs w:val="22"/>
              </w:rPr>
              <w:t>Objet:</w:t>
            </w:r>
          </w:p>
        </w:tc>
        <w:tc>
          <w:tcPr>
            <w:tcW w:w="0" w:type="auto"/>
            <w:gridSpan w:val="2"/>
          </w:tcPr>
          <w:p w14:paraId="1A51EE75" w14:textId="05513FCE" w:rsidR="00517A03" w:rsidRPr="005B7ACE" w:rsidRDefault="00C821B4" w:rsidP="00C821B4">
            <w:pPr>
              <w:tabs>
                <w:tab w:val="left" w:pos="4111"/>
              </w:tabs>
              <w:spacing w:after="120"/>
              <w:ind w:left="57"/>
              <w:rPr>
                <w:b/>
                <w:bCs/>
                <w:sz w:val="22"/>
                <w:szCs w:val="22"/>
              </w:rPr>
            </w:pPr>
            <w:r w:rsidRPr="005B7ACE">
              <w:rPr>
                <w:b/>
                <w:bCs/>
                <w:sz w:val="22"/>
                <w:szCs w:val="22"/>
              </w:rPr>
              <w:t>15ème Colloque sur les TIC, l</w:t>
            </w:r>
            <w:r w:rsidR="00233CF1" w:rsidRPr="005B7ACE">
              <w:rPr>
                <w:b/>
                <w:bCs/>
                <w:sz w:val="22"/>
                <w:szCs w:val="22"/>
              </w:rPr>
              <w:t>'</w:t>
            </w:r>
            <w:r w:rsidRPr="005B7ACE">
              <w:rPr>
                <w:b/>
                <w:bCs/>
                <w:sz w:val="22"/>
                <w:szCs w:val="22"/>
              </w:rPr>
              <w:t>environnement, les changements climatiques et l</w:t>
            </w:r>
            <w:r w:rsidR="00233CF1" w:rsidRPr="005B7ACE">
              <w:rPr>
                <w:b/>
                <w:bCs/>
                <w:sz w:val="22"/>
                <w:szCs w:val="22"/>
              </w:rPr>
              <w:t>'</w:t>
            </w:r>
            <w:r w:rsidRPr="005B7ACE">
              <w:rPr>
                <w:b/>
                <w:bCs/>
                <w:sz w:val="22"/>
                <w:szCs w:val="22"/>
              </w:rPr>
              <w:t>économie circulaire (Ouagadougou, Burkina Faso, 7-9 mai 2024)</w:t>
            </w:r>
          </w:p>
        </w:tc>
      </w:tr>
    </w:tbl>
    <w:p w14:paraId="2D1EC328" w14:textId="77777777" w:rsidR="00517A03" w:rsidRPr="00233CF1" w:rsidRDefault="00517A03" w:rsidP="0048088B">
      <w:pPr>
        <w:spacing w:before="360"/>
        <w:rPr>
          <w:sz w:val="22"/>
          <w:szCs w:val="22"/>
        </w:rPr>
      </w:pPr>
      <w:bookmarkStart w:id="1" w:name="StartTyping_F"/>
      <w:bookmarkEnd w:id="1"/>
      <w:r w:rsidRPr="00233CF1">
        <w:rPr>
          <w:sz w:val="22"/>
          <w:szCs w:val="22"/>
        </w:rPr>
        <w:t>Madame, Monsieur,</w:t>
      </w:r>
    </w:p>
    <w:p w14:paraId="514E01C4" w14:textId="6A94F52A" w:rsidR="00C821B4" w:rsidRPr="00C821B4" w:rsidRDefault="00C821B4" w:rsidP="00C821B4">
      <w:pPr>
        <w:rPr>
          <w:bCs/>
          <w:sz w:val="22"/>
          <w:szCs w:val="22"/>
        </w:rPr>
      </w:pPr>
      <w:r w:rsidRPr="00C821B4">
        <w:rPr>
          <w:bCs/>
          <w:sz w:val="22"/>
          <w:szCs w:val="22"/>
        </w:rPr>
        <w:t>1</w:t>
      </w:r>
      <w:r w:rsidRPr="00C821B4">
        <w:rPr>
          <w:bCs/>
          <w:sz w:val="22"/>
          <w:szCs w:val="22"/>
        </w:rPr>
        <w:tab/>
        <w:t>J</w:t>
      </w:r>
      <w:r w:rsidR="00233CF1" w:rsidRPr="00233CF1">
        <w:rPr>
          <w:bCs/>
          <w:sz w:val="22"/>
          <w:szCs w:val="22"/>
        </w:rPr>
        <w:t>'</w:t>
      </w:r>
      <w:r w:rsidRPr="00C821B4">
        <w:rPr>
          <w:bCs/>
          <w:sz w:val="22"/>
          <w:szCs w:val="22"/>
        </w:rPr>
        <w:t>ai l</w:t>
      </w:r>
      <w:r w:rsidR="00233CF1" w:rsidRPr="00233CF1">
        <w:rPr>
          <w:bCs/>
          <w:sz w:val="22"/>
          <w:szCs w:val="22"/>
        </w:rPr>
        <w:t>'</w:t>
      </w:r>
      <w:r w:rsidRPr="00C821B4">
        <w:rPr>
          <w:bCs/>
          <w:sz w:val="22"/>
          <w:szCs w:val="22"/>
        </w:rPr>
        <w:t>honneur de vous annoncer que l</w:t>
      </w:r>
      <w:r w:rsidR="00233CF1" w:rsidRPr="00233CF1">
        <w:rPr>
          <w:bCs/>
          <w:sz w:val="22"/>
          <w:szCs w:val="22"/>
        </w:rPr>
        <w:t>'</w:t>
      </w:r>
      <w:r w:rsidRPr="00C821B4">
        <w:rPr>
          <w:bCs/>
          <w:sz w:val="22"/>
          <w:szCs w:val="22"/>
        </w:rPr>
        <w:t>Union internationale des télécommunications (UIT), en collaboration avec One Planet Network, Environmental Coalition on Standards (ECOS) et le Secrétariat de la</w:t>
      </w:r>
      <w:r w:rsidR="00C5242B" w:rsidRPr="00233CF1">
        <w:rPr>
          <w:bCs/>
          <w:sz w:val="22"/>
          <w:szCs w:val="22"/>
        </w:rPr>
        <w:t> </w:t>
      </w:r>
      <w:r w:rsidRPr="00C821B4">
        <w:rPr>
          <w:bCs/>
          <w:sz w:val="22"/>
          <w:szCs w:val="22"/>
        </w:rPr>
        <w:t xml:space="preserve">Convention de Bâle, organise le </w:t>
      </w:r>
      <w:r w:rsidRPr="00C821B4">
        <w:rPr>
          <w:b/>
          <w:bCs/>
          <w:sz w:val="22"/>
          <w:szCs w:val="22"/>
        </w:rPr>
        <w:t>15ème Colloque sur les TIC, l</w:t>
      </w:r>
      <w:r w:rsidR="00233CF1" w:rsidRPr="00233CF1">
        <w:rPr>
          <w:b/>
          <w:bCs/>
          <w:sz w:val="22"/>
          <w:szCs w:val="22"/>
        </w:rPr>
        <w:t>'</w:t>
      </w:r>
      <w:r w:rsidRPr="00C821B4">
        <w:rPr>
          <w:b/>
          <w:bCs/>
          <w:sz w:val="22"/>
          <w:szCs w:val="22"/>
        </w:rPr>
        <w:t>environnement, les changements climatiques et l</w:t>
      </w:r>
      <w:r w:rsidR="00233CF1" w:rsidRPr="00233CF1">
        <w:rPr>
          <w:b/>
          <w:bCs/>
          <w:sz w:val="22"/>
          <w:szCs w:val="22"/>
        </w:rPr>
        <w:t>'</w:t>
      </w:r>
      <w:r w:rsidRPr="00C821B4">
        <w:rPr>
          <w:b/>
          <w:bCs/>
          <w:sz w:val="22"/>
          <w:szCs w:val="22"/>
        </w:rPr>
        <w:t>économie circulaire</w:t>
      </w:r>
      <w:r w:rsidRPr="00C821B4">
        <w:rPr>
          <w:bCs/>
          <w:sz w:val="22"/>
          <w:szCs w:val="22"/>
        </w:rPr>
        <w:t xml:space="preserve">, qui se tiendra du </w:t>
      </w:r>
      <w:r w:rsidRPr="00C821B4">
        <w:rPr>
          <w:b/>
          <w:bCs/>
          <w:sz w:val="22"/>
          <w:szCs w:val="22"/>
        </w:rPr>
        <w:t>7 au 9 mai 2024</w:t>
      </w:r>
      <w:r w:rsidRPr="00C821B4">
        <w:rPr>
          <w:bCs/>
          <w:sz w:val="22"/>
          <w:szCs w:val="22"/>
        </w:rPr>
        <w:t xml:space="preserve"> à </w:t>
      </w:r>
      <w:r w:rsidRPr="00C821B4">
        <w:rPr>
          <w:b/>
          <w:bCs/>
          <w:sz w:val="22"/>
          <w:szCs w:val="22"/>
        </w:rPr>
        <w:t>Ouagadougou (Burkina Faso)</w:t>
      </w:r>
      <w:r w:rsidRPr="00C821B4">
        <w:rPr>
          <w:bCs/>
          <w:sz w:val="22"/>
          <w:szCs w:val="22"/>
        </w:rPr>
        <w:t>. Cette année, le Colloque aura pour thème "Des solutions numériques au service d</w:t>
      </w:r>
      <w:r w:rsidR="00233CF1" w:rsidRPr="00233CF1">
        <w:rPr>
          <w:bCs/>
          <w:sz w:val="22"/>
          <w:szCs w:val="22"/>
        </w:rPr>
        <w:t>'</w:t>
      </w:r>
      <w:r w:rsidRPr="00C821B4">
        <w:rPr>
          <w:bCs/>
          <w:sz w:val="22"/>
          <w:szCs w:val="22"/>
        </w:rPr>
        <w:t>un avenir durable: intégrer la lutte contre les changements climatiques, l</w:t>
      </w:r>
      <w:r w:rsidR="00233CF1" w:rsidRPr="00233CF1">
        <w:rPr>
          <w:bCs/>
          <w:sz w:val="22"/>
          <w:szCs w:val="22"/>
        </w:rPr>
        <w:t>'</w:t>
      </w:r>
      <w:r w:rsidRPr="00C821B4">
        <w:rPr>
          <w:bCs/>
          <w:sz w:val="22"/>
          <w:szCs w:val="22"/>
        </w:rPr>
        <w:t>économie circulaire, les données et les normes internationales". Le</w:t>
      </w:r>
      <w:r w:rsidR="003D582F" w:rsidRPr="00233CF1">
        <w:rPr>
          <w:bCs/>
          <w:sz w:val="22"/>
          <w:szCs w:val="22"/>
        </w:rPr>
        <w:t xml:space="preserve"> </w:t>
      </w:r>
      <w:r w:rsidRPr="00C821B4">
        <w:rPr>
          <w:bCs/>
          <w:sz w:val="22"/>
          <w:szCs w:val="22"/>
        </w:rPr>
        <w:t>Colloque se tiendra à l</w:t>
      </w:r>
      <w:r w:rsidR="00233CF1" w:rsidRPr="00233CF1">
        <w:rPr>
          <w:bCs/>
          <w:sz w:val="22"/>
          <w:szCs w:val="22"/>
        </w:rPr>
        <w:t>'</w:t>
      </w:r>
      <w:r w:rsidRPr="00C821B4">
        <w:rPr>
          <w:bCs/>
          <w:sz w:val="22"/>
          <w:szCs w:val="22"/>
        </w:rPr>
        <w:t>aimable invitation du Ministère de la transition digitale des postes et des communications électroniques à</w:t>
      </w:r>
      <w:r w:rsidR="003D582F" w:rsidRPr="00233CF1">
        <w:rPr>
          <w:bCs/>
          <w:sz w:val="22"/>
          <w:szCs w:val="22"/>
        </w:rPr>
        <w:t xml:space="preserve"> </w:t>
      </w:r>
      <w:r w:rsidRPr="00C821B4">
        <w:rPr>
          <w:bCs/>
          <w:sz w:val="22"/>
          <w:szCs w:val="22"/>
        </w:rPr>
        <w:t>l</w:t>
      </w:r>
      <w:r w:rsidR="00233CF1" w:rsidRPr="00233CF1">
        <w:rPr>
          <w:bCs/>
          <w:sz w:val="22"/>
          <w:szCs w:val="22"/>
        </w:rPr>
        <w:t>'</w:t>
      </w:r>
      <w:r w:rsidRPr="00C821B4">
        <w:rPr>
          <w:bCs/>
          <w:sz w:val="22"/>
          <w:szCs w:val="22"/>
        </w:rPr>
        <w:t>Hôtel Silmandé, à Ouagadougou.</w:t>
      </w:r>
    </w:p>
    <w:p w14:paraId="38A6AFBE" w14:textId="2C0E4DDB" w:rsidR="00C821B4" w:rsidRPr="00C821B4" w:rsidRDefault="00C821B4" w:rsidP="00C821B4">
      <w:pPr>
        <w:rPr>
          <w:bCs/>
          <w:sz w:val="22"/>
          <w:szCs w:val="22"/>
        </w:rPr>
      </w:pPr>
      <w:r w:rsidRPr="00C821B4">
        <w:rPr>
          <w:bCs/>
          <w:sz w:val="22"/>
          <w:szCs w:val="22"/>
        </w:rPr>
        <w:t>2</w:t>
      </w:r>
      <w:r w:rsidRPr="00C821B4">
        <w:rPr>
          <w:bCs/>
          <w:sz w:val="22"/>
          <w:szCs w:val="22"/>
        </w:rPr>
        <w:tab/>
        <w:t>Faire progresser la durabilité et promouvoir une économie circulaire sont des impératifs essentiels pour que les villes africaines puissent relever les défis sur le plan environnemental tout en favorisant la croissance économique. Cette manifestation pionnière d</w:t>
      </w:r>
      <w:r w:rsidR="00233CF1" w:rsidRPr="00233CF1">
        <w:rPr>
          <w:bCs/>
          <w:sz w:val="22"/>
          <w:szCs w:val="22"/>
        </w:rPr>
        <w:t>'</w:t>
      </w:r>
      <w:r w:rsidRPr="00C821B4">
        <w:rPr>
          <w:bCs/>
          <w:sz w:val="22"/>
          <w:szCs w:val="22"/>
        </w:rPr>
        <w:t xml:space="preserve">une durée de </w:t>
      </w:r>
      <w:r w:rsidR="003D582F" w:rsidRPr="00233CF1">
        <w:rPr>
          <w:bCs/>
          <w:sz w:val="22"/>
          <w:szCs w:val="22"/>
        </w:rPr>
        <w:t xml:space="preserve">trois </w:t>
      </w:r>
      <w:r w:rsidRPr="00C821B4">
        <w:rPr>
          <w:bCs/>
          <w:sz w:val="22"/>
          <w:szCs w:val="22"/>
        </w:rPr>
        <w:t>jours est conçue pour explorer des solutions permettant de résoudre les problèmes que posent les déchets d</w:t>
      </w:r>
      <w:r w:rsidR="00233CF1" w:rsidRPr="00233CF1">
        <w:rPr>
          <w:bCs/>
          <w:sz w:val="22"/>
          <w:szCs w:val="22"/>
        </w:rPr>
        <w:t>'</w:t>
      </w:r>
      <w:r w:rsidRPr="00C821B4">
        <w:rPr>
          <w:bCs/>
          <w:sz w:val="22"/>
          <w:szCs w:val="22"/>
        </w:rPr>
        <w:t>équipements électriques et électroniques (DEEE), y compris les problèmes liés à l</w:t>
      </w:r>
      <w:r w:rsidR="00233CF1" w:rsidRPr="00233CF1">
        <w:rPr>
          <w:bCs/>
          <w:sz w:val="22"/>
          <w:szCs w:val="22"/>
        </w:rPr>
        <w:t>'</w:t>
      </w:r>
      <w:r w:rsidRPr="00C821B4">
        <w:rPr>
          <w:bCs/>
          <w:sz w:val="22"/>
          <w:szCs w:val="22"/>
        </w:rPr>
        <w:t>extraction de minerais de conflit. Chaque journée sera consacrée à un thème précis, comme les infrastructures éco-efficaces, les données sur les DEEE, les principes de l</w:t>
      </w:r>
      <w:r w:rsidR="00233CF1" w:rsidRPr="00233CF1">
        <w:rPr>
          <w:bCs/>
          <w:sz w:val="22"/>
          <w:szCs w:val="22"/>
        </w:rPr>
        <w:t>'</w:t>
      </w:r>
      <w:r w:rsidRPr="00C821B4">
        <w:rPr>
          <w:bCs/>
          <w:sz w:val="22"/>
          <w:szCs w:val="22"/>
        </w:rPr>
        <w:t>économie circulaire et le rôle central du secteur des TIC en vue de promouvoir l</w:t>
      </w:r>
      <w:r w:rsidR="00233CF1" w:rsidRPr="00233CF1">
        <w:rPr>
          <w:bCs/>
          <w:sz w:val="22"/>
          <w:szCs w:val="22"/>
        </w:rPr>
        <w:t>'</w:t>
      </w:r>
      <w:r w:rsidRPr="00C821B4">
        <w:rPr>
          <w:bCs/>
          <w:sz w:val="22"/>
          <w:szCs w:val="22"/>
        </w:rPr>
        <w:t>engagement des parties prenantes. En outre, la manifestation mettra l</w:t>
      </w:r>
      <w:r w:rsidR="00233CF1" w:rsidRPr="00233CF1">
        <w:rPr>
          <w:bCs/>
          <w:sz w:val="22"/>
          <w:szCs w:val="22"/>
        </w:rPr>
        <w:t>'</w:t>
      </w:r>
      <w:r w:rsidRPr="00C821B4">
        <w:rPr>
          <w:bCs/>
          <w:sz w:val="22"/>
          <w:szCs w:val="22"/>
        </w:rPr>
        <w:t>accent sur l</w:t>
      </w:r>
      <w:r w:rsidR="00233CF1" w:rsidRPr="00233CF1">
        <w:rPr>
          <w:bCs/>
          <w:sz w:val="22"/>
          <w:szCs w:val="22"/>
        </w:rPr>
        <w:t>'</w:t>
      </w:r>
      <w:r w:rsidRPr="00C821B4">
        <w:rPr>
          <w:bCs/>
          <w:sz w:val="22"/>
          <w:szCs w:val="22"/>
        </w:rPr>
        <w:t>importance et le rôle des normes, avec une formation pratique sur le processus d</w:t>
      </w:r>
      <w:r w:rsidR="00233CF1" w:rsidRPr="00233CF1">
        <w:rPr>
          <w:bCs/>
          <w:sz w:val="22"/>
          <w:szCs w:val="22"/>
        </w:rPr>
        <w:t>'</w:t>
      </w:r>
      <w:r w:rsidRPr="00C821B4">
        <w:rPr>
          <w:bCs/>
          <w:sz w:val="22"/>
          <w:szCs w:val="22"/>
        </w:rPr>
        <w:t>élaboration des normes, ainsi que sur la participation et la contribution à ce travail de normalisation, car les normes jouent un rôle crucial afin que l</w:t>
      </w:r>
      <w:r w:rsidR="00233CF1" w:rsidRPr="00233CF1">
        <w:rPr>
          <w:bCs/>
          <w:sz w:val="22"/>
          <w:szCs w:val="22"/>
        </w:rPr>
        <w:t>'</w:t>
      </w:r>
      <w:r w:rsidRPr="00C821B4">
        <w:rPr>
          <w:bCs/>
          <w:sz w:val="22"/>
          <w:szCs w:val="22"/>
        </w:rPr>
        <w:t>action menée dans le domaine des changements climatiques produise des résultats concrets. Dans le cadre de sessions interactives, de présentations et de discussions, le Colloque réunira des parties prenantes issues des pouvoirs publics, du secteur privé, des milieux universitaires et de la société civile pour échanger des idées, partager des bonnes pratiques et définir des stratégies qui pourront être mises en œuvre pour faire progresser les initiatives en matière de durabilité.</w:t>
      </w:r>
    </w:p>
    <w:p w14:paraId="6DB0E94F" w14:textId="252E9FA9" w:rsidR="00C821B4" w:rsidRPr="00C821B4" w:rsidRDefault="00C821B4" w:rsidP="00C821B4">
      <w:pPr>
        <w:rPr>
          <w:bCs/>
          <w:sz w:val="22"/>
          <w:szCs w:val="22"/>
        </w:rPr>
      </w:pPr>
      <w:r w:rsidRPr="00C821B4">
        <w:rPr>
          <w:bCs/>
          <w:sz w:val="22"/>
          <w:szCs w:val="22"/>
        </w:rPr>
        <w:t>3</w:t>
      </w:r>
      <w:r w:rsidRPr="00C821B4">
        <w:rPr>
          <w:bCs/>
          <w:sz w:val="22"/>
          <w:szCs w:val="22"/>
        </w:rPr>
        <w:tab/>
        <w:t xml:space="preserve">Le Colloque se tiendra parallèlement à la réunion du </w:t>
      </w:r>
      <w:hyperlink r:id="rId10" w:history="1">
        <w:r w:rsidRPr="00C821B4">
          <w:rPr>
            <w:rStyle w:val="Hyperlink"/>
            <w:bCs/>
            <w:sz w:val="22"/>
            <w:szCs w:val="22"/>
          </w:rPr>
          <w:t>Groupe régional pour l</w:t>
        </w:r>
        <w:r w:rsidR="00233CF1" w:rsidRPr="00233CF1">
          <w:rPr>
            <w:rStyle w:val="Hyperlink"/>
            <w:bCs/>
            <w:sz w:val="22"/>
            <w:szCs w:val="22"/>
          </w:rPr>
          <w:t>'</w:t>
        </w:r>
        <w:r w:rsidRPr="00C821B4">
          <w:rPr>
            <w:rStyle w:val="Hyperlink"/>
            <w:bCs/>
            <w:sz w:val="22"/>
            <w:szCs w:val="22"/>
          </w:rPr>
          <w:t>Afrique de la Commission d</w:t>
        </w:r>
        <w:r w:rsidR="00233CF1" w:rsidRPr="00233CF1">
          <w:rPr>
            <w:rStyle w:val="Hyperlink"/>
            <w:bCs/>
            <w:sz w:val="22"/>
            <w:szCs w:val="22"/>
          </w:rPr>
          <w:t>'</w:t>
        </w:r>
        <w:r w:rsidRPr="00C821B4">
          <w:rPr>
            <w:rStyle w:val="Hyperlink"/>
            <w:bCs/>
            <w:sz w:val="22"/>
            <w:szCs w:val="22"/>
          </w:rPr>
          <w:t>études 5 de l</w:t>
        </w:r>
        <w:r w:rsidR="00233CF1" w:rsidRPr="00233CF1">
          <w:rPr>
            <w:rStyle w:val="Hyperlink"/>
            <w:bCs/>
            <w:sz w:val="22"/>
            <w:szCs w:val="22"/>
          </w:rPr>
          <w:t>'</w:t>
        </w:r>
        <w:r w:rsidRPr="00C821B4">
          <w:rPr>
            <w:rStyle w:val="Hyperlink"/>
            <w:bCs/>
            <w:sz w:val="22"/>
            <w:szCs w:val="22"/>
          </w:rPr>
          <w:t>UIT-T</w:t>
        </w:r>
      </w:hyperlink>
      <w:r w:rsidRPr="00C821B4">
        <w:rPr>
          <w:bCs/>
          <w:sz w:val="22"/>
          <w:szCs w:val="22"/>
        </w:rPr>
        <w:t>, qui aura lieu du 7 au 9 mai 2024 au même endroit. Le Colloque se déroulera en anglais et un service d</w:t>
      </w:r>
      <w:r w:rsidR="00233CF1" w:rsidRPr="00233CF1">
        <w:rPr>
          <w:bCs/>
          <w:sz w:val="22"/>
          <w:szCs w:val="22"/>
        </w:rPr>
        <w:t>'</w:t>
      </w:r>
      <w:r w:rsidRPr="00C821B4">
        <w:rPr>
          <w:bCs/>
          <w:sz w:val="22"/>
          <w:szCs w:val="22"/>
        </w:rPr>
        <w:t>interprétation en français sera assuré. Il sera possible de participer à la manifestation à distance.</w:t>
      </w:r>
    </w:p>
    <w:p w14:paraId="36F35B02" w14:textId="77777777" w:rsidR="00C821B4" w:rsidRPr="00C821B4" w:rsidRDefault="00C821B4" w:rsidP="00C821B4">
      <w:pPr>
        <w:keepNext/>
        <w:keepLines/>
        <w:rPr>
          <w:bCs/>
          <w:sz w:val="22"/>
          <w:szCs w:val="22"/>
        </w:rPr>
      </w:pPr>
      <w:r w:rsidRPr="00C821B4">
        <w:rPr>
          <w:bCs/>
          <w:sz w:val="22"/>
          <w:szCs w:val="22"/>
        </w:rPr>
        <w:lastRenderedPageBreak/>
        <w:t>4</w:t>
      </w:r>
      <w:r w:rsidRPr="00C821B4">
        <w:rPr>
          <w:bCs/>
          <w:sz w:val="22"/>
          <w:szCs w:val="22"/>
        </w:rPr>
        <w:tab/>
        <w:t>Le Colloque vise à atteindre les principaux objectifs suivants:</w:t>
      </w:r>
    </w:p>
    <w:p w14:paraId="30F7375D" w14:textId="74F98E1E" w:rsidR="00C821B4" w:rsidRPr="00233CF1" w:rsidRDefault="00C821B4" w:rsidP="006B3504">
      <w:pPr>
        <w:pStyle w:val="enumlev1"/>
        <w:keepNext/>
        <w:keepLines/>
        <w:tabs>
          <w:tab w:val="clear" w:pos="794"/>
        </w:tabs>
        <w:ind w:left="1134" w:hanging="425"/>
        <w:rPr>
          <w:sz w:val="22"/>
          <w:szCs w:val="22"/>
        </w:rPr>
      </w:pPr>
      <w:r w:rsidRPr="00233CF1">
        <w:rPr>
          <w:sz w:val="22"/>
          <w:szCs w:val="22"/>
        </w:rPr>
        <w:t>–</w:t>
      </w:r>
      <w:r w:rsidRPr="00233CF1">
        <w:rPr>
          <w:sz w:val="22"/>
          <w:szCs w:val="22"/>
        </w:rPr>
        <w:tab/>
      </w:r>
      <w:proofErr w:type="gramStart"/>
      <w:r w:rsidR="006B3504" w:rsidRPr="006B3504">
        <w:rPr>
          <w:sz w:val="22"/>
          <w:szCs w:val="22"/>
        </w:rPr>
        <w:t>D</w:t>
      </w:r>
      <w:r w:rsidRPr="00233CF1">
        <w:rPr>
          <w:sz w:val="22"/>
          <w:szCs w:val="22"/>
        </w:rPr>
        <w:t>onner</w:t>
      </w:r>
      <w:proofErr w:type="gramEnd"/>
      <w:r w:rsidRPr="00233CF1">
        <w:rPr>
          <w:sz w:val="22"/>
          <w:szCs w:val="22"/>
        </w:rPr>
        <w:t xml:space="preserve"> des informations sur la nécessité de lutter contre les changements climatiques et sur les normes disponibles</w:t>
      </w:r>
      <w:r w:rsidR="006B3504">
        <w:rPr>
          <w:sz w:val="22"/>
          <w:szCs w:val="22"/>
        </w:rPr>
        <w:t>.</w:t>
      </w:r>
    </w:p>
    <w:p w14:paraId="1713CA3F" w14:textId="314600FE"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S</w:t>
      </w:r>
      <w:r w:rsidRPr="00233CF1">
        <w:rPr>
          <w:sz w:val="22"/>
          <w:szCs w:val="22"/>
        </w:rPr>
        <w:t>ouligner l</w:t>
      </w:r>
      <w:r w:rsidR="00233CF1" w:rsidRPr="00233CF1">
        <w:rPr>
          <w:sz w:val="22"/>
          <w:szCs w:val="22"/>
        </w:rPr>
        <w:t>'</w:t>
      </w:r>
      <w:r w:rsidRPr="00233CF1">
        <w:rPr>
          <w:sz w:val="22"/>
          <w:szCs w:val="22"/>
        </w:rPr>
        <w:t>importance des données normalisées</w:t>
      </w:r>
      <w:r w:rsidR="006B3504">
        <w:rPr>
          <w:sz w:val="22"/>
          <w:szCs w:val="22"/>
        </w:rPr>
        <w:t>.</w:t>
      </w:r>
    </w:p>
    <w:p w14:paraId="6D429618" w14:textId="64D2BF4A"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F</w:t>
      </w:r>
      <w:r w:rsidRPr="00233CF1">
        <w:rPr>
          <w:sz w:val="22"/>
          <w:szCs w:val="22"/>
        </w:rPr>
        <w:t>aciliter l</w:t>
      </w:r>
      <w:r w:rsidR="00233CF1" w:rsidRPr="00233CF1">
        <w:rPr>
          <w:sz w:val="22"/>
          <w:szCs w:val="22"/>
        </w:rPr>
        <w:t>'</w:t>
      </w:r>
      <w:r w:rsidRPr="00233CF1">
        <w:rPr>
          <w:sz w:val="22"/>
          <w:szCs w:val="22"/>
        </w:rPr>
        <w:t>échange de bonnes pratiques entre les pays africains</w:t>
      </w:r>
      <w:r w:rsidR="006B3504">
        <w:rPr>
          <w:sz w:val="22"/>
          <w:szCs w:val="22"/>
        </w:rPr>
        <w:t>.</w:t>
      </w:r>
    </w:p>
    <w:p w14:paraId="2E85144D" w14:textId="445FB613"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S</w:t>
      </w:r>
      <w:r w:rsidRPr="00233CF1">
        <w:rPr>
          <w:sz w:val="22"/>
          <w:szCs w:val="22"/>
        </w:rPr>
        <w:t>ervir de plate-forme de collaboration, de partage de connaissances et d</w:t>
      </w:r>
      <w:r w:rsidR="00233CF1" w:rsidRPr="00233CF1">
        <w:rPr>
          <w:sz w:val="22"/>
          <w:szCs w:val="22"/>
        </w:rPr>
        <w:t>'</w:t>
      </w:r>
      <w:r w:rsidRPr="00233CF1">
        <w:rPr>
          <w:sz w:val="22"/>
          <w:szCs w:val="22"/>
        </w:rPr>
        <w:t>établissement de partenariats</w:t>
      </w:r>
      <w:r w:rsidR="006B3504">
        <w:rPr>
          <w:sz w:val="22"/>
          <w:szCs w:val="22"/>
        </w:rPr>
        <w:t>.</w:t>
      </w:r>
    </w:p>
    <w:p w14:paraId="426891EF" w14:textId="662EC1CE"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A</w:t>
      </w:r>
      <w:r w:rsidRPr="00233CF1">
        <w:rPr>
          <w:sz w:val="22"/>
          <w:szCs w:val="22"/>
        </w:rPr>
        <w:t>ccélérer la transition vers une économie durable et circulaire dans les villes africaines</w:t>
      </w:r>
      <w:r w:rsidR="006B3504">
        <w:rPr>
          <w:sz w:val="22"/>
          <w:szCs w:val="22"/>
        </w:rPr>
        <w:t>.</w:t>
      </w:r>
    </w:p>
    <w:p w14:paraId="40B34DFF" w14:textId="1E8C5D0D"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R</w:t>
      </w:r>
      <w:r w:rsidRPr="00233CF1">
        <w:rPr>
          <w:sz w:val="22"/>
          <w:szCs w:val="22"/>
        </w:rPr>
        <w:t>assembler diverses parties prenantes pour favoriser l</w:t>
      </w:r>
      <w:r w:rsidR="00233CF1" w:rsidRPr="00233CF1">
        <w:rPr>
          <w:sz w:val="22"/>
          <w:szCs w:val="22"/>
        </w:rPr>
        <w:t>'</w:t>
      </w:r>
      <w:r w:rsidRPr="00233CF1">
        <w:rPr>
          <w:sz w:val="22"/>
          <w:szCs w:val="22"/>
        </w:rPr>
        <w:t>élaboration de solutions innovantes</w:t>
      </w:r>
      <w:r w:rsidR="006B3504">
        <w:rPr>
          <w:sz w:val="22"/>
          <w:szCs w:val="22"/>
        </w:rPr>
        <w:t>.</w:t>
      </w:r>
    </w:p>
    <w:p w14:paraId="39C4171D" w14:textId="3AB28429"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O</w:t>
      </w:r>
      <w:r w:rsidRPr="00233CF1">
        <w:rPr>
          <w:sz w:val="22"/>
          <w:szCs w:val="22"/>
        </w:rPr>
        <w:t>uvrir la voie à des actions concrètes contribuant à la protection de l</w:t>
      </w:r>
      <w:r w:rsidR="00233CF1" w:rsidRPr="00233CF1">
        <w:rPr>
          <w:sz w:val="22"/>
          <w:szCs w:val="22"/>
        </w:rPr>
        <w:t>'</w:t>
      </w:r>
      <w:r w:rsidRPr="00233CF1">
        <w:rPr>
          <w:sz w:val="22"/>
          <w:szCs w:val="22"/>
        </w:rPr>
        <w:t>environnement, à la croissance économique et au développement social dans la région</w:t>
      </w:r>
      <w:r w:rsidR="006B3504">
        <w:rPr>
          <w:sz w:val="22"/>
          <w:szCs w:val="22"/>
        </w:rPr>
        <w:t>.</w:t>
      </w:r>
    </w:p>
    <w:p w14:paraId="32B78775" w14:textId="19C28903" w:rsidR="00C821B4" w:rsidRPr="00233CF1" w:rsidRDefault="00C821B4" w:rsidP="006B3504">
      <w:pPr>
        <w:pStyle w:val="enumlev1"/>
        <w:tabs>
          <w:tab w:val="clear" w:pos="794"/>
        </w:tabs>
        <w:ind w:left="1134" w:hanging="425"/>
        <w:rPr>
          <w:sz w:val="22"/>
          <w:szCs w:val="22"/>
        </w:rPr>
      </w:pPr>
      <w:r w:rsidRPr="00233CF1">
        <w:rPr>
          <w:sz w:val="22"/>
          <w:szCs w:val="22"/>
        </w:rPr>
        <w:t>–</w:t>
      </w:r>
      <w:r w:rsidRPr="00233CF1">
        <w:rPr>
          <w:sz w:val="22"/>
          <w:szCs w:val="22"/>
        </w:rPr>
        <w:tab/>
      </w:r>
      <w:r w:rsidR="006B3504">
        <w:rPr>
          <w:sz w:val="22"/>
          <w:szCs w:val="22"/>
        </w:rPr>
        <w:t>F</w:t>
      </w:r>
      <w:r w:rsidRPr="00233CF1">
        <w:rPr>
          <w:sz w:val="22"/>
          <w:szCs w:val="22"/>
        </w:rPr>
        <w:t>ournir une formation pratique sur la réduction de l</w:t>
      </w:r>
      <w:r w:rsidR="00233CF1" w:rsidRPr="00233CF1">
        <w:rPr>
          <w:sz w:val="22"/>
          <w:szCs w:val="22"/>
        </w:rPr>
        <w:t>'</w:t>
      </w:r>
      <w:r w:rsidRPr="00233CF1">
        <w:rPr>
          <w:sz w:val="22"/>
          <w:szCs w:val="22"/>
        </w:rPr>
        <w:t xml:space="preserve">écart en matière de normalisation. </w:t>
      </w:r>
    </w:p>
    <w:p w14:paraId="45D457C3" w14:textId="73955B75" w:rsidR="00C821B4" w:rsidRPr="00C821B4" w:rsidRDefault="00C821B4" w:rsidP="00C821B4">
      <w:pPr>
        <w:rPr>
          <w:bCs/>
          <w:sz w:val="22"/>
          <w:szCs w:val="22"/>
        </w:rPr>
      </w:pPr>
      <w:r w:rsidRPr="00C821B4">
        <w:rPr>
          <w:bCs/>
          <w:sz w:val="22"/>
          <w:szCs w:val="22"/>
        </w:rPr>
        <w:t>5</w:t>
      </w:r>
      <w:r w:rsidRPr="00C821B4">
        <w:rPr>
          <w:bCs/>
          <w:sz w:val="22"/>
          <w:szCs w:val="22"/>
        </w:rPr>
        <w:tab/>
        <w:t>La participation au Colloque est ouverte aux États Membres, aux Membres de Secteur, aux Associés de l</w:t>
      </w:r>
      <w:r w:rsidR="00233CF1" w:rsidRPr="00233CF1">
        <w:rPr>
          <w:bCs/>
          <w:sz w:val="22"/>
          <w:szCs w:val="22"/>
        </w:rPr>
        <w:t>'</w:t>
      </w:r>
      <w:r w:rsidRPr="00C821B4">
        <w:rPr>
          <w:bCs/>
          <w:sz w:val="22"/>
          <w:szCs w:val="22"/>
        </w:rPr>
        <w:t>UIT, aux établissements universitaires participant aux travaux de l</w:t>
      </w:r>
      <w:r w:rsidR="00233CF1" w:rsidRPr="00233CF1">
        <w:rPr>
          <w:bCs/>
          <w:sz w:val="22"/>
          <w:szCs w:val="22"/>
        </w:rPr>
        <w:t>'</w:t>
      </w:r>
      <w:r w:rsidRPr="00C821B4">
        <w:rPr>
          <w:bCs/>
          <w:sz w:val="22"/>
          <w:szCs w:val="22"/>
        </w:rPr>
        <w:t>UIT ainsi qu</w:t>
      </w:r>
      <w:r w:rsidR="00233CF1" w:rsidRPr="00233CF1">
        <w:rPr>
          <w:bCs/>
          <w:sz w:val="22"/>
          <w:szCs w:val="22"/>
        </w:rPr>
        <w:t>'</w:t>
      </w:r>
      <w:r w:rsidRPr="00C821B4">
        <w:rPr>
          <w:bCs/>
          <w:sz w:val="22"/>
          <w:szCs w:val="22"/>
        </w:rPr>
        <w:t>à toute personne issue d</w:t>
      </w:r>
      <w:r w:rsidR="00233CF1" w:rsidRPr="00233CF1">
        <w:rPr>
          <w:bCs/>
          <w:sz w:val="22"/>
          <w:szCs w:val="22"/>
        </w:rPr>
        <w:t>'</w:t>
      </w:r>
      <w:r w:rsidRPr="00C821B4">
        <w:rPr>
          <w:bCs/>
          <w:sz w:val="22"/>
          <w:szCs w:val="22"/>
        </w:rPr>
        <w:t>un pays Membre de l</w:t>
      </w:r>
      <w:r w:rsidR="00233CF1" w:rsidRPr="00233CF1">
        <w:rPr>
          <w:bCs/>
          <w:sz w:val="22"/>
          <w:szCs w:val="22"/>
        </w:rPr>
        <w:t>'</w:t>
      </w:r>
      <w:r w:rsidRPr="00C821B4">
        <w:rPr>
          <w:bCs/>
          <w:sz w:val="22"/>
          <w:szCs w:val="22"/>
        </w:rPr>
        <w:t>UIT qui souhaite contribuer aux travaux. Il peut s</w:t>
      </w:r>
      <w:r w:rsidR="00233CF1" w:rsidRPr="00233CF1">
        <w:rPr>
          <w:bCs/>
          <w:sz w:val="22"/>
          <w:szCs w:val="22"/>
        </w:rPr>
        <w:t>'</w:t>
      </w:r>
      <w:r w:rsidRPr="00C821B4">
        <w:rPr>
          <w:bCs/>
          <w:sz w:val="22"/>
          <w:szCs w:val="22"/>
        </w:rPr>
        <w:t>agir de personnes qui sont aussi membres d</w:t>
      </w:r>
      <w:r w:rsidR="00233CF1" w:rsidRPr="00233CF1">
        <w:rPr>
          <w:bCs/>
          <w:sz w:val="22"/>
          <w:szCs w:val="22"/>
        </w:rPr>
        <w:t>'</w:t>
      </w:r>
      <w:r w:rsidRPr="00C821B4">
        <w:rPr>
          <w:bCs/>
          <w:sz w:val="22"/>
          <w:szCs w:val="22"/>
        </w:rPr>
        <w:t xml:space="preserve">organisations internationales, régionales ou nationales. La participation est gratuite. </w:t>
      </w:r>
    </w:p>
    <w:p w14:paraId="7E37BFE2" w14:textId="29ED349E" w:rsidR="00C821B4" w:rsidRPr="00C821B4" w:rsidRDefault="00C821B4" w:rsidP="00C821B4">
      <w:pPr>
        <w:rPr>
          <w:bCs/>
          <w:sz w:val="22"/>
          <w:szCs w:val="22"/>
        </w:rPr>
      </w:pPr>
      <w:r w:rsidRPr="00C821B4">
        <w:rPr>
          <w:bCs/>
          <w:sz w:val="22"/>
          <w:szCs w:val="22"/>
        </w:rPr>
        <w:t>6</w:t>
      </w:r>
      <w:r w:rsidRPr="00C821B4">
        <w:rPr>
          <w:bCs/>
          <w:sz w:val="22"/>
          <w:szCs w:val="22"/>
        </w:rPr>
        <w:tab/>
        <w:t>Tous les renseignements utiles concernant la manifestation (c</w:t>
      </w:r>
      <w:r w:rsidR="00233CF1" w:rsidRPr="00233CF1">
        <w:rPr>
          <w:bCs/>
          <w:sz w:val="22"/>
          <w:szCs w:val="22"/>
        </w:rPr>
        <w:t>'</w:t>
      </w:r>
      <w:r w:rsidRPr="00C821B4">
        <w:rPr>
          <w:bCs/>
          <w:sz w:val="22"/>
          <w:szCs w:val="22"/>
        </w:rPr>
        <w:t>est-à-dire le projet de programme, la liste des intervenants, le lien pour les inscriptions et les informations concernant la connexion à distance) seront publiés sur le site web de la manifestation, à l</w:t>
      </w:r>
      <w:r w:rsidR="00233CF1" w:rsidRPr="00233CF1">
        <w:rPr>
          <w:bCs/>
          <w:sz w:val="22"/>
          <w:szCs w:val="22"/>
        </w:rPr>
        <w:t>'</w:t>
      </w:r>
      <w:r w:rsidRPr="00C821B4">
        <w:rPr>
          <w:bCs/>
          <w:sz w:val="22"/>
          <w:szCs w:val="22"/>
        </w:rPr>
        <w:t xml:space="preserve">adresse </w:t>
      </w:r>
      <w:hyperlink r:id="rId11" w:history="1">
        <w:r w:rsidR="00C5242B" w:rsidRPr="00C821B4">
          <w:rPr>
            <w:rStyle w:val="Hyperlink"/>
            <w:bCs/>
            <w:sz w:val="22"/>
            <w:szCs w:val="22"/>
          </w:rPr>
          <w:t>https://www.itu.int/en/ITU-T/climatechange/</w:t>
        </w:r>
        <w:r w:rsidR="00C5242B" w:rsidRPr="00233CF1">
          <w:rPr>
            <w:rStyle w:val="Hyperlink"/>
            <w:bCs/>
            <w:sz w:val="22"/>
            <w:szCs w:val="22"/>
          </w:rPr>
          <w:br/>
        </w:r>
        <w:r w:rsidR="00C5242B" w:rsidRPr="00C821B4">
          <w:rPr>
            <w:rStyle w:val="Hyperlink"/>
            <w:bCs/>
            <w:sz w:val="22"/>
            <w:szCs w:val="22"/>
          </w:rPr>
          <w:t>symposia/202405/Pages/default.aspx</w:t>
        </w:r>
      </w:hyperlink>
      <w:r w:rsidRPr="00C821B4">
        <w:rPr>
          <w:bCs/>
          <w:sz w:val="22"/>
          <w:szCs w:val="22"/>
        </w:rPr>
        <w:t xml:space="preserve">. Ce site web sera actualisé à mesure que parviendront des informations nouvelles ou modifiées. Les participants sont encouragés à consulter régulièrement le site web pour prendre connaissance des données les plus récentes. </w:t>
      </w:r>
    </w:p>
    <w:p w14:paraId="3AA65069" w14:textId="6244E440" w:rsidR="00C821B4" w:rsidRPr="00233CF1" w:rsidRDefault="00C821B4" w:rsidP="00C821B4">
      <w:pPr>
        <w:rPr>
          <w:bCs/>
          <w:sz w:val="22"/>
          <w:szCs w:val="22"/>
        </w:rPr>
      </w:pPr>
      <w:r w:rsidRPr="00C821B4">
        <w:rPr>
          <w:bCs/>
          <w:sz w:val="22"/>
          <w:szCs w:val="22"/>
        </w:rPr>
        <w:t>7</w:t>
      </w:r>
      <w:r w:rsidRPr="00C821B4">
        <w:rPr>
          <w:bCs/>
          <w:sz w:val="22"/>
          <w:szCs w:val="22"/>
        </w:rPr>
        <w:tab/>
        <w:t>Afin de permettre à l</w:t>
      </w:r>
      <w:r w:rsidR="00233CF1" w:rsidRPr="00233CF1">
        <w:rPr>
          <w:bCs/>
          <w:sz w:val="22"/>
          <w:szCs w:val="22"/>
        </w:rPr>
        <w:t>'</w:t>
      </w:r>
      <w:r w:rsidRPr="00C821B4">
        <w:rPr>
          <w:bCs/>
          <w:sz w:val="22"/>
          <w:szCs w:val="22"/>
        </w:rPr>
        <w:t>UIT de prendre les dispositions nécessaires concernant l</w:t>
      </w:r>
      <w:r w:rsidR="00233CF1" w:rsidRPr="00233CF1">
        <w:rPr>
          <w:bCs/>
          <w:sz w:val="22"/>
          <w:szCs w:val="22"/>
        </w:rPr>
        <w:t>'</w:t>
      </w:r>
      <w:r w:rsidRPr="00C821B4">
        <w:rPr>
          <w:bCs/>
          <w:sz w:val="22"/>
          <w:szCs w:val="22"/>
        </w:rPr>
        <w:t xml:space="preserve">organisation du Colloque, nous vous saurions gré de bien vouloir vous inscrire au moyen du </w:t>
      </w:r>
      <w:hyperlink r:id="rId12" w:history="1">
        <w:r w:rsidRPr="00C821B4">
          <w:rPr>
            <w:rStyle w:val="Hyperlink"/>
            <w:bCs/>
            <w:sz w:val="22"/>
            <w:szCs w:val="22"/>
          </w:rPr>
          <w:t>formulaire en ligne</w:t>
        </w:r>
      </w:hyperlink>
      <w:r w:rsidRPr="00C821B4">
        <w:rPr>
          <w:bCs/>
          <w:sz w:val="22"/>
          <w:szCs w:val="22"/>
        </w:rPr>
        <w:t xml:space="preserve"> dès que possible, et </w:t>
      </w:r>
      <w:r w:rsidRPr="00C821B4">
        <w:rPr>
          <w:b/>
          <w:bCs/>
          <w:sz w:val="22"/>
          <w:szCs w:val="22"/>
        </w:rPr>
        <w:t>au plus tard le 30 avril 2024</w:t>
      </w:r>
      <w:r w:rsidRPr="00C821B4">
        <w:rPr>
          <w:bCs/>
          <w:sz w:val="22"/>
          <w:szCs w:val="22"/>
        </w:rPr>
        <w:t>.</w:t>
      </w:r>
    </w:p>
    <w:p w14:paraId="3BC93E75" w14:textId="6A7911B8" w:rsidR="00C821B4" w:rsidRPr="00C821B4" w:rsidRDefault="00C821B4" w:rsidP="00C821B4">
      <w:pPr>
        <w:spacing w:before="0"/>
        <w:rPr>
          <w:b/>
          <w:bCs/>
          <w:sz w:val="22"/>
          <w:szCs w:val="22"/>
        </w:rPr>
      </w:pPr>
      <w:r w:rsidRPr="00C821B4">
        <w:rPr>
          <w:b/>
          <w:bCs/>
          <w:sz w:val="22"/>
          <w:szCs w:val="22"/>
        </w:rPr>
        <w:t>Veuillez noter que l</w:t>
      </w:r>
      <w:r w:rsidR="00233CF1" w:rsidRPr="00233CF1">
        <w:rPr>
          <w:b/>
          <w:bCs/>
          <w:sz w:val="22"/>
          <w:szCs w:val="22"/>
        </w:rPr>
        <w:t>'</w:t>
      </w:r>
      <w:r w:rsidRPr="00C821B4">
        <w:rPr>
          <w:b/>
          <w:bCs/>
          <w:sz w:val="22"/>
          <w:szCs w:val="22"/>
        </w:rPr>
        <w:t>inscription préalable des participants au Colloque est obligatoire et se fait exclusivement en ligne.</w:t>
      </w:r>
    </w:p>
    <w:p w14:paraId="326DE400" w14:textId="2BF48F31" w:rsidR="00C821B4" w:rsidRPr="00C821B4" w:rsidRDefault="00C821B4" w:rsidP="00C821B4">
      <w:pPr>
        <w:rPr>
          <w:b/>
          <w:bCs/>
          <w:sz w:val="22"/>
          <w:szCs w:val="22"/>
        </w:rPr>
      </w:pPr>
      <w:r w:rsidRPr="00C821B4">
        <w:rPr>
          <w:bCs/>
          <w:sz w:val="22"/>
          <w:szCs w:val="22"/>
        </w:rPr>
        <w:t>8</w:t>
      </w:r>
      <w:r w:rsidRPr="00C821B4">
        <w:rPr>
          <w:bCs/>
          <w:sz w:val="22"/>
          <w:szCs w:val="22"/>
        </w:rPr>
        <w:tab/>
        <w:t>Nous vous rappelons que, pour les ressortissants de certains pays, l</w:t>
      </w:r>
      <w:r w:rsidR="00233CF1" w:rsidRPr="00233CF1">
        <w:rPr>
          <w:bCs/>
          <w:sz w:val="22"/>
          <w:szCs w:val="22"/>
        </w:rPr>
        <w:t>'</w:t>
      </w:r>
      <w:r w:rsidRPr="00C821B4">
        <w:rPr>
          <w:bCs/>
          <w:sz w:val="22"/>
          <w:szCs w:val="22"/>
        </w:rPr>
        <w:t>entrée et le séjour, quelle qu</w:t>
      </w:r>
      <w:r w:rsidR="00233CF1" w:rsidRPr="00233CF1">
        <w:rPr>
          <w:bCs/>
          <w:sz w:val="22"/>
          <w:szCs w:val="22"/>
        </w:rPr>
        <w:t>'</w:t>
      </w:r>
      <w:r w:rsidRPr="00C821B4">
        <w:rPr>
          <w:bCs/>
          <w:sz w:val="22"/>
          <w:szCs w:val="22"/>
        </w:rPr>
        <w:t>en soit la durée, sur le territoire du Burkina Faso sont soumis à l</w:t>
      </w:r>
      <w:r w:rsidR="00233CF1" w:rsidRPr="00233CF1">
        <w:rPr>
          <w:bCs/>
          <w:sz w:val="22"/>
          <w:szCs w:val="22"/>
        </w:rPr>
        <w:t>'</w:t>
      </w:r>
      <w:r w:rsidRPr="00C821B4">
        <w:rPr>
          <w:bCs/>
          <w:sz w:val="22"/>
          <w:szCs w:val="22"/>
        </w:rPr>
        <w:t>obtention d</w:t>
      </w:r>
      <w:r w:rsidR="00233CF1" w:rsidRPr="00233CF1">
        <w:rPr>
          <w:bCs/>
          <w:sz w:val="22"/>
          <w:szCs w:val="22"/>
        </w:rPr>
        <w:t>'</w:t>
      </w:r>
      <w:r w:rsidRPr="00C821B4">
        <w:rPr>
          <w:bCs/>
          <w:sz w:val="22"/>
          <w:szCs w:val="22"/>
        </w:rPr>
        <w:t>un visa. Ce visa doit être demandé et obtenu auprès de la représentation du Burkina Faso (ambassade ou consulat) dans votre pays ou, à défaut, dans le pays le plus proche de votre pays de départ. Les demandes d</w:t>
      </w:r>
      <w:r w:rsidR="00233CF1" w:rsidRPr="00233CF1">
        <w:rPr>
          <w:bCs/>
          <w:sz w:val="22"/>
          <w:szCs w:val="22"/>
        </w:rPr>
        <w:t>'</w:t>
      </w:r>
      <w:r w:rsidRPr="00C821B4">
        <w:rPr>
          <w:bCs/>
          <w:sz w:val="22"/>
          <w:szCs w:val="22"/>
        </w:rPr>
        <w:t>assistance pour l</w:t>
      </w:r>
      <w:r w:rsidR="00233CF1" w:rsidRPr="00233CF1">
        <w:rPr>
          <w:bCs/>
          <w:sz w:val="22"/>
          <w:szCs w:val="22"/>
        </w:rPr>
        <w:t>'</w:t>
      </w:r>
      <w:r w:rsidRPr="00C821B4">
        <w:rPr>
          <w:bCs/>
          <w:sz w:val="22"/>
          <w:szCs w:val="22"/>
        </w:rPr>
        <w:t>obtention d</w:t>
      </w:r>
      <w:r w:rsidR="00233CF1" w:rsidRPr="00233CF1">
        <w:rPr>
          <w:bCs/>
          <w:sz w:val="22"/>
          <w:szCs w:val="22"/>
        </w:rPr>
        <w:t>'</w:t>
      </w:r>
      <w:r w:rsidRPr="00C821B4">
        <w:rPr>
          <w:bCs/>
          <w:sz w:val="22"/>
          <w:szCs w:val="22"/>
        </w:rPr>
        <w:t>un visa doivent être adressées directement à l</w:t>
      </w:r>
      <w:r w:rsidR="00233CF1" w:rsidRPr="00233CF1">
        <w:rPr>
          <w:bCs/>
          <w:sz w:val="22"/>
          <w:szCs w:val="22"/>
        </w:rPr>
        <w:t>'</w:t>
      </w:r>
      <w:r w:rsidRPr="00C821B4">
        <w:rPr>
          <w:bCs/>
          <w:sz w:val="22"/>
          <w:szCs w:val="22"/>
        </w:rPr>
        <w:t>hôte de la manifestation. D</w:t>
      </w:r>
      <w:r w:rsidR="00233CF1" w:rsidRPr="00233CF1">
        <w:rPr>
          <w:bCs/>
          <w:sz w:val="22"/>
          <w:szCs w:val="22"/>
        </w:rPr>
        <w:t>'</w:t>
      </w:r>
      <w:r w:rsidRPr="00C821B4">
        <w:rPr>
          <w:bCs/>
          <w:sz w:val="22"/>
          <w:szCs w:val="22"/>
        </w:rPr>
        <w:t>autres instructions concernant les procédures d</w:t>
      </w:r>
      <w:r w:rsidR="00233CF1" w:rsidRPr="00233CF1">
        <w:rPr>
          <w:bCs/>
          <w:sz w:val="22"/>
          <w:szCs w:val="22"/>
        </w:rPr>
        <w:t>'</w:t>
      </w:r>
      <w:r w:rsidRPr="00C821B4">
        <w:rPr>
          <w:bCs/>
          <w:sz w:val="22"/>
          <w:szCs w:val="22"/>
        </w:rPr>
        <w:t>assistance pour l</w:t>
      </w:r>
      <w:r w:rsidR="00233CF1" w:rsidRPr="00233CF1">
        <w:rPr>
          <w:bCs/>
          <w:sz w:val="22"/>
          <w:szCs w:val="22"/>
        </w:rPr>
        <w:t>'</w:t>
      </w:r>
      <w:r w:rsidRPr="00C821B4">
        <w:rPr>
          <w:bCs/>
          <w:sz w:val="22"/>
          <w:szCs w:val="22"/>
        </w:rPr>
        <w:t>obtention d</w:t>
      </w:r>
      <w:r w:rsidR="00233CF1" w:rsidRPr="00233CF1">
        <w:rPr>
          <w:bCs/>
          <w:sz w:val="22"/>
          <w:szCs w:val="22"/>
        </w:rPr>
        <w:t>'</w:t>
      </w:r>
      <w:r w:rsidRPr="00C821B4">
        <w:rPr>
          <w:bCs/>
          <w:sz w:val="22"/>
          <w:szCs w:val="22"/>
        </w:rPr>
        <w:t>un visa et d</w:t>
      </w:r>
      <w:r w:rsidR="00233CF1" w:rsidRPr="00233CF1">
        <w:rPr>
          <w:bCs/>
          <w:sz w:val="22"/>
          <w:szCs w:val="22"/>
        </w:rPr>
        <w:t>'</w:t>
      </w:r>
      <w:r w:rsidRPr="00C821B4">
        <w:rPr>
          <w:bCs/>
          <w:sz w:val="22"/>
          <w:szCs w:val="22"/>
        </w:rPr>
        <w:t xml:space="preserve">autres informations logistiques pertinentes seront mises à disposition dans le document </w:t>
      </w:r>
      <w:r w:rsidRPr="00C821B4">
        <w:rPr>
          <w:b/>
          <w:bCs/>
          <w:sz w:val="22"/>
          <w:szCs w:val="22"/>
        </w:rPr>
        <w:t>"Informations pratiques"</w:t>
      </w:r>
      <w:r w:rsidRPr="00C821B4">
        <w:rPr>
          <w:bCs/>
          <w:sz w:val="22"/>
          <w:szCs w:val="22"/>
        </w:rPr>
        <w:t xml:space="preserve"> disponible sur le site web de la manifestation.</w:t>
      </w:r>
    </w:p>
    <w:p w14:paraId="6A4CD67F" w14:textId="31E29E8E" w:rsidR="00307FB4" w:rsidRPr="00233CF1" w:rsidRDefault="00307FB4" w:rsidP="00307FB4">
      <w:pPr>
        <w:rPr>
          <w:bCs/>
          <w:sz w:val="22"/>
          <w:szCs w:val="22"/>
        </w:rPr>
      </w:pPr>
      <w:r w:rsidRPr="00233CF1">
        <w:rPr>
          <w:bCs/>
          <w:sz w:val="22"/>
          <w:szCs w:val="22"/>
        </w:rPr>
        <w:t>Veuillez agréer, Madame, Monsieur, l</w:t>
      </w:r>
      <w:r w:rsidR="00233CF1" w:rsidRPr="00233CF1">
        <w:rPr>
          <w:bCs/>
          <w:sz w:val="22"/>
          <w:szCs w:val="22"/>
        </w:rPr>
        <w:t>'</w:t>
      </w:r>
      <w:r w:rsidRPr="00233CF1">
        <w:rPr>
          <w:bCs/>
          <w:sz w:val="22"/>
          <w:szCs w:val="22"/>
        </w:rPr>
        <w:t>assurance de ma considération distinguée.</w:t>
      </w:r>
    </w:p>
    <w:p w14:paraId="3A296738" w14:textId="5A5DBCDD" w:rsidR="00B60868" w:rsidRPr="00233CF1" w:rsidRDefault="00B60868" w:rsidP="00B60868">
      <w:pPr>
        <w:spacing w:before="480" w:after="480"/>
        <w:rPr>
          <w:bCs/>
          <w:sz w:val="22"/>
          <w:szCs w:val="22"/>
        </w:rPr>
      </w:pPr>
      <w:r w:rsidRPr="00233CF1">
        <w:rPr>
          <w:bCs/>
          <w:sz w:val="22"/>
          <w:szCs w:val="22"/>
        </w:rPr>
        <w:t>(</w:t>
      </w:r>
      <w:proofErr w:type="gramStart"/>
      <w:r w:rsidRPr="00233CF1">
        <w:rPr>
          <w:bCs/>
          <w:i/>
          <w:sz w:val="22"/>
          <w:szCs w:val="22"/>
        </w:rPr>
        <w:t>signé</w:t>
      </w:r>
      <w:proofErr w:type="gramEnd"/>
      <w:r w:rsidRPr="00233CF1">
        <w:rPr>
          <w:bCs/>
          <w:sz w:val="22"/>
          <w:szCs w:val="22"/>
        </w:rPr>
        <w:t>)</w:t>
      </w:r>
    </w:p>
    <w:p w14:paraId="558FB742" w14:textId="175CD9BE" w:rsidR="002937DB" w:rsidRPr="00233CF1" w:rsidRDefault="00307FB4" w:rsidP="00B60868">
      <w:pPr>
        <w:rPr>
          <w:bCs/>
          <w:sz w:val="22"/>
          <w:szCs w:val="22"/>
        </w:rPr>
      </w:pPr>
      <w:r w:rsidRPr="00233CF1">
        <w:rPr>
          <w:bCs/>
          <w:sz w:val="22"/>
          <w:szCs w:val="22"/>
        </w:rPr>
        <w:t>Seizo Onoe</w:t>
      </w:r>
      <w:r w:rsidR="00B60868" w:rsidRPr="00233CF1">
        <w:rPr>
          <w:bCs/>
          <w:sz w:val="22"/>
          <w:szCs w:val="22"/>
        </w:rPr>
        <w:br/>
      </w:r>
      <w:r w:rsidRPr="00233CF1">
        <w:rPr>
          <w:bCs/>
          <w:sz w:val="22"/>
          <w:szCs w:val="22"/>
        </w:rPr>
        <w:t>Directeur du Bureau de la normalisation</w:t>
      </w:r>
      <w:r w:rsidR="00B60868" w:rsidRPr="00233CF1">
        <w:rPr>
          <w:bCs/>
          <w:sz w:val="22"/>
          <w:szCs w:val="22"/>
        </w:rPr>
        <w:br/>
      </w:r>
      <w:proofErr w:type="gramStart"/>
      <w:r w:rsidRPr="00233CF1">
        <w:rPr>
          <w:bCs/>
          <w:sz w:val="22"/>
          <w:szCs w:val="22"/>
        </w:rPr>
        <w:t>des</w:t>
      </w:r>
      <w:proofErr w:type="gramEnd"/>
      <w:r w:rsidRPr="00233CF1">
        <w:rPr>
          <w:bCs/>
          <w:sz w:val="22"/>
          <w:szCs w:val="22"/>
        </w:rPr>
        <w:t xml:space="preserve"> télécommunications</w:t>
      </w:r>
    </w:p>
    <w:sectPr w:rsidR="002937DB" w:rsidRPr="00233CF1"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DD3A" w14:textId="77777777" w:rsidR="00680F4A" w:rsidRDefault="00680F4A">
      <w:r>
        <w:separator/>
      </w:r>
    </w:p>
  </w:endnote>
  <w:endnote w:type="continuationSeparator" w:id="0">
    <w:p w14:paraId="663DD53C" w14:textId="77777777" w:rsidR="00680F4A" w:rsidRDefault="0068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168B" w14:textId="77777777" w:rsidR="00680F4A" w:rsidRDefault="00680F4A">
      <w:r>
        <w:t>____________________</w:t>
      </w:r>
    </w:p>
  </w:footnote>
  <w:footnote w:type="continuationSeparator" w:id="0">
    <w:p w14:paraId="1F324CDA" w14:textId="77777777" w:rsidR="00680F4A" w:rsidRDefault="0068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35E2ECC0" w:rsidR="00697BC1" w:rsidRPr="00697BC1" w:rsidRDefault="00C16F2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B3504">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6B3504">
          <w:rPr>
            <w:noProof/>
            <w:sz w:val="18"/>
            <w:szCs w:val="16"/>
          </w:rPr>
          <w:t xml:space="preserve"> -</w:t>
        </w:r>
      </w:sdtContent>
    </w:sdt>
    <w:r w:rsidR="00AF0D7D">
      <w:rPr>
        <w:noProof/>
        <w:sz w:val="18"/>
        <w:szCs w:val="16"/>
      </w:rPr>
      <w:br/>
      <w:t xml:space="preserve">Circulaire TSB </w:t>
    </w:r>
    <w:r w:rsidR="00C821B4">
      <w:rPr>
        <w:noProof/>
        <w:sz w:val="18"/>
        <w:szCs w:val="16"/>
      </w:rPr>
      <w:t>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4B15C75"/>
    <w:multiLevelType w:val="hybridMultilevel"/>
    <w:tmpl w:val="9468E4E6"/>
    <w:lvl w:ilvl="0" w:tplc="6E88E0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660352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3CF1"/>
    <w:rsid w:val="0023667A"/>
    <w:rsid w:val="002937DB"/>
    <w:rsid w:val="002E395D"/>
    <w:rsid w:val="00307FB4"/>
    <w:rsid w:val="003131F0"/>
    <w:rsid w:val="00333A80"/>
    <w:rsid w:val="003372E0"/>
    <w:rsid w:val="00341117"/>
    <w:rsid w:val="00364E95"/>
    <w:rsid w:val="00372875"/>
    <w:rsid w:val="003742F8"/>
    <w:rsid w:val="003B1E80"/>
    <w:rsid w:val="003B66E8"/>
    <w:rsid w:val="003D582F"/>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5B7ACE"/>
    <w:rsid w:val="00601682"/>
    <w:rsid w:val="00603470"/>
    <w:rsid w:val="00625E79"/>
    <w:rsid w:val="006333F7"/>
    <w:rsid w:val="006427A1"/>
    <w:rsid w:val="00644741"/>
    <w:rsid w:val="00680F4A"/>
    <w:rsid w:val="00697BC1"/>
    <w:rsid w:val="006A6FFE"/>
    <w:rsid w:val="006B3504"/>
    <w:rsid w:val="006C5A91"/>
    <w:rsid w:val="006E3FC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E2A67"/>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5242B"/>
    <w:rsid w:val="00C821B4"/>
    <w:rsid w:val="00C9028F"/>
    <w:rsid w:val="00CA0416"/>
    <w:rsid w:val="00CB1125"/>
    <w:rsid w:val="00CB4E80"/>
    <w:rsid w:val="00CD042E"/>
    <w:rsid w:val="00CF2560"/>
    <w:rsid w:val="00CF5B46"/>
    <w:rsid w:val="00D3412D"/>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39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2405/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regionalgroups/sg05-afr/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949</Words>
  <Characters>5985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6921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2024-04-16T08:25:00Z</dcterms:created>
  <dcterms:modified xsi:type="dcterms:W3CDTF">2024-04-16T08:25:00Z</dcterms:modified>
</cp:coreProperties>
</file>