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6" w:type="dxa"/>
        <w:tblInd w:w="-142" w:type="dxa"/>
        <w:tblLayout w:type="fixed"/>
        <w:tblCellMar>
          <w:left w:w="0" w:type="dxa"/>
          <w:right w:w="0" w:type="dxa"/>
        </w:tblCellMar>
        <w:tblLook w:val="0000" w:firstRow="0" w:lastRow="0" w:firstColumn="0" w:lastColumn="0" w:noHBand="0" w:noVBand="0"/>
      </w:tblPr>
      <w:tblGrid>
        <w:gridCol w:w="1560"/>
        <w:gridCol w:w="3467"/>
        <w:gridCol w:w="5329"/>
      </w:tblGrid>
      <w:tr w:rsidR="007B6316" w14:paraId="137829F9" w14:textId="77777777" w:rsidTr="00E57B1F">
        <w:trPr>
          <w:cantSplit/>
          <w:trHeight w:val="340"/>
        </w:trPr>
        <w:tc>
          <w:tcPr>
            <w:tcW w:w="1560" w:type="dxa"/>
          </w:tcPr>
          <w:p w14:paraId="2A5FE1F0"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54B52FD" wp14:editId="75BB9AC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B6B7D2B"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5ADB151"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D1FB42F" w14:textId="77777777" w:rsidTr="00E57B1F">
        <w:trPr>
          <w:cantSplit/>
          <w:trHeight w:val="697"/>
        </w:trPr>
        <w:tc>
          <w:tcPr>
            <w:tcW w:w="1560" w:type="dxa"/>
          </w:tcPr>
          <w:p w14:paraId="03EEFC1E" w14:textId="77777777" w:rsidR="007B6316" w:rsidRPr="007B6316" w:rsidRDefault="007B6316" w:rsidP="00303D62">
            <w:pPr>
              <w:tabs>
                <w:tab w:val="left" w:pos="4111"/>
              </w:tabs>
              <w:spacing w:before="10"/>
              <w:ind w:left="57"/>
              <w:rPr>
                <w:b/>
                <w:bCs/>
                <w:sz w:val="22"/>
              </w:rPr>
            </w:pPr>
          </w:p>
        </w:tc>
        <w:tc>
          <w:tcPr>
            <w:tcW w:w="3467" w:type="dxa"/>
          </w:tcPr>
          <w:p w14:paraId="024AC965" w14:textId="77777777" w:rsidR="007B6316" w:rsidRDefault="007B6316" w:rsidP="00303D62">
            <w:pPr>
              <w:tabs>
                <w:tab w:val="left" w:pos="4111"/>
              </w:tabs>
              <w:spacing w:before="0"/>
              <w:ind w:left="57"/>
              <w:rPr>
                <w:b/>
              </w:rPr>
            </w:pPr>
          </w:p>
        </w:tc>
        <w:tc>
          <w:tcPr>
            <w:tcW w:w="5329" w:type="dxa"/>
          </w:tcPr>
          <w:p w14:paraId="0A1CC78A" w14:textId="56C01FC4" w:rsidR="007B6316" w:rsidRPr="007D0DA9" w:rsidRDefault="007B6316" w:rsidP="007B6316">
            <w:pPr>
              <w:tabs>
                <w:tab w:val="clear" w:pos="794"/>
                <w:tab w:val="clear" w:pos="1191"/>
                <w:tab w:val="clear" w:pos="1588"/>
                <w:tab w:val="clear" w:pos="1985"/>
                <w:tab w:val="left" w:pos="284"/>
              </w:tabs>
              <w:spacing w:after="120"/>
              <w:ind w:left="284" w:hanging="227"/>
              <w:rPr>
                <w:szCs w:val="24"/>
              </w:rPr>
            </w:pPr>
            <w:r w:rsidRPr="001D3A35">
              <w:rPr>
                <w:sz w:val="22"/>
                <w:szCs w:val="22"/>
              </w:rPr>
              <w:t>Ginebra,</w:t>
            </w:r>
            <w:r w:rsidR="007D0DA9" w:rsidRPr="001D3A35">
              <w:rPr>
                <w:rFonts w:cstheme="minorHAnsi"/>
                <w:sz w:val="22"/>
                <w:szCs w:val="22"/>
              </w:rPr>
              <w:t xml:space="preserve"> 27 de marzo de 2024</w:t>
            </w:r>
          </w:p>
        </w:tc>
      </w:tr>
      <w:tr w:rsidR="001350B9" w14:paraId="393F961C" w14:textId="77777777" w:rsidTr="00E57B1F">
        <w:trPr>
          <w:cantSplit/>
          <w:trHeight w:val="340"/>
        </w:trPr>
        <w:tc>
          <w:tcPr>
            <w:tcW w:w="1560" w:type="dxa"/>
          </w:tcPr>
          <w:p w14:paraId="5FC022A0" w14:textId="057FD722" w:rsidR="001350B9" w:rsidRPr="004639BE" w:rsidRDefault="001350B9" w:rsidP="00E57B1F">
            <w:pPr>
              <w:tabs>
                <w:tab w:val="left" w:pos="4111"/>
              </w:tabs>
              <w:spacing w:before="10" w:line="276" w:lineRule="auto"/>
              <w:ind w:left="140"/>
              <w:rPr>
                <w:sz w:val="22"/>
                <w:szCs w:val="22"/>
              </w:rPr>
            </w:pPr>
            <w:r w:rsidRPr="004639BE">
              <w:rPr>
                <w:sz w:val="22"/>
                <w:szCs w:val="22"/>
              </w:rPr>
              <w:t>Ref.:</w:t>
            </w:r>
          </w:p>
        </w:tc>
        <w:tc>
          <w:tcPr>
            <w:tcW w:w="3467" w:type="dxa"/>
          </w:tcPr>
          <w:p w14:paraId="68FD4E55" w14:textId="6A8C56FD" w:rsidR="001350B9" w:rsidRPr="004639BE" w:rsidRDefault="001350B9" w:rsidP="001D3A35">
            <w:pPr>
              <w:tabs>
                <w:tab w:val="left" w:pos="4111"/>
              </w:tabs>
              <w:spacing w:before="0" w:line="276" w:lineRule="auto"/>
              <w:ind w:left="57"/>
              <w:rPr>
                <w:b/>
                <w:sz w:val="22"/>
                <w:szCs w:val="22"/>
                <w:lang w:val="en-GB"/>
              </w:rPr>
            </w:pPr>
            <w:r w:rsidRPr="004639BE">
              <w:rPr>
                <w:b/>
                <w:sz w:val="22"/>
                <w:szCs w:val="22"/>
                <w:lang w:val="en-GB"/>
              </w:rPr>
              <w:t xml:space="preserve">Circular TSB </w:t>
            </w:r>
            <w:r w:rsidR="007D0DA9" w:rsidRPr="004639BE">
              <w:rPr>
                <w:b/>
                <w:sz w:val="22"/>
                <w:szCs w:val="22"/>
                <w:lang w:val="en-GB"/>
              </w:rPr>
              <w:t>197</w:t>
            </w:r>
          </w:p>
          <w:p w14:paraId="64A8AF92" w14:textId="380928AC" w:rsidR="001350B9" w:rsidRPr="004639BE" w:rsidRDefault="007D0DA9" w:rsidP="001D3A35">
            <w:pPr>
              <w:tabs>
                <w:tab w:val="left" w:pos="4111"/>
              </w:tabs>
              <w:spacing w:before="0" w:line="276" w:lineRule="auto"/>
              <w:ind w:left="57"/>
              <w:rPr>
                <w:sz w:val="22"/>
                <w:szCs w:val="22"/>
                <w:lang w:val="en-GB"/>
              </w:rPr>
            </w:pPr>
            <w:r w:rsidRPr="004639BE">
              <w:rPr>
                <w:rFonts w:cstheme="minorHAnsi"/>
                <w:sz w:val="22"/>
                <w:szCs w:val="22"/>
                <w:lang w:val="en-GB"/>
              </w:rPr>
              <w:t>TSB Events/SC</w:t>
            </w:r>
          </w:p>
        </w:tc>
        <w:tc>
          <w:tcPr>
            <w:tcW w:w="5329" w:type="dxa"/>
            <w:vMerge w:val="restart"/>
          </w:tcPr>
          <w:p w14:paraId="0073BD78" w14:textId="482F1B54" w:rsidR="007D0DA9" w:rsidRPr="004639BE" w:rsidRDefault="007D0DA9" w:rsidP="001D3A35">
            <w:pPr>
              <w:tabs>
                <w:tab w:val="clear" w:pos="794"/>
                <w:tab w:val="clear" w:pos="1191"/>
                <w:tab w:val="clear" w:pos="1588"/>
                <w:tab w:val="clear" w:pos="1985"/>
                <w:tab w:val="left" w:pos="284"/>
              </w:tabs>
              <w:spacing w:before="0" w:line="276" w:lineRule="auto"/>
              <w:ind w:left="284" w:hanging="227"/>
              <w:rPr>
                <w:b/>
                <w:bCs/>
                <w:sz w:val="22"/>
                <w:szCs w:val="22"/>
              </w:rPr>
            </w:pPr>
            <w:bookmarkStart w:id="0" w:name="Addressee_S"/>
            <w:bookmarkEnd w:id="0"/>
            <w:r w:rsidRPr="004639BE">
              <w:rPr>
                <w:b/>
                <w:bCs/>
                <w:sz w:val="22"/>
                <w:szCs w:val="22"/>
              </w:rPr>
              <w:t>A:</w:t>
            </w:r>
          </w:p>
          <w:p w14:paraId="11C3F1F9" w14:textId="0D51E4FE" w:rsidR="007D0DA9" w:rsidRPr="004639BE" w:rsidRDefault="001350B9" w:rsidP="001D3A35">
            <w:pPr>
              <w:tabs>
                <w:tab w:val="clear" w:pos="794"/>
                <w:tab w:val="clear" w:pos="1191"/>
                <w:tab w:val="clear" w:pos="1588"/>
                <w:tab w:val="clear" w:pos="1985"/>
                <w:tab w:val="left" w:pos="284"/>
              </w:tabs>
              <w:spacing w:before="0" w:line="276" w:lineRule="auto"/>
              <w:ind w:left="284" w:hanging="227"/>
              <w:rPr>
                <w:sz w:val="22"/>
                <w:szCs w:val="22"/>
              </w:rPr>
            </w:pPr>
            <w:r w:rsidRPr="004639BE">
              <w:rPr>
                <w:sz w:val="22"/>
                <w:szCs w:val="22"/>
              </w:rPr>
              <w:t>-</w:t>
            </w:r>
            <w:r w:rsidRPr="004639BE">
              <w:rPr>
                <w:sz w:val="22"/>
                <w:szCs w:val="22"/>
              </w:rPr>
              <w:tab/>
              <w:t>las Administraciones de los Estados Miembros de la Unión</w:t>
            </w:r>
          </w:p>
          <w:p w14:paraId="31288B60" w14:textId="0BC7D6F4" w:rsidR="007D0DA9" w:rsidRPr="004639BE" w:rsidRDefault="007D0DA9" w:rsidP="001D3A35">
            <w:pPr>
              <w:tabs>
                <w:tab w:val="clear" w:pos="794"/>
                <w:tab w:val="clear" w:pos="1191"/>
                <w:tab w:val="clear" w:pos="1588"/>
                <w:tab w:val="clear" w:pos="1985"/>
                <w:tab w:val="left" w:pos="284"/>
              </w:tabs>
              <w:spacing w:before="0" w:line="276" w:lineRule="auto"/>
              <w:ind w:left="284" w:hanging="227"/>
              <w:rPr>
                <w:sz w:val="22"/>
                <w:szCs w:val="22"/>
              </w:rPr>
            </w:pPr>
            <w:r w:rsidRPr="004639BE">
              <w:rPr>
                <w:sz w:val="22"/>
                <w:szCs w:val="22"/>
              </w:rPr>
              <w:t>-</w:t>
            </w:r>
            <w:r w:rsidRPr="004639BE">
              <w:rPr>
                <w:sz w:val="22"/>
                <w:szCs w:val="22"/>
              </w:rPr>
              <w:tab/>
            </w:r>
            <w:r w:rsidR="001350B9" w:rsidRPr="004639BE">
              <w:rPr>
                <w:sz w:val="22"/>
                <w:szCs w:val="22"/>
              </w:rPr>
              <w:t>los Miembros del Sector UIT</w:t>
            </w:r>
            <w:r w:rsidR="001350B9" w:rsidRPr="004639BE">
              <w:rPr>
                <w:sz w:val="22"/>
                <w:szCs w:val="22"/>
              </w:rPr>
              <w:noBreakHyphen/>
              <w:t>T;</w:t>
            </w:r>
          </w:p>
          <w:p w14:paraId="0A8061B8" w14:textId="3D813B41" w:rsidR="007D0DA9" w:rsidRPr="004639BE" w:rsidRDefault="007D0DA9" w:rsidP="001D3A35">
            <w:pPr>
              <w:tabs>
                <w:tab w:val="clear" w:pos="794"/>
                <w:tab w:val="clear" w:pos="1191"/>
                <w:tab w:val="clear" w:pos="1588"/>
                <w:tab w:val="clear" w:pos="1985"/>
                <w:tab w:val="left" w:pos="284"/>
              </w:tabs>
              <w:spacing w:before="0" w:line="276" w:lineRule="auto"/>
              <w:ind w:left="284" w:hanging="227"/>
              <w:rPr>
                <w:sz w:val="22"/>
                <w:szCs w:val="22"/>
              </w:rPr>
            </w:pPr>
            <w:r w:rsidRPr="004639BE">
              <w:rPr>
                <w:sz w:val="22"/>
                <w:szCs w:val="22"/>
              </w:rPr>
              <w:t>-</w:t>
            </w:r>
            <w:r w:rsidRPr="004639BE">
              <w:rPr>
                <w:sz w:val="22"/>
                <w:szCs w:val="22"/>
              </w:rPr>
              <w:tab/>
            </w:r>
            <w:r w:rsidR="001350B9" w:rsidRPr="004639BE">
              <w:rPr>
                <w:sz w:val="22"/>
                <w:szCs w:val="22"/>
              </w:rPr>
              <w:t>los Asociados del UIT</w:t>
            </w:r>
            <w:r w:rsidR="001350B9" w:rsidRPr="004639BE">
              <w:rPr>
                <w:sz w:val="22"/>
                <w:szCs w:val="22"/>
              </w:rPr>
              <w:noBreakHyphen/>
              <w:t>T;</w:t>
            </w:r>
          </w:p>
          <w:p w14:paraId="65A876E6" w14:textId="03E04C08" w:rsidR="007D0DA9" w:rsidRPr="004639BE" w:rsidRDefault="007D0DA9" w:rsidP="001D3A35">
            <w:pPr>
              <w:tabs>
                <w:tab w:val="clear" w:pos="794"/>
                <w:tab w:val="clear" w:pos="1191"/>
                <w:tab w:val="clear" w:pos="1588"/>
                <w:tab w:val="clear" w:pos="1985"/>
                <w:tab w:val="left" w:pos="284"/>
              </w:tabs>
              <w:spacing w:before="0" w:line="276" w:lineRule="auto"/>
              <w:ind w:left="284" w:hanging="227"/>
              <w:rPr>
                <w:sz w:val="22"/>
                <w:szCs w:val="22"/>
              </w:rPr>
            </w:pPr>
            <w:r w:rsidRPr="004639BE">
              <w:rPr>
                <w:sz w:val="22"/>
                <w:szCs w:val="22"/>
              </w:rPr>
              <w:t>-</w:t>
            </w:r>
            <w:r w:rsidRPr="004639BE">
              <w:rPr>
                <w:sz w:val="22"/>
                <w:szCs w:val="22"/>
              </w:rPr>
              <w:tab/>
            </w:r>
            <w:r w:rsidR="001350B9" w:rsidRPr="004639BE">
              <w:rPr>
                <w:sz w:val="22"/>
                <w:szCs w:val="22"/>
              </w:rPr>
              <w:t>las Instituciones Académicas del UIT-T;</w:t>
            </w:r>
          </w:p>
          <w:p w14:paraId="53CF0D20" w14:textId="3C64A276" w:rsidR="007D0DA9" w:rsidRPr="004639BE" w:rsidRDefault="007D0DA9" w:rsidP="001D3A35">
            <w:pPr>
              <w:tabs>
                <w:tab w:val="clear" w:pos="794"/>
                <w:tab w:val="clear" w:pos="1191"/>
                <w:tab w:val="clear" w:pos="1588"/>
                <w:tab w:val="clear" w:pos="1985"/>
                <w:tab w:val="left" w:pos="284"/>
              </w:tabs>
              <w:spacing w:before="0" w:line="276" w:lineRule="auto"/>
              <w:ind w:left="284" w:hanging="227"/>
              <w:rPr>
                <w:b/>
                <w:bCs/>
                <w:sz w:val="22"/>
                <w:szCs w:val="22"/>
              </w:rPr>
            </w:pPr>
            <w:r w:rsidRPr="004639BE">
              <w:rPr>
                <w:b/>
                <w:bCs/>
                <w:sz w:val="22"/>
                <w:szCs w:val="22"/>
              </w:rPr>
              <w:t>Copia a:</w:t>
            </w:r>
          </w:p>
          <w:p w14:paraId="6841E329" w14:textId="75AC6F3B" w:rsidR="007D0DA9" w:rsidRPr="004639BE" w:rsidRDefault="007D0DA9" w:rsidP="001D3A35">
            <w:pPr>
              <w:tabs>
                <w:tab w:val="clear" w:pos="794"/>
                <w:tab w:val="clear" w:pos="1191"/>
                <w:tab w:val="clear" w:pos="1588"/>
                <w:tab w:val="clear" w:pos="1985"/>
                <w:tab w:val="left" w:pos="284"/>
              </w:tabs>
              <w:spacing w:before="0" w:line="276" w:lineRule="auto"/>
              <w:ind w:left="284" w:hanging="227"/>
              <w:rPr>
                <w:sz w:val="22"/>
                <w:szCs w:val="22"/>
              </w:rPr>
            </w:pPr>
            <w:r w:rsidRPr="004639BE">
              <w:rPr>
                <w:sz w:val="22"/>
                <w:szCs w:val="22"/>
              </w:rPr>
              <w:t>-</w:t>
            </w:r>
            <w:r w:rsidRPr="004639BE">
              <w:rPr>
                <w:sz w:val="22"/>
                <w:szCs w:val="22"/>
              </w:rPr>
              <w:tab/>
              <w:t xml:space="preserve">los </w:t>
            </w:r>
            <w:proofErr w:type="gramStart"/>
            <w:r w:rsidR="001350B9" w:rsidRPr="004639BE">
              <w:rPr>
                <w:sz w:val="22"/>
                <w:szCs w:val="22"/>
              </w:rPr>
              <w:t>Presidente</w:t>
            </w:r>
            <w:r w:rsidRPr="004639BE">
              <w:rPr>
                <w:sz w:val="22"/>
                <w:szCs w:val="22"/>
              </w:rPr>
              <w:t>s</w:t>
            </w:r>
            <w:proofErr w:type="gramEnd"/>
            <w:r w:rsidR="001350B9" w:rsidRPr="004639BE">
              <w:rPr>
                <w:sz w:val="22"/>
                <w:szCs w:val="22"/>
              </w:rPr>
              <w:t xml:space="preserve"> y a los Vicepresidentes de la</w:t>
            </w:r>
            <w:r w:rsidRPr="004639BE">
              <w:rPr>
                <w:sz w:val="22"/>
                <w:szCs w:val="22"/>
              </w:rPr>
              <w:t>s</w:t>
            </w:r>
            <w:r w:rsidR="001350B9" w:rsidRPr="004639BE">
              <w:rPr>
                <w:sz w:val="22"/>
                <w:szCs w:val="22"/>
              </w:rPr>
              <w:br/>
              <w:t>Comisi</w:t>
            </w:r>
            <w:r w:rsidRPr="004639BE">
              <w:rPr>
                <w:sz w:val="22"/>
                <w:szCs w:val="22"/>
              </w:rPr>
              <w:t>o</w:t>
            </w:r>
            <w:r w:rsidR="001350B9" w:rsidRPr="004639BE">
              <w:rPr>
                <w:sz w:val="22"/>
                <w:szCs w:val="22"/>
              </w:rPr>
              <w:t>n</w:t>
            </w:r>
            <w:r w:rsidRPr="004639BE">
              <w:rPr>
                <w:sz w:val="22"/>
                <w:szCs w:val="22"/>
              </w:rPr>
              <w:t>es</w:t>
            </w:r>
            <w:r w:rsidR="001350B9" w:rsidRPr="004639BE">
              <w:rPr>
                <w:sz w:val="22"/>
                <w:szCs w:val="22"/>
              </w:rPr>
              <w:t xml:space="preserve"> de Estudio;</w:t>
            </w:r>
          </w:p>
          <w:p w14:paraId="71C217A8" w14:textId="5E197747" w:rsidR="007D0DA9" w:rsidRPr="004639BE" w:rsidRDefault="007D0DA9" w:rsidP="001D3A35">
            <w:pPr>
              <w:tabs>
                <w:tab w:val="clear" w:pos="794"/>
                <w:tab w:val="clear" w:pos="1191"/>
                <w:tab w:val="clear" w:pos="1588"/>
                <w:tab w:val="clear" w:pos="1985"/>
                <w:tab w:val="left" w:pos="284"/>
              </w:tabs>
              <w:spacing w:before="0" w:line="276" w:lineRule="auto"/>
              <w:ind w:left="284" w:hanging="227"/>
              <w:rPr>
                <w:sz w:val="22"/>
                <w:szCs w:val="22"/>
              </w:rPr>
            </w:pPr>
            <w:r w:rsidRPr="004639BE">
              <w:rPr>
                <w:sz w:val="22"/>
                <w:szCs w:val="22"/>
              </w:rPr>
              <w:t>-</w:t>
            </w:r>
            <w:r w:rsidRPr="004639BE">
              <w:rPr>
                <w:sz w:val="22"/>
                <w:szCs w:val="22"/>
              </w:rPr>
              <w:tab/>
              <w:t>el</w:t>
            </w:r>
            <w:r w:rsidR="001350B9" w:rsidRPr="004639BE">
              <w:rPr>
                <w:sz w:val="22"/>
                <w:szCs w:val="22"/>
              </w:rPr>
              <w:t xml:space="preserve"> </w:t>
            </w:r>
            <w:proofErr w:type="gramStart"/>
            <w:r w:rsidR="001350B9" w:rsidRPr="004639BE">
              <w:rPr>
                <w:sz w:val="22"/>
                <w:szCs w:val="22"/>
              </w:rPr>
              <w:t>Director</w:t>
            </w:r>
            <w:proofErr w:type="gramEnd"/>
            <w:r w:rsidR="001350B9" w:rsidRPr="004639BE">
              <w:rPr>
                <w:sz w:val="22"/>
                <w:szCs w:val="22"/>
              </w:rPr>
              <w:t xml:space="preserve"> de la Oficina de Desarrollo de las Telecomunicaciones;</w:t>
            </w:r>
          </w:p>
          <w:p w14:paraId="416ACCCC" w14:textId="4D03BDAE" w:rsidR="001350B9" w:rsidRPr="004639BE" w:rsidRDefault="007D0DA9" w:rsidP="001D3A35">
            <w:pPr>
              <w:tabs>
                <w:tab w:val="clear" w:pos="794"/>
                <w:tab w:val="clear" w:pos="1191"/>
                <w:tab w:val="clear" w:pos="1588"/>
                <w:tab w:val="clear" w:pos="1985"/>
                <w:tab w:val="left" w:pos="284"/>
              </w:tabs>
              <w:spacing w:before="0" w:line="276" w:lineRule="auto"/>
              <w:ind w:left="284" w:hanging="227"/>
              <w:rPr>
                <w:sz w:val="22"/>
                <w:szCs w:val="22"/>
              </w:rPr>
            </w:pPr>
            <w:r w:rsidRPr="004639BE">
              <w:rPr>
                <w:sz w:val="22"/>
                <w:szCs w:val="22"/>
              </w:rPr>
              <w:t>-</w:t>
            </w:r>
            <w:r w:rsidRPr="004639BE">
              <w:rPr>
                <w:sz w:val="22"/>
                <w:szCs w:val="22"/>
              </w:rPr>
              <w:tab/>
              <w:t>el</w:t>
            </w:r>
            <w:r w:rsidR="001350B9" w:rsidRPr="004639BE">
              <w:rPr>
                <w:sz w:val="22"/>
                <w:szCs w:val="22"/>
              </w:rPr>
              <w:t xml:space="preserve"> </w:t>
            </w:r>
            <w:proofErr w:type="gramStart"/>
            <w:r w:rsidR="001350B9" w:rsidRPr="004639BE">
              <w:rPr>
                <w:sz w:val="22"/>
                <w:szCs w:val="22"/>
              </w:rPr>
              <w:t>Director</w:t>
            </w:r>
            <w:proofErr w:type="gramEnd"/>
            <w:r w:rsidR="001350B9" w:rsidRPr="004639BE">
              <w:rPr>
                <w:sz w:val="22"/>
                <w:szCs w:val="22"/>
              </w:rPr>
              <w:t xml:space="preserve"> de la Oficina de Radiocomunicaciones</w:t>
            </w:r>
          </w:p>
        </w:tc>
      </w:tr>
      <w:tr w:rsidR="007D62D7" w14:paraId="574D022A" w14:textId="77777777" w:rsidTr="00E57B1F">
        <w:trPr>
          <w:cantSplit/>
        </w:trPr>
        <w:tc>
          <w:tcPr>
            <w:tcW w:w="1560" w:type="dxa"/>
          </w:tcPr>
          <w:p w14:paraId="1C42B719" w14:textId="73E7074C" w:rsidR="007D62D7" w:rsidRPr="004639BE" w:rsidRDefault="007D62D7" w:rsidP="00E57B1F">
            <w:pPr>
              <w:tabs>
                <w:tab w:val="left" w:pos="4111"/>
              </w:tabs>
              <w:spacing w:before="10" w:line="276" w:lineRule="auto"/>
              <w:ind w:left="140"/>
              <w:rPr>
                <w:sz w:val="22"/>
                <w:szCs w:val="22"/>
              </w:rPr>
            </w:pPr>
            <w:r w:rsidRPr="004639BE">
              <w:rPr>
                <w:sz w:val="22"/>
                <w:szCs w:val="22"/>
              </w:rPr>
              <w:t>Contacto:</w:t>
            </w:r>
          </w:p>
        </w:tc>
        <w:tc>
          <w:tcPr>
            <w:tcW w:w="3467" w:type="dxa"/>
          </w:tcPr>
          <w:p w14:paraId="46770589" w14:textId="56F10548" w:rsidR="007D62D7" w:rsidRPr="004639BE" w:rsidRDefault="007D62D7" w:rsidP="001D3A35">
            <w:pPr>
              <w:tabs>
                <w:tab w:val="left" w:pos="4111"/>
              </w:tabs>
              <w:spacing w:before="0" w:line="276" w:lineRule="auto"/>
              <w:ind w:left="57"/>
              <w:rPr>
                <w:sz w:val="22"/>
                <w:szCs w:val="22"/>
              </w:rPr>
            </w:pPr>
            <w:r w:rsidRPr="004639BE">
              <w:rPr>
                <w:sz w:val="22"/>
                <w:szCs w:val="22"/>
              </w:rPr>
              <w:t>Simao Campos</w:t>
            </w:r>
          </w:p>
        </w:tc>
        <w:tc>
          <w:tcPr>
            <w:tcW w:w="5329" w:type="dxa"/>
            <w:vMerge/>
          </w:tcPr>
          <w:p w14:paraId="5F1C2F3C" w14:textId="77777777" w:rsidR="007D62D7" w:rsidRPr="004639BE" w:rsidRDefault="007D62D7" w:rsidP="001D3A35">
            <w:pPr>
              <w:tabs>
                <w:tab w:val="left" w:pos="226"/>
                <w:tab w:val="left" w:pos="510"/>
              </w:tabs>
              <w:spacing w:before="0" w:line="276" w:lineRule="auto"/>
              <w:ind w:left="226" w:hanging="169"/>
              <w:rPr>
                <w:b/>
                <w:sz w:val="22"/>
                <w:szCs w:val="22"/>
              </w:rPr>
            </w:pPr>
          </w:p>
        </w:tc>
      </w:tr>
      <w:tr w:rsidR="001350B9" w14:paraId="118411D4" w14:textId="77777777" w:rsidTr="00E57B1F">
        <w:trPr>
          <w:cantSplit/>
        </w:trPr>
        <w:tc>
          <w:tcPr>
            <w:tcW w:w="1560" w:type="dxa"/>
          </w:tcPr>
          <w:p w14:paraId="576E8E81" w14:textId="77777777" w:rsidR="001350B9" w:rsidRPr="004639BE" w:rsidRDefault="001350B9" w:rsidP="00E57B1F">
            <w:pPr>
              <w:tabs>
                <w:tab w:val="left" w:pos="4111"/>
              </w:tabs>
              <w:spacing w:before="10" w:line="276" w:lineRule="auto"/>
              <w:ind w:left="140"/>
              <w:rPr>
                <w:sz w:val="22"/>
                <w:szCs w:val="22"/>
              </w:rPr>
            </w:pPr>
            <w:r w:rsidRPr="004639BE">
              <w:rPr>
                <w:sz w:val="22"/>
                <w:szCs w:val="22"/>
              </w:rPr>
              <w:t>Tel.:</w:t>
            </w:r>
          </w:p>
        </w:tc>
        <w:tc>
          <w:tcPr>
            <w:tcW w:w="3467" w:type="dxa"/>
          </w:tcPr>
          <w:p w14:paraId="475DDF01" w14:textId="515016CD" w:rsidR="001350B9" w:rsidRPr="004639BE" w:rsidRDefault="001350B9" w:rsidP="001D3A35">
            <w:pPr>
              <w:tabs>
                <w:tab w:val="left" w:pos="4111"/>
              </w:tabs>
              <w:spacing w:before="0" w:line="276" w:lineRule="auto"/>
              <w:ind w:left="57"/>
              <w:rPr>
                <w:rStyle w:val="Hyperlink"/>
                <w:sz w:val="22"/>
                <w:szCs w:val="22"/>
              </w:rPr>
            </w:pPr>
            <w:r w:rsidRPr="004639BE">
              <w:rPr>
                <w:sz w:val="22"/>
                <w:szCs w:val="22"/>
              </w:rPr>
              <w:t>+41 22 730</w:t>
            </w:r>
            <w:r w:rsidR="007D0DA9" w:rsidRPr="004639BE">
              <w:rPr>
                <w:sz w:val="22"/>
                <w:szCs w:val="22"/>
              </w:rPr>
              <w:t xml:space="preserve"> 6805</w:t>
            </w:r>
          </w:p>
        </w:tc>
        <w:tc>
          <w:tcPr>
            <w:tcW w:w="5329" w:type="dxa"/>
            <w:vMerge/>
          </w:tcPr>
          <w:p w14:paraId="7740F1AB" w14:textId="77777777" w:rsidR="001350B9" w:rsidRPr="004639BE" w:rsidRDefault="001350B9" w:rsidP="001D3A35">
            <w:pPr>
              <w:tabs>
                <w:tab w:val="left" w:pos="226"/>
                <w:tab w:val="left" w:pos="510"/>
              </w:tabs>
              <w:spacing w:before="0" w:line="276" w:lineRule="auto"/>
              <w:ind w:left="226" w:hanging="169"/>
              <w:rPr>
                <w:b/>
                <w:sz w:val="22"/>
                <w:szCs w:val="22"/>
              </w:rPr>
            </w:pPr>
          </w:p>
        </w:tc>
      </w:tr>
      <w:tr w:rsidR="001350B9" w14:paraId="36C4F40A" w14:textId="77777777" w:rsidTr="00E57B1F">
        <w:trPr>
          <w:cantSplit/>
          <w:trHeight w:val="334"/>
        </w:trPr>
        <w:tc>
          <w:tcPr>
            <w:tcW w:w="1560" w:type="dxa"/>
          </w:tcPr>
          <w:p w14:paraId="12ACAA4A" w14:textId="77777777" w:rsidR="001350B9" w:rsidRPr="004639BE" w:rsidRDefault="001350B9" w:rsidP="00E57B1F">
            <w:pPr>
              <w:tabs>
                <w:tab w:val="left" w:pos="4111"/>
              </w:tabs>
              <w:spacing w:before="10" w:line="276" w:lineRule="auto"/>
              <w:ind w:left="140"/>
              <w:rPr>
                <w:sz w:val="22"/>
                <w:szCs w:val="22"/>
              </w:rPr>
            </w:pPr>
            <w:r w:rsidRPr="004639BE">
              <w:rPr>
                <w:sz w:val="22"/>
                <w:szCs w:val="22"/>
              </w:rPr>
              <w:t>Fax:</w:t>
            </w:r>
          </w:p>
        </w:tc>
        <w:tc>
          <w:tcPr>
            <w:tcW w:w="3467" w:type="dxa"/>
          </w:tcPr>
          <w:p w14:paraId="050D9C2C" w14:textId="77777777" w:rsidR="001350B9" w:rsidRPr="004639BE" w:rsidRDefault="001350B9" w:rsidP="001D3A35">
            <w:pPr>
              <w:tabs>
                <w:tab w:val="left" w:pos="4111"/>
              </w:tabs>
              <w:spacing w:before="0" w:line="276" w:lineRule="auto"/>
              <w:ind w:left="57"/>
              <w:rPr>
                <w:rStyle w:val="Hyperlink"/>
                <w:sz w:val="22"/>
                <w:szCs w:val="22"/>
              </w:rPr>
            </w:pPr>
            <w:r w:rsidRPr="004639BE">
              <w:rPr>
                <w:sz w:val="22"/>
                <w:szCs w:val="22"/>
              </w:rPr>
              <w:t>+41 22 730 5853</w:t>
            </w:r>
          </w:p>
        </w:tc>
        <w:tc>
          <w:tcPr>
            <w:tcW w:w="5329" w:type="dxa"/>
            <w:vMerge/>
          </w:tcPr>
          <w:p w14:paraId="762CFBCE" w14:textId="77777777" w:rsidR="001350B9" w:rsidRPr="004639BE" w:rsidRDefault="001350B9" w:rsidP="001D3A35">
            <w:pPr>
              <w:tabs>
                <w:tab w:val="left" w:pos="226"/>
                <w:tab w:val="left" w:pos="510"/>
              </w:tabs>
              <w:spacing w:before="0" w:line="276" w:lineRule="auto"/>
              <w:ind w:left="226" w:hanging="169"/>
              <w:rPr>
                <w:b/>
                <w:sz w:val="22"/>
                <w:szCs w:val="22"/>
              </w:rPr>
            </w:pPr>
          </w:p>
        </w:tc>
      </w:tr>
      <w:tr w:rsidR="001350B9" w14:paraId="5A16DDD2" w14:textId="77777777" w:rsidTr="00E57B1F">
        <w:trPr>
          <w:cantSplit/>
          <w:trHeight w:val="2374"/>
        </w:trPr>
        <w:tc>
          <w:tcPr>
            <w:tcW w:w="1560" w:type="dxa"/>
          </w:tcPr>
          <w:p w14:paraId="3CD2F42E" w14:textId="77777777" w:rsidR="001350B9" w:rsidRPr="004639BE" w:rsidRDefault="001350B9" w:rsidP="00E57B1F">
            <w:pPr>
              <w:tabs>
                <w:tab w:val="left" w:pos="4111"/>
              </w:tabs>
              <w:spacing w:before="10" w:line="276" w:lineRule="auto"/>
              <w:ind w:left="140"/>
              <w:rPr>
                <w:sz w:val="22"/>
                <w:szCs w:val="22"/>
              </w:rPr>
            </w:pPr>
            <w:r w:rsidRPr="004639BE">
              <w:rPr>
                <w:sz w:val="22"/>
                <w:szCs w:val="22"/>
              </w:rPr>
              <w:t>Correo-e:</w:t>
            </w:r>
          </w:p>
        </w:tc>
        <w:tc>
          <w:tcPr>
            <w:tcW w:w="3467" w:type="dxa"/>
          </w:tcPr>
          <w:p w14:paraId="03EE6CAB" w14:textId="32EBDD22" w:rsidR="001350B9" w:rsidRPr="004639BE" w:rsidRDefault="0065047E" w:rsidP="001D3A35">
            <w:pPr>
              <w:tabs>
                <w:tab w:val="left" w:pos="4111"/>
              </w:tabs>
              <w:spacing w:before="0" w:line="276" w:lineRule="auto"/>
              <w:ind w:left="57"/>
              <w:rPr>
                <w:sz w:val="22"/>
                <w:szCs w:val="22"/>
              </w:rPr>
            </w:pPr>
            <w:hyperlink r:id="rId9" w:history="1">
              <w:r w:rsidR="007D0DA9" w:rsidRPr="004639BE">
                <w:rPr>
                  <w:rStyle w:val="Hyperlink"/>
                  <w:sz w:val="22"/>
                  <w:szCs w:val="22"/>
                </w:rPr>
                <w:t>tsbevents@itu.int</w:t>
              </w:r>
            </w:hyperlink>
            <w:r w:rsidR="001350B9" w:rsidRPr="004639BE">
              <w:rPr>
                <w:sz w:val="22"/>
                <w:szCs w:val="22"/>
              </w:rPr>
              <w:t xml:space="preserve"> </w:t>
            </w:r>
          </w:p>
        </w:tc>
        <w:tc>
          <w:tcPr>
            <w:tcW w:w="5329" w:type="dxa"/>
            <w:vMerge/>
          </w:tcPr>
          <w:p w14:paraId="6CCB9B6F" w14:textId="77777777" w:rsidR="001350B9" w:rsidRPr="004639BE" w:rsidRDefault="001350B9" w:rsidP="001D3A35">
            <w:pPr>
              <w:tabs>
                <w:tab w:val="clear" w:pos="794"/>
                <w:tab w:val="clear" w:pos="1191"/>
                <w:tab w:val="clear" w:pos="1588"/>
                <w:tab w:val="clear" w:pos="1985"/>
                <w:tab w:val="left" w:pos="226"/>
                <w:tab w:val="left" w:pos="510"/>
              </w:tabs>
              <w:spacing w:before="0" w:line="276" w:lineRule="auto"/>
              <w:ind w:left="226" w:hanging="169"/>
              <w:rPr>
                <w:sz w:val="22"/>
                <w:szCs w:val="22"/>
              </w:rPr>
            </w:pPr>
          </w:p>
        </w:tc>
      </w:tr>
      <w:tr w:rsidR="007B6316" w:rsidRPr="00E57B1F" w14:paraId="391FE5CF" w14:textId="77777777" w:rsidTr="00E57B1F">
        <w:trPr>
          <w:cantSplit/>
          <w:trHeight w:val="627"/>
        </w:trPr>
        <w:tc>
          <w:tcPr>
            <w:tcW w:w="1560" w:type="dxa"/>
          </w:tcPr>
          <w:p w14:paraId="355F8CDE" w14:textId="77777777" w:rsidR="007B6316" w:rsidRPr="00E57B1F" w:rsidRDefault="007B6316" w:rsidP="00E57B1F">
            <w:pPr>
              <w:tabs>
                <w:tab w:val="left" w:pos="4111"/>
              </w:tabs>
              <w:spacing w:before="10"/>
              <w:ind w:left="140"/>
              <w:rPr>
                <w:sz w:val="22"/>
                <w:szCs w:val="22"/>
              </w:rPr>
            </w:pPr>
            <w:r w:rsidRPr="00E57B1F">
              <w:rPr>
                <w:b/>
                <w:bCs/>
                <w:sz w:val="22"/>
                <w:szCs w:val="22"/>
              </w:rPr>
              <w:t>Asunto</w:t>
            </w:r>
            <w:r w:rsidRPr="00E57B1F">
              <w:rPr>
                <w:sz w:val="22"/>
                <w:szCs w:val="22"/>
              </w:rPr>
              <w:t>:</w:t>
            </w:r>
          </w:p>
        </w:tc>
        <w:tc>
          <w:tcPr>
            <w:tcW w:w="8796" w:type="dxa"/>
            <w:gridSpan w:val="2"/>
          </w:tcPr>
          <w:p w14:paraId="2DABF698" w14:textId="5C9A216C" w:rsidR="007B6316" w:rsidRPr="00E57B1F" w:rsidRDefault="007D0DA9" w:rsidP="00303D62">
            <w:pPr>
              <w:tabs>
                <w:tab w:val="left" w:pos="4111"/>
              </w:tabs>
              <w:spacing w:before="0"/>
              <w:rPr>
                <w:b/>
                <w:sz w:val="22"/>
                <w:szCs w:val="22"/>
              </w:rPr>
            </w:pPr>
            <w:r w:rsidRPr="00E57B1F">
              <w:rPr>
                <w:rFonts w:cstheme="minorHAnsi"/>
                <w:b/>
                <w:bCs/>
                <w:sz w:val="22"/>
                <w:szCs w:val="22"/>
              </w:rPr>
              <w:t>Taller conjunto UIT/OMS sobre "Escucha segura en el ámbito de los videojuegos y los deportes electrónicos: Novedades" (Rennes, Francia, 16 de abril de 2024)</w:t>
            </w:r>
          </w:p>
        </w:tc>
      </w:tr>
    </w:tbl>
    <w:p w14:paraId="17BFFFB5" w14:textId="5F627FF5" w:rsidR="00C34772" w:rsidRPr="00E57B1F" w:rsidRDefault="00C34772" w:rsidP="00E57B1F">
      <w:pPr>
        <w:pStyle w:val="Normalaftertitle"/>
        <w:spacing w:before="240"/>
        <w:rPr>
          <w:sz w:val="22"/>
          <w:szCs w:val="18"/>
        </w:rPr>
      </w:pPr>
      <w:bookmarkStart w:id="1" w:name="StartTyping_S"/>
      <w:bookmarkStart w:id="2" w:name="suitetext"/>
      <w:bookmarkStart w:id="3" w:name="text"/>
      <w:bookmarkEnd w:id="1"/>
      <w:bookmarkEnd w:id="2"/>
      <w:bookmarkEnd w:id="3"/>
      <w:r w:rsidRPr="00E57B1F">
        <w:rPr>
          <w:sz w:val="22"/>
          <w:szCs w:val="18"/>
        </w:rPr>
        <w:t>Muy Señora mía/Muy Señor mío</w:t>
      </w:r>
      <w:r w:rsidR="00E57B1F">
        <w:rPr>
          <w:sz w:val="22"/>
          <w:szCs w:val="18"/>
        </w:rPr>
        <w:t>,</w:t>
      </w:r>
    </w:p>
    <w:p w14:paraId="2F419529" w14:textId="459A0556" w:rsidR="007D0DA9" w:rsidRPr="00E57B1F" w:rsidRDefault="007D0DA9" w:rsidP="007D0DA9">
      <w:pPr>
        <w:rPr>
          <w:rFonts w:cstheme="minorHAnsi"/>
          <w:sz w:val="22"/>
          <w:szCs w:val="22"/>
        </w:rPr>
      </w:pPr>
      <w:r w:rsidRPr="00E57B1F">
        <w:rPr>
          <w:rFonts w:cstheme="minorHAnsi"/>
          <w:sz w:val="22"/>
          <w:szCs w:val="22"/>
        </w:rPr>
        <w:t>1</w:t>
      </w:r>
      <w:r w:rsidRPr="00E57B1F">
        <w:rPr>
          <w:rFonts w:cstheme="minorHAnsi"/>
          <w:sz w:val="22"/>
          <w:szCs w:val="22"/>
        </w:rPr>
        <w:tab/>
      </w:r>
      <w:proofErr w:type="gramStart"/>
      <w:r w:rsidRPr="00E57B1F">
        <w:rPr>
          <w:rFonts w:cstheme="minorHAnsi"/>
          <w:sz w:val="22"/>
          <w:szCs w:val="22"/>
        </w:rPr>
        <w:t>La</w:t>
      </w:r>
      <w:proofErr w:type="gramEnd"/>
      <w:r w:rsidRPr="00E57B1F">
        <w:rPr>
          <w:rFonts w:cstheme="minorHAnsi"/>
          <w:sz w:val="22"/>
          <w:szCs w:val="22"/>
        </w:rPr>
        <w:t xml:space="preserve"> Unión Internacional de Telecomunicaciones (UIT), en colaboración con la Organización Mundial de la Salud (OMS), está organizando un taller sobre </w:t>
      </w:r>
      <w:r w:rsidR="000C26D2" w:rsidRPr="00E57B1F">
        <w:rPr>
          <w:rFonts w:cstheme="minorHAnsi"/>
          <w:sz w:val="22"/>
          <w:szCs w:val="22"/>
        </w:rPr>
        <w:t>"</w:t>
      </w:r>
      <w:r w:rsidRPr="00E57B1F">
        <w:rPr>
          <w:rFonts w:cstheme="minorHAnsi"/>
          <w:b/>
          <w:bCs/>
          <w:sz w:val="22"/>
          <w:szCs w:val="22"/>
        </w:rPr>
        <w:t>Escucha segura en el ámbito de los videojuegos y los deportes electrónicos: Novedades</w:t>
      </w:r>
      <w:r w:rsidR="000C26D2" w:rsidRPr="00E57B1F">
        <w:rPr>
          <w:rFonts w:cstheme="minorHAnsi"/>
          <w:sz w:val="22"/>
          <w:szCs w:val="22"/>
        </w:rPr>
        <w:t>"</w:t>
      </w:r>
      <w:r w:rsidRPr="00E57B1F">
        <w:rPr>
          <w:rFonts w:cstheme="minorHAnsi"/>
          <w:sz w:val="22"/>
          <w:szCs w:val="22"/>
        </w:rPr>
        <w:t xml:space="preserve">, que tendrá lugar en Rennes (Francia) el </w:t>
      </w:r>
      <w:r w:rsidRPr="00E57B1F">
        <w:rPr>
          <w:rFonts w:cstheme="minorHAnsi"/>
          <w:b/>
          <w:bCs/>
          <w:sz w:val="22"/>
          <w:szCs w:val="22"/>
        </w:rPr>
        <w:t>16</w:t>
      </w:r>
      <w:r w:rsidR="007D62D7" w:rsidRPr="00E57B1F">
        <w:rPr>
          <w:rFonts w:cstheme="minorHAnsi"/>
          <w:b/>
          <w:bCs/>
          <w:sz w:val="22"/>
          <w:szCs w:val="22"/>
        </w:rPr>
        <w:t> </w:t>
      </w:r>
      <w:r w:rsidRPr="00E57B1F">
        <w:rPr>
          <w:rFonts w:cstheme="minorHAnsi"/>
          <w:b/>
          <w:bCs/>
          <w:sz w:val="22"/>
          <w:szCs w:val="22"/>
        </w:rPr>
        <w:t>de abril de 2024</w:t>
      </w:r>
      <w:r w:rsidRPr="00E57B1F">
        <w:rPr>
          <w:rFonts w:cstheme="minorHAnsi"/>
          <w:sz w:val="22"/>
          <w:szCs w:val="22"/>
        </w:rPr>
        <w:t>. Para este taller se facilitarán servicios de subtitulado en tiempo real y participación a distancia.</w:t>
      </w:r>
    </w:p>
    <w:p w14:paraId="02041AF1" w14:textId="4C88F89E" w:rsidR="007D0DA9" w:rsidRPr="00E57B1F" w:rsidRDefault="007D0DA9" w:rsidP="007D0DA9">
      <w:pPr>
        <w:rPr>
          <w:rFonts w:cstheme="minorHAnsi"/>
          <w:sz w:val="22"/>
          <w:szCs w:val="22"/>
        </w:rPr>
      </w:pPr>
      <w:r w:rsidRPr="00E57B1F">
        <w:rPr>
          <w:rFonts w:cstheme="minorHAnsi"/>
          <w:sz w:val="22"/>
          <w:szCs w:val="22"/>
        </w:rPr>
        <w:t>2</w:t>
      </w:r>
      <w:r w:rsidRPr="00E57B1F">
        <w:rPr>
          <w:rFonts w:cstheme="minorHAnsi"/>
          <w:sz w:val="22"/>
          <w:szCs w:val="22"/>
        </w:rPr>
        <w:tab/>
      </w:r>
      <w:proofErr w:type="gramStart"/>
      <w:r w:rsidRPr="00E57B1F">
        <w:rPr>
          <w:rFonts w:cstheme="minorHAnsi"/>
          <w:sz w:val="22"/>
          <w:szCs w:val="22"/>
        </w:rPr>
        <w:t>Los</w:t>
      </w:r>
      <w:proofErr w:type="gramEnd"/>
      <w:r w:rsidRPr="00E57B1F">
        <w:rPr>
          <w:rFonts w:cstheme="minorHAnsi"/>
          <w:sz w:val="22"/>
          <w:szCs w:val="22"/>
        </w:rPr>
        <w:t xml:space="preserve"> videojuegos y los deportes electrónicos han aumentado su popularidad en todo el mundo y han cautivado a más de 3 000 millones de aficionados. Con una base de usuarios de 600 millones en plataformas de consola y 1 100 millones en ordenadores personales, estas actividades se han convertido en una de las formas predilectas de entretenimiento y han dado origen a nuevas corrientes de juegos competitivos, denominadas deportes electrónicos o </w:t>
      </w:r>
      <w:r w:rsidR="000C26D2" w:rsidRPr="00E57B1F">
        <w:rPr>
          <w:rFonts w:cstheme="minorHAnsi"/>
          <w:sz w:val="22"/>
          <w:szCs w:val="22"/>
        </w:rPr>
        <w:t>"</w:t>
      </w:r>
      <w:r w:rsidRPr="00E57B1F">
        <w:rPr>
          <w:rFonts w:cstheme="minorHAnsi"/>
          <w:sz w:val="22"/>
          <w:szCs w:val="22"/>
        </w:rPr>
        <w:t>esports</w:t>
      </w:r>
      <w:r w:rsidR="000C26D2" w:rsidRPr="00E57B1F">
        <w:rPr>
          <w:rFonts w:cstheme="minorHAnsi"/>
          <w:sz w:val="22"/>
          <w:szCs w:val="22"/>
        </w:rPr>
        <w:t>"</w:t>
      </w:r>
      <w:r w:rsidRPr="00E57B1F">
        <w:rPr>
          <w:rFonts w:cstheme="minorHAnsi"/>
          <w:sz w:val="22"/>
          <w:szCs w:val="22"/>
        </w:rPr>
        <w:t xml:space="preserve"> (videojuegos competitivos y organizados, en los que dos o más partes (de forma individual o en equipo) se enfrentan en condiciones reguladas y estructuradas). Sin embargo, la creciente prevalencia de la exposición prolongada a ruidos intensos en el marco de estas actividades ha suscitado serias inquietudes sanitarias, sobre todo en relación con las lesiones auditivas y las pérdidas de audición inducidas por el ruido.</w:t>
      </w:r>
    </w:p>
    <w:p w14:paraId="728A493E" w14:textId="2704CC91" w:rsidR="007D0DA9" w:rsidRPr="00E57B1F" w:rsidRDefault="007D0DA9" w:rsidP="007D0DA9">
      <w:pPr>
        <w:rPr>
          <w:sz w:val="22"/>
          <w:szCs w:val="22"/>
        </w:rPr>
      </w:pPr>
      <w:r w:rsidRPr="00E57B1F">
        <w:rPr>
          <w:sz w:val="22"/>
          <w:szCs w:val="22"/>
        </w:rPr>
        <w:t>3</w:t>
      </w:r>
      <w:r w:rsidRPr="00E57B1F">
        <w:rPr>
          <w:sz w:val="22"/>
          <w:szCs w:val="22"/>
        </w:rPr>
        <w:tab/>
        <w:t>En respuesta a este problema de salud pública, la UIT y la OMS han iniciado un nuevo tema de trabajo conjunto con el objetivo de elaborar una norma relativa a la escucha segura en el ámbito de los videojuegos y los deportes electrónicos, que complemente las exitosas directrices en materia de escucha segura en dispositivos (</w:t>
      </w:r>
      <w:hyperlink r:id="rId10" w:history="1">
        <w:r w:rsidRPr="00E57B1F">
          <w:rPr>
            <w:rStyle w:val="Hyperlink"/>
            <w:rFonts w:cstheme="minorHAnsi"/>
            <w:sz w:val="22"/>
            <w:szCs w:val="22"/>
          </w:rPr>
          <w:t>UIT-T H.870</w:t>
        </w:r>
      </w:hyperlink>
      <w:r w:rsidRPr="00E57B1F">
        <w:rPr>
          <w:sz w:val="22"/>
          <w:szCs w:val="22"/>
        </w:rPr>
        <w:t xml:space="preserve">) y </w:t>
      </w:r>
      <w:hyperlink r:id="rId11" w:history="1">
        <w:r w:rsidRPr="00E57B1F">
          <w:rPr>
            <w:rStyle w:val="Hyperlink"/>
            <w:rFonts w:cstheme="minorHAnsi"/>
            <w:sz w:val="22"/>
            <w:szCs w:val="22"/>
          </w:rPr>
          <w:t>lo</w:t>
        </w:r>
        <w:r w:rsidRPr="00E57B1F">
          <w:rPr>
            <w:rStyle w:val="Hyperlink"/>
            <w:rFonts w:cstheme="minorHAnsi"/>
            <w:sz w:val="22"/>
            <w:szCs w:val="22"/>
          </w:rPr>
          <w:t>c</w:t>
        </w:r>
        <w:r w:rsidRPr="00E57B1F">
          <w:rPr>
            <w:rStyle w:val="Hyperlink"/>
            <w:rFonts w:cstheme="minorHAnsi"/>
            <w:sz w:val="22"/>
            <w:szCs w:val="22"/>
          </w:rPr>
          <w:t>ales</w:t>
        </w:r>
      </w:hyperlink>
      <w:r w:rsidRPr="00E57B1F">
        <w:rPr>
          <w:sz w:val="22"/>
          <w:szCs w:val="22"/>
        </w:rPr>
        <w:t>. El proceso de elaboración de la nueva norma comprende una serie de talleres técnicos interactivos, que ejercen las veces de plataforma para reunir a expertos competentes, partes interesadas y representantes del sector, a fin de promover acciones concertadas y liderar la formulación de directrices y normas en favor de la escucha segura en el ámbito de los videojuegos y los deportes electrónicos.</w:t>
      </w:r>
    </w:p>
    <w:p w14:paraId="3E28CA7C" w14:textId="62B31CD3" w:rsidR="007D0DA9" w:rsidRPr="00E57B1F" w:rsidRDefault="007D0DA9" w:rsidP="007D0DA9">
      <w:pPr>
        <w:rPr>
          <w:sz w:val="22"/>
          <w:szCs w:val="22"/>
        </w:rPr>
      </w:pPr>
      <w:r w:rsidRPr="00E57B1F">
        <w:rPr>
          <w:sz w:val="22"/>
          <w:szCs w:val="22"/>
        </w:rPr>
        <w:t>4</w:t>
      </w:r>
      <w:r w:rsidRPr="00E57B1F">
        <w:rPr>
          <w:sz w:val="22"/>
          <w:szCs w:val="22"/>
        </w:rPr>
        <w:tab/>
      </w:r>
      <w:bookmarkStart w:id="4" w:name="lt_pId061"/>
      <w:proofErr w:type="gramStart"/>
      <w:r w:rsidRPr="00E57B1F">
        <w:rPr>
          <w:sz w:val="22"/>
          <w:szCs w:val="22"/>
        </w:rPr>
        <w:t>Este</w:t>
      </w:r>
      <w:proofErr w:type="gramEnd"/>
      <w:r w:rsidRPr="00E57B1F">
        <w:rPr>
          <w:sz w:val="22"/>
          <w:szCs w:val="22"/>
        </w:rPr>
        <w:t xml:space="preserve"> evento se basará en los </w:t>
      </w:r>
      <w:hyperlink r:id="rId12" w:history="1">
        <w:r w:rsidRPr="00E57B1F">
          <w:rPr>
            <w:rStyle w:val="Hyperlink"/>
            <w:sz w:val="22"/>
            <w:szCs w:val="22"/>
          </w:rPr>
          <w:t xml:space="preserve">talleres </w:t>
        </w:r>
        <w:r w:rsidRPr="00E57B1F">
          <w:rPr>
            <w:rStyle w:val="Hyperlink"/>
            <w:sz w:val="22"/>
            <w:szCs w:val="22"/>
          </w:rPr>
          <w:t>a</w:t>
        </w:r>
        <w:r w:rsidRPr="00E57B1F">
          <w:rPr>
            <w:rStyle w:val="Hyperlink"/>
            <w:sz w:val="22"/>
            <w:szCs w:val="22"/>
          </w:rPr>
          <w:t>nteriores</w:t>
        </w:r>
      </w:hyperlink>
      <w:r w:rsidRPr="00E57B1F">
        <w:rPr>
          <w:sz w:val="22"/>
          <w:szCs w:val="22"/>
        </w:rPr>
        <w:t>, celebrados en septiembre de 2023 y en enero de 2024, y aspirará a promover entre la amplia comunidad de profesionales y aficionados a los videojuegos y los deportes electrónicos los casos de uso y las funcionalidades que podrían beneficiarse de la aplicación de unas directrices y normas específicas en materia de escucha segura.</w:t>
      </w:r>
      <w:bookmarkEnd w:id="4"/>
    </w:p>
    <w:p w14:paraId="3DECC44C" w14:textId="77777777" w:rsidR="007D0DA9" w:rsidRPr="00E57B1F" w:rsidRDefault="007D0DA9" w:rsidP="007D0DA9">
      <w:pPr>
        <w:rPr>
          <w:sz w:val="22"/>
          <w:szCs w:val="22"/>
        </w:rPr>
      </w:pPr>
      <w:r w:rsidRPr="00E57B1F">
        <w:rPr>
          <w:sz w:val="22"/>
          <w:szCs w:val="22"/>
        </w:rPr>
        <w:lastRenderedPageBreak/>
        <w:t>5</w:t>
      </w:r>
      <w:r w:rsidRPr="00E57B1F">
        <w:rPr>
          <w:sz w:val="22"/>
          <w:szCs w:val="22"/>
        </w:rPr>
        <w:tab/>
      </w:r>
      <w:bookmarkStart w:id="5" w:name="lt_pId063"/>
      <w:proofErr w:type="gramStart"/>
      <w:r w:rsidRPr="00E57B1F">
        <w:rPr>
          <w:sz w:val="22"/>
          <w:szCs w:val="22"/>
        </w:rPr>
        <w:t>Los</w:t>
      </w:r>
      <w:proofErr w:type="gramEnd"/>
      <w:r w:rsidRPr="00E57B1F">
        <w:rPr>
          <w:sz w:val="22"/>
          <w:szCs w:val="22"/>
        </w:rPr>
        <w:t xml:space="preserve"> principales objetivos de este taller son los siguientes:</w:t>
      </w:r>
      <w:bookmarkEnd w:id="5"/>
    </w:p>
    <w:p w14:paraId="3F337BDD" w14:textId="0D6DADDB" w:rsidR="007D0DA9" w:rsidRPr="00E57B1F" w:rsidRDefault="007D0DA9" w:rsidP="00246C9D">
      <w:pPr>
        <w:pStyle w:val="enumlev1"/>
        <w:tabs>
          <w:tab w:val="clear" w:pos="794"/>
          <w:tab w:val="clear" w:pos="1191"/>
          <w:tab w:val="left" w:pos="1276"/>
        </w:tabs>
        <w:ind w:left="1134" w:hanging="425"/>
        <w:rPr>
          <w:rFonts w:cstheme="minorHAnsi"/>
          <w:sz w:val="22"/>
          <w:szCs w:val="22"/>
        </w:rPr>
      </w:pPr>
      <w:bookmarkStart w:id="6" w:name="lt_pId064"/>
      <w:r w:rsidRPr="00E57B1F">
        <w:rPr>
          <w:rFonts w:cstheme="minorHAnsi"/>
          <w:sz w:val="22"/>
          <w:szCs w:val="22"/>
        </w:rPr>
        <w:t>–</w:t>
      </w:r>
      <w:r w:rsidRPr="00E57B1F">
        <w:rPr>
          <w:rFonts w:cstheme="minorHAnsi"/>
          <w:sz w:val="22"/>
          <w:szCs w:val="22"/>
        </w:rPr>
        <w:tab/>
      </w:r>
      <w:r w:rsidR="001D3A35" w:rsidRPr="00E57B1F">
        <w:rPr>
          <w:rFonts w:cstheme="minorHAnsi"/>
          <w:sz w:val="22"/>
          <w:szCs w:val="22"/>
        </w:rPr>
        <w:t>R</w:t>
      </w:r>
      <w:r w:rsidRPr="00E57B1F">
        <w:rPr>
          <w:rFonts w:cstheme="minorHAnsi"/>
          <w:sz w:val="22"/>
          <w:szCs w:val="22"/>
        </w:rPr>
        <w:t>evisar el proyecto actual, que fue objeto de actualización a raíz del taller de enero de 2024, para incluir definiciones, funcionalidades y elementos y revisados</w:t>
      </w:r>
      <w:bookmarkEnd w:id="6"/>
      <w:r w:rsidRPr="00E57B1F">
        <w:rPr>
          <w:rFonts w:cstheme="minorHAnsi"/>
          <w:sz w:val="22"/>
          <w:szCs w:val="22"/>
        </w:rPr>
        <w:t>;</w:t>
      </w:r>
    </w:p>
    <w:p w14:paraId="3523A879" w14:textId="55EE7120" w:rsidR="007D0DA9" w:rsidRPr="00E57B1F" w:rsidRDefault="007D0DA9" w:rsidP="00246C9D">
      <w:pPr>
        <w:pStyle w:val="enumlev1"/>
        <w:tabs>
          <w:tab w:val="clear" w:pos="794"/>
          <w:tab w:val="clear" w:pos="1191"/>
          <w:tab w:val="left" w:pos="1276"/>
        </w:tabs>
        <w:ind w:left="1134" w:hanging="425"/>
        <w:rPr>
          <w:rFonts w:cstheme="minorHAnsi"/>
          <w:sz w:val="22"/>
          <w:szCs w:val="22"/>
        </w:rPr>
      </w:pPr>
      <w:bookmarkStart w:id="7" w:name="lt_pId065"/>
      <w:r w:rsidRPr="00E57B1F">
        <w:rPr>
          <w:rFonts w:cstheme="minorHAnsi"/>
          <w:sz w:val="22"/>
          <w:szCs w:val="22"/>
        </w:rPr>
        <w:t>–</w:t>
      </w:r>
      <w:r w:rsidRPr="00E57B1F">
        <w:rPr>
          <w:rFonts w:cstheme="minorHAnsi"/>
          <w:sz w:val="22"/>
          <w:szCs w:val="22"/>
        </w:rPr>
        <w:tab/>
      </w:r>
      <w:r w:rsidR="001D3A35" w:rsidRPr="00E57B1F">
        <w:rPr>
          <w:rFonts w:cstheme="minorHAnsi"/>
          <w:sz w:val="22"/>
          <w:szCs w:val="22"/>
        </w:rPr>
        <w:t>D</w:t>
      </w:r>
      <w:r w:rsidRPr="00E57B1F">
        <w:rPr>
          <w:rFonts w:cstheme="minorHAnsi"/>
          <w:sz w:val="22"/>
          <w:szCs w:val="22"/>
        </w:rPr>
        <w:t>ebatir acerca de las funcionalidades que deben incluirse en la norma propuesta en materia de escucha segura en el ámbito de los videojuegos y los deportes electrónicos</w:t>
      </w:r>
      <w:bookmarkEnd w:id="7"/>
      <w:r w:rsidRPr="00E57B1F">
        <w:rPr>
          <w:rFonts w:cstheme="minorHAnsi"/>
          <w:sz w:val="22"/>
          <w:szCs w:val="22"/>
        </w:rPr>
        <w:t>;</w:t>
      </w:r>
    </w:p>
    <w:p w14:paraId="340305F8" w14:textId="515C2D1F" w:rsidR="007D0DA9" w:rsidRPr="00E57B1F" w:rsidRDefault="007D0DA9" w:rsidP="00246C9D">
      <w:pPr>
        <w:pStyle w:val="enumlev1"/>
        <w:tabs>
          <w:tab w:val="clear" w:pos="794"/>
          <w:tab w:val="clear" w:pos="1191"/>
          <w:tab w:val="left" w:pos="1276"/>
        </w:tabs>
        <w:ind w:left="1134" w:hanging="425"/>
        <w:rPr>
          <w:rFonts w:cstheme="minorHAnsi"/>
          <w:sz w:val="22"/>
          <w:szCs w:val="22"/>
        </w:rPr>
      </w:pPr>
      <w:bookmarkStart w:id="8" w:name="lt_pId066"/>
      <w:r w:rsidRPr="00E57B1F">
        <w:rPr>
          <w:rFonts w:cstheme="minorHAnsi"/>
          <w:sz w:val="22"/>
          <w:szCs w:val="22"/>
        </w:rPr>
        <w:t>–</w:t>
      </w:r>
      <w:r w:rsidRPr="00E57B1F">
        <w:rPr>
          <w:rFonts w:cstheme="minorHAnsi"/>
          <w:sz w:val="22"/>
          <w:szCs w:val="22"/>
        </w:rPr>
        <w:tab/>
      </w:r>
      <w:r w:rsidR="001D3A35" w:rsidRPr="00E57B1F">
        <w:rPr>
          <w:rFonts w:cstheme="minorHAnsi"/>
          <w:sz w:val="22"/>
          <w:szCs w:val="22"/>
        </w:rPr>
        <w:t>E</w:t>
      </w:r>
      <w:r w:rsidRPr="00E57B1F">
        <w:rPr>
          <w:rFonts w:cstheme="minorHAnsi"/>
          <w:sz w:val="22"/>
          <w:szCs w:val="22"/>
        </w:rPr>
        <w:t>stablecer prioridades entre las posibles funcionalidades que deben incluirse en la norma propuesta;</w:t>
      </w:r>
      <w:bookmarkEnd w:id="8"/>
      <w:r w:rsidRPr="00E57B1F">
        <w:rPr>
          <w:rFonts w:cstheme="minorHAnsi"/>
          <w:sz w:val="22"/>
          <w:szCs w:val="22"/>
        </w:rPr>
        <w:t xml:space="preserve"> </w:t>
      </w:r>
    </w:p>
    <w:p w14:paraId="7308D707" w14:textId="08DAEA53" w:rsidR="007D0DA9" w:rsidRPr="00E57B1F" w:rsidRDefault="007D0DA9" w:rsidP="00246C9D">
      <w:pPr>
        <w:pStyle w:val="enumlev1"/>
        <w:tabs>
          <w:tab w:val="clear" w:pos="794"/>
          <w:tab w:val="clear" w:pos="1191"/>
          <w:tab w:val="left" w:pos="1276"/>
        </w:tabs>
        <w:ind w:left="1134" w:hanging="425"/>
        <w:rPr>
          <w:rFonts w:cstheme="minorHAnsi"/>
          <w:sz w:val="22"/>
          <w:szCs w:val="22"/>
        </w:rPr>
      </w:pPr>
      <w:bookmarkStart w:id="9" w:name="lt_pId067"/>
      <w:r w:rsidRPr="00E57B1F">
        <w:rPr>
          <w:rFonts w:cstheme="minorHAnsi"/>
          <w:sz w:val="22"/>
          <w:szCs w:val="22"/>
        </w:rPr>
        <w:t>–</w:t>
      </w:r>
      <w:r w:rsidRPr="00E57B1F">
        <w:rPr>
          <w:rFonts w:cstheme="minorHAnsi"/>
          <w:sz w:val="22"/>
          <w:szCs w:val="22"/>
        </w:rPr>
        <w:tab/>
      </w:r>
      <w:r w:rsidR="001D3A35" w:rsidRPr="00E57B1F">
        <w:rPr>
          <w:rFonts w:cstheme="minorHAnsi"/>
          <w:sz w:val="22"/>
          <w:szCs w:val="22"/>
        </w:rPr>
        <w:t>E</w:t>
      </w:r>
      <w:r w:rsidRPr="00E57B1F">
        <w:rPr>
          <w:rFonts w:cstheme="minorHAnsi"/>
          <w:sz w:val="22"/>
          <w:szCs w:val="22"/>
        </w:rPr>
        <w:t xml:space="preserve">xaminar los problemas y limitaciones que podrían surgir durante la aplicación de las funcionalidades recomendadas y/o la utilización por los usuarios de los dispositivos de </w:t>
      </w:r>
      <w:r w:rsidRPr="00E57B1F">
        <w:rPr>
          <w:rFonts w:cstheme="minorHAnsi"/>
          <w:i/>
          <w:iCs/>
          <w:sz w:val="22"/>
          <w:szCs w:val="22"/>
        </w:rPr>
        <w:t>software</w:t>
      </w:r>
      <w:r w:rsidRPr="00E57B1F">
        <w:rPr>
          <w:rFonts w:cstheme="minorHAnsi"/>
          <w:sz w:val="22"/>
          <w:szCs w:val="22"/>
        </w:rPr>
        <w:t xml:space="preserve"> y </w:t>
      </w:r>
      <w:r w:rsidRPr="00E57B1F">
        <w:rPr>
          <w:rFonts w:cstheme="minorHAnsi"/>
          <w:i/>
          <w:iCs/>
          <w:sz w:val="22"/>
          <w:szCs w:val="22"/>
        </w:rPr>
        <w:t>hardware</w:t>
      </w:r>
      <w:r w:rsidRPr="00E57B1F">
        <w:rPr>
          <w:rFonts w:cstheme="minorHAnsi"/>
          <w:sz w:val="22"/>
          <w:szCs w:val="22"/>
        </w:rPr>
        <w:t xml:space="preserve"> de videojuegos de las funcionalidades de escucha segura propuestas.</w:t>
      </w:r>
      <w:bookmarkEnd w:id="9"/>
    </w:p>
    <w:p w14:paraId="352E22E0" w14:textId="77777777" w:rsidR="007D0DA9" w:rsidRPr="00E57B1F" w:rsidRDefault="007D0DA9" w:rsidP="007D0DA9">
      <w:pPr>
        <w:rPr>
          <w:rFonts w:cstheme="minorHAnsi"/>
          <w:sz w:val="22"/>
          <w:szCs w:val="22"/>
        </w:rPr>
      </w:pPr>
      <w:r w:rsidRPr="00E57B1F">
        <w:rPr>
          <w:rFonts w:cstheme="minorHAnsi"/>
          <w:sz w:val="22"/>
          <w:szCs w:val="22"/>
        </w:rPr>
        <w:t>6</w:t>
      </w:r>
      <w:r w:rsidRPr="00E57B1F">
        <w:rPr>
          <w:rFonts w:cstheme="minorHAnsi"/>
          <w:sz w:val="22"/>
          <w:szCs w:val="22"/>
        </w:rPr>
        <w:tab/>
      </w:r>
      <w:proofErr w:type="gramStart"/>
      <w:r w:rsidRPr="00E57B1F">
        <w:rPr>
          <w:rFonts w:cstheme="minorHAnsi"/>
          <w:sz w:val="22"/>
          <w:szCs w:val="22"/>
        </w:rPr>
        <w:t>En</w:t>
      </w:r>
      <w:proofErr w:type="gramEnd"/>
      <w:r w:rsidRPr="00E57B1F">
        <w:rPr>
          <w:rFonts w:cstheme="minorHAnsi"/>
          <w:sz w:val="22"/>
          <w:szCs w:val="22"/>
        </w:rPr>
        <w:t xml:space="preserve"> este evento participarán expertos en el campo de la audiología, los videojuegos, los deportes electrónicos, la tecnología y la salud pública, a fin de revisar las normas en materia de escucha segura vigentes (por ejemplo, la Recomendación </w:t>
      </w:r>
      <w:hyperlink r:id="rId13" w:history="1">
        <w:r w:rsidRPr="00E57B1F">
          <w:rPr>
            <w:rStyle w:val="Hyperlink"/>
            <w:rFonts w:cstheme="minorHAnsi"/>
            <w:sz w:val="22"/>
            <w:szCs w:val="22"/>
          </w:rPr>
          <w:t>UIT-T H</w:t>
        </w:r>
        <w:r w:rsidRPr="00E57B1F">
          <w:rPr>
            <w:rStyle w:val="Hyperlink"/>
            <w:rFonts w:cstheme="minorHAnsi"/>
            <w:sz w:val="22"/>
            <w:szCs w:val="22"/>
          </w:rPr>
          <w:t>.</w:t>
        </w:r>
        <w:r w:rsidRPr="00E57B1F">
          <w:rPr>
            <w:rStyle w:val="Hyperlink"/>
            <w:rFonts w:cstheme="minorHAnsi"/>
            <w:sz w:val="22"/>
            <w:szCs w:val="22"/>
          </w:rPr>
          <w:t>870</w:t>
        </w:r>
      </w:hyperlink>
      <w:r w:rsidRPr="00E57B1F">
        <w:rPr>
          <w:rFonts w:cstheme="minorHAnsi"/>
          <w:sz w:val="22"/>
          <w:szCs w:val="22"/>
        </w:rPr>
        <w:t>) y entablar un debate acerca de los retos y oportunidades relacionados con la escucha segura en el ámbito de los videojuegos y los deportes electrónicos.</w:t>
      </w:r>
    </w:p>
    <w:p w14:paraId="45FCC49D" w14:textId="1EF9EE85" w:rsidR="007D0DA9" w:rsidRPr="00E57B1F" w:rsidRDefault="007D0DA9" w:rsidP="007D0DA9">
      <w:pPr>
        <w:rPr>
          <w:rFonts w:cstheme="minorHAnsi"/>
          <w:sz w:val="22"/>
          <w:szCs w:val="22"/>
        </w:rPr>
      </w:pPr>
      <w:r w:rsidRPr="00E57B1F">
        <w:rPr>
          <w:rFonts w:cstheme="minorHAnsi"/>
          <w:sz w:val="22"/>
          <w:szCs w:val="22"/>
        </w:rPr>
        <w:t>7</w:t>
      </w:r>
      <w:r w:rsidRPr="00E57B1F">
        <w:rPr>
          <w:rFonts w:cstheme="minorHAnsi"/>
          <w:sz w:val="22"/>
          <w:szCs w:val="22"/>
        </w:rPr>
        <w:tab/>
      </w:r>
      <w:proofErr w:type="gramStart"/>
      <w:r w:rsidRPr="00E57B1F">
        <w:rPr>
          <w:rFonts w:cstheme="minorHAnsi"/>
          <w:sz w:val="22"/>
          <w:szCs w:val="22"/>
        </w:rPr>
        <w:t>En</w:t>
      </w:r>
      <w:proofErr w:type="gramEnd"/>
      <w:r w:rsidRPr="00E57B1F">
        <w:rPr>
          <w:rFonts w:cstheme="minorHAnsi"/>
          <w:sz w:val="22"/>
          <w:szCs w:val="22"/>
        </w:rPr>
        <w:t xml:space="preserve"> este taller pueden participar de forma gratuita los miembros de la UIT y los expertos invitados, no obstante, es obligatorio inscribirse para asistir tanto en persona como en línea (véase</w:t>
      </w:r>
      <w:r w:rsidR="00CF311A" w:rsidRPr="00E57B1F">
        <w:rPr>
          <w:rFonts w:cstheme="minorHAnsi"/>
          <w:sz w:val="22"/>
          <w:szCs w:val="22"/>
        </w:rPr>
        <w:t> </w:t>
      </w:r>
      <w:r w:rsidRPr="00E57B1F">
        <w:rPr>
          <w:rFonts w:cstheme="minorHAnsi"/>
          <w:sz w:val="22"/>
          <w:szCs w:val="22"/>
        </w:rPr>
        <w:t>el § 9).</w:t>
      </w:r>
    </w:p>
    <w:p w14:paraId="0D0FA1B1" w14:textId="682CAAAA" w:rsidR="007D0DA9" w:rsidRPr="00E57B1F" w:rsidRDefault="007D0DA9" w:rsidP="007D0DA9">
      <w:pPr>
        <w:rPr>
          <w:rFonts w:cstheme="minorHAnsi"/>
          <w:sz w:val="22"/>
          <w:szCs w:val="22"/>
        </w:rPr>
      </w:pPr>
      <w:r w:rsidRPr="00E57B1F">
        <w:rPr>
          <w:rFonts w:cstheme="minorHAnsi"/>
          <w:sz w:val="22"/>
          <w:szCs w:val="22"/>
        </w:rPr>
        <w:t>8</w:t>
      </w:r>
      <w:r w:rsidRPr="00E57B1F">
        <w:rPr>
          <w:rFonts w:cstheme="minorHAnsi"/>
          <w:sz w:val="22"/>
          <w:szCs w:val="22"/>
        </w:rPr>
        <w:tab/>
      </w:r>
      <w:proofErr w:type="gramStart"/>
      <w:r w:rsidRPr="00E57B1F">
        <w:rPr>
          <w:rFonts w:cstheme="minorHAnsi"/>
          <w:sz w:val="22"/>
          <w:szCs w:val="22"/>
        </w:rPr>
        <w:t>Toda</w:t>
      </w:r>
      <w:proofErr w:type="gramEnd"/>
      <w:r w:rsidRPr="00E57B1F">
        <w:rPr>
          <w:rFonts w:cstheme="minorHAnsi"/>
          <w:sz w:val="22"/>
          <w:szCs w:val="22"/>
        </w:rPr>
        <w:t xml:space="preserve"> la información relativa al taller, incluido el proyecto de programa, se publicará en el sitio web del evento en la dirección:</w:t>
      </w:r>
      <w:r w:rsidRPr="00E57B1F">
        <w:rPr>
          <w:rFonts w:ascii="Calibri" w:eastAsiaTheme="minorEastAsia" w:hAnsi="Calibri" w:cs="Calibri"/>
          <w:sz w:val="22"/>
          <w:szCs w:val="22"/>
        </w:rPr>
        <w:t xml:space="preserve"> </w:t>
      </w:r>
      <w:hyperlink r:id="rId14" w:history="1">
        <w:r w:rsidR="001D3A35" w:rsidRPr="00E57B1F">
          <w:rPr>
            <w:rStyle w:val="Hyperlink"/>
            <w:sz w:val="22"/>
            <w:szCs w:val="18"/>
          </w:rPr>
          <w:t>https://www.itu.int/en/ITU-T/Workshops-and-Seminars/2024/0416/Pages/default.aspx</w:t>
        </w:r>
      </w:hyperlink>
      <w:r w:rsidR="001D3A35" w:rsidRPr="00E57B1F">
        <w:rPr>
          <w:sz w:val="22"/>
          <w:szCs w:val="18"/>
        </w:rPr>
        <w:t xml:space="preserve">. </w:t>
      </w:r>
      <w:r w:rsidRPr="00E57B1F">
        <w:rPr>
          <w:rFonts w:cstheme="minorHAnsi"/>
          <w:sz w:val="22"/>
          <w:szCs w:val="22"/>
        </w:rPr>
        <w:t>La página web del evento se irá actualizando a medida que se disponga de información nueva o modificada. Se recomienda a los participantes que consulten periódicamente el sitio web para conocer las últimas novedades.</w:t>
      </w:r>
    </w:p>
    <w:p w14:paraId="2BBAB0EF" w14:textId="58B2462F" w:rsidR="007D0DA9" w:rsidRPr="00E57B1F" w:rsidRDefault="007D0DA9" w:rsidP="007D0DA9">
      <w:pPr>
        <w:rPr>
          <w:rFonts w:cstheme="minorHAnsi"/>
          <w:b/>
          <w:bCs/>
          <w:sz w:val="22"/>
          <w:szCs w:val="22"/>
        </w:rPr>
      </w:pPr>
      <w:r w:rsidRPr="00E57B1F">
        <w:rPr>
          <w:rFonts w:cstheme="minorHAnsi"/>
          <w:sz w:val="22"/>
          <w:szCs w:val="22"/>
        </w:rPr>
        <w:t>9</w:t>
      </w:r>
      <w:r w:rsidRPr="00E57B1F">
        <w:rPr>
          <w:rFonts w:cstheme="minorHAnsi"/>
          <w:sz w:val="22"/>
          <w:szCs w:val="22"/>
        </w:rPr>
        <w:tab/>
      </w:r>
      <w:proofErr w:type="gramStart"/>
      <w:r w:rsidRPr="00E57B1F">
        <w:rPr>
          <w:rFonts w:cstheme="minorHAnsi"/>
          <w:sz w:val="22"/>
          <w:szCs w:val="22"/>
        </w:rPr>
        <w:t>A</w:t>
      </w:r>
      <w:proofErr w:type="gramEnd"/>
      <w:r w:rsidRPr="00E57B1F">
        <w:rPr>
          <w:rFonts w:cstheme="minorHAnsi"/>
          <w:sz w:val="22"/>
          <w:szCs w:val="22"/>
        </w:rPr>
        <w:t xml:space="preserve"> fin de que la TSB pueda tomar las disposiciones necesarias para la organización del taller, le agradeceríamos que se inscribiese a la mayor brevedad en la dirección </w:t>
      </w:r>
      <w:hyperlink r:id="rId15" w:history="1">
        <w:r w:rsidRPr="00E57B1F">
          <w:rPr>
            <w:rStyle w:val="Hyperlink"/>
            <w:rFonts w:cstheme="minorHAnsi"/>
            <w:sz w:val="22"/>
            <w:szCs w:val="22"/>
          </w:rPr>
          <w:t>https://www.itu.int/net4/CRM/xreg/web/R</w:t>
        </w:r>
        <w:r w:rsidRPr="00E57B1F">
          <w:rPr>
            <w:rStyle w:val="Hyperlink"/>
            <w:rFonts w:cstheme="minorHAnsi"/>
            <w:sz w:val="22"/>
            <w:szCs w:val="22"/>
          </w:rPr>
          <w:t>e</w:t>
        </w:r>
        <w:r w:rsidRPr="00E57B1F">
          <w:rPr>
            <w:rStyle w:val="Hyperlink"/>
            <w:rFonts w:cstheme="minorHAnsi"/>
            <w:sz w:val="22"/>
            <w:szCs w:val="22"/>
          </w:rPr>
          <w:t>gistration.aspx?Event=C-00013953</w:t>
        </w:r>
      </w:hyperlink>
      <w:r w:rsidRPr="00E57B1F">
        <w:rPr>
          <w:rFonts w:cstheme="minorHAnsi"/>
          <w:b/>
          <w:bCs/>
          <w:sz w:val="22"/>
          <w:szCs w:val="22"/>
        </w:rPr>
        <w:t>. Le rogamos tenga presente que la preinscripción de los participantes en los talleres es obligatoria y se lleva a cabo exclusivamente en línea.</w:t>
      </w:r>
    </w:p>
    <w:p w14:paraId="3BC17D80" w14:textId="34228C0E" w:rsidR="007B6316" w:rsidRPr="00E57B1F" w:rsidRDefault="007D0DA9" w:rsidP="007D0DA9">
      <w:pPr>
        <w:rPr>
          <w:sz w:val="22"/>
          <w:szCs w:val="18"/>
        </w:rPr>
      </w:pPr>
      <w:r w:rsidRPr="00E57B1F">
        <w:rPr>
          <w:rFonts w:cstheme="minorHAnsi"/>
          <w:sz w:val="22"/>
          <w:szCs w:val="22"/>
        </w:rPr>
        <w:t>10</w:t>
      </w:r>
      <w:r w:rsidRPr="00E57B1F">
        <w:rPr>
          <w:rFonts w:cstheme="minorHAnsi"/>
          <w:sz w:val="22"/>
          <w:szCs w:val="22"/>
        </w:rPr>
        <w:tab/>
      </w:r>
      <w:proofErr w:type="gramStart"/>
      <w:r w:rsidRPr="00E57B1F">
        <w:rPr>
          <w:rFonts w:cstheme="minorHAnsi"/>
          <w:sz w:val="22"/>
          <w:szCs w:val="22"/>
        </w:rPr>
        <w:t>Nos</w:t>
      </w:r>
      <w:proofErr w:type="gramEnd"/>
      <w:r w:rsidRPr="00E57B1F">
        <w:rPr>
          <w:rFonts w:cstheme="minorHAnsi"/>
          <w:sz w:val="22"/>
          <w:szCs w:val="22"/>
        </w:rPr>
        <w:t xml:space="preserve"> gustaría recordarle que los ciudadanos de algunos países necesitan obtener un visado para entrar y efectuar una estadía en Francia. El visado debe obtenerse en la oficina (embajada o consulado) que represente a Francia en su país o, en su defecto, en la entidad más cercana al país de salida. Podrá consultar información adicional sobre los requisitos para la obtención del visado en el sitio web del evento, bajo el epígrafe "</w:t>
      </w:r>
      <w:r w:rsidRPr="00E57B1F">
        <w:rPr>
          <w:rFonts w:cstheme="minorHAnsi"/>
          <w:b/>
          <w:bCs/>
          <w:sz w:val="22"/>
          <w:szCs w:val="22"/>
        </w:rPr>
        <w:t>Información práctica</w:t>
      </w:r>
      <w:r w:rsidRPr="00E57B1F">
        <w:rPr>
          <w:rFonts w:cstheme="minorHAnsi"/>
          <w:sz w:val="22"/>
          <w:szCs w:val="22"/>
        </w:rPr>
        <w:t>".</w:t>
      </w:r>
    </w:p>
    <w:p w14:paraId="3AB70F98" w14:textId="7D80DA46" w:rsidR="007B6316" w:rsidRPr="00E57B1F" w:rsidRDefault="007B6316" w:rsidP="00CF311A">
      <w:pPr>
        <w:spacing w:after="120"/>
        <w:rPr>
          <w:sz w:val="22"/>
          <w:szCs w:val="18"/>
        </w:rPr>
      </w:pPr>
      <w:r w:rsidRPr="00E57B1F">
        <w:rPr>
          <w:sz w:val="22"/>
          <w:szCs w:val="18"/>
        </w:rPr>
        <w:t>Atentamente,</w:t>
      </w:r>
    </w:p>
    <w:p w14:paraId="2FA92CA9" w14:textId="5342A418" w:rsidR="007B6316" w:rsidRPr="00081FE5" w:rsidRDefault="0065047E" w:rsidP="00E57B1F">
      <w:pPr>
        <w:spacing w:before="840"/>
      </w:pPr>
      <w:r>
        <w:rPr>
          <w:noProof/>
          <w:sz w:val="22"/>
          <w:szCs w:val="18"/>
        </w:rPr>
        <w:drawing>
          <wp:anchor distT="0" distB="0" distL="114300" distR="114300" simplePos="0" relativeHeight="251658240" behindDoc="1" locked="0" layoutInCell="1" allowOverlap="1" wp14:anchorId="6BFD1829" wp14:editId="748FAD2D">
            <wp:simplePos x="0" y="0"/>
            <wp:positionH relativeFrom="column">
              <wp:posOffset>-1905</wp:posOffset>
            </wp:positionH>
            <wp:positionV relativeFrom="paragraph">
              <wp:posOffset>66040</wp:posOffset>
            </wp:positionV>
            <wp:extent cx="697908" cy="314325"/>
            <wp:effectExtent l="0" t="0" r="6985" b="0"/>
            <wp:wrapNone/>
            <wp:docPr id="1388950139"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50139" name="Picture 1" descr="A black and blu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97908" cy="314325"/>
                    </a:xfrm>
                    <a:prstGeom prst="rect">
                      <a:avLst/>
                    </a:prstGeom>
                  </pic:spPr>
                </pic:pic>
              </a:graphicData>
            </a:graphic>
            <wp14:sizeRelH relativeFrom="margin">
              <wp14:pctWidth>0</wp14:pctWidth>
            </wp14:sizeRelH>
            <wp14:sizeRelV relativeFrom="margin">
              <wp14:pctHeight>0</wp14:pctHeight>
            </wp14:sizeRelV>
          </wp:anchor>
        </w:drawing>
      </w:r>
      <w:r w:rsidR="001350B9" w:rsidRPr="00E57B1F">
        <w:rPr>
          <w:rFonts w:cstheme="minorHAnsi"/>
          <w:sz w:val="22"/>
          <w:lang w:val="es-ES"/>
        </w:rPr>
        <w:t>Seizo Onoe</w:t>
      </w:r>
      <w:r w:rsidR="007B6316" w:rsidRPr="00E57B1F">
        <w:rPr>
          <w:sz w:val="22"/>
          <w:szCs w:val="18"/>
        </w:rPr>
        <w:br/>
      </w:r>
      <w:proofErr w:type="gramStart"/>
      <w:r w:rsidR="007B6316" w:rsidRPr="00E57B1F">
        <w:rPr>
          <w:sz w:val="22"/>
          <w:szCs w:val="18"/>
        </w:rPr>
        <w:t>Director</w:t>
      </w:r>
      <w:proofErr w:type="gramEnd"/>
      <w:r w:rsidR="007B6316" w:rsidRPr="00E57B1F">
        <w:rPr>
          <w:sz w:val="22"/>
          <w:szCs w:val="18"/>
        </w:rPr>
        <w:t xml:space="preserve"> de la Oficina de </w:t>
      </w:r>
      <w:r w:rsidR="007B6316" w:rsidRPr="00E57B1F">
        <w:rPr>
          <w:sz w:val="22"/>
          <w:szCs w:val="18"/>
        </w:rPr>
        <w:br/>
        <w:t>Normalización de las Telecomunicaciones</w:t>
      </w:r>
    </w:p>
    <w:sectPr w:rsidR="007B6316" w:rsidRPr="00081FE5"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DEA5" w14:textId="77777777" w:rsidR="00D01D91" w:rsidRDefault="00D01D91">
      <w:r>
        <w:separator/>
      </w:r>
    </w:p>
  </w:endnote>
  <w:endnote w:type="continuationSeparator" w:id="0">
    <w:p w14:paraId="72AAF342" w14:textId="77777777" w:rsidR="00D01D91" w:rsidRDefault="00D0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7C24"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6F66" w14:textId="77777777" w:rsidR="00D01D91" w:rsidRDefault="00D01D91">
      <w:r>
        <w:t>____________________</w:t>
      </w:r>
    </w:p>
  </w:footnote>
  <w:footnote w:type="continuationSeparator" w:id="0">
    <w:p w14:paraId="703E5704" w14:textId="77777777" w:rsidR="00D01D91" w:rsidRDefault="00D0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1EC" w14:textId="7E41779B" w:rsidR="006969B4" w:rsidRPr="000C26D2" w:rsidRDefault="006969B4" w:rsidP="000C26D2">
    <w:pPr>
      <w:pStyle w:val="Header"/>
      <w:tabs>
        <w:tab w:val="left" w:pos="794"/>
        <w:tab w:val="left" w:pos="1191"/>
        <w:tab w:val="left" w:pos="1588"/>
        <w:tab w:val="left" w:pos="1985"/>
      </w:tabs>
      <w:rPr>
        <w:rFonts w:ascii="Calibri" w:eastAsiaTheme="minorEastAsia" w:hAnsi="Calibri" w:cs="Calibri"/>
        <w:sz w:val="18"/>
        <w:szCs w:val="22"/>
        <w:lang w:val="en-GB"/>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0C26D2">
      <w:rPr>
        <w:rStyle w:val="PageNumber"/>
        <w:sz w:val="18"/>
        <w:szCs w:val="18"/>
      </w:rPr>
      <w:br/>
    </w:r>
    <w:r w:rsidR="000C26D2">
      <w:rPr>
        <w:rFonts w:ascii="Calibri" w:eastAsiaTheme="minorEastAsia" w:hAnsi="Calibri" w:cs="Calibri"/>
        <w:sz w:val="18"/>
        <w:szCs w:val="22"/>
        <w:lang w:val="en-GB"/>
      </w:rPr>
      <w:t>TSB Circular 197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A9"/>
    <w:rsid w:val="00002529"/>
    <w:rsid w:val="00085662"/>
    <w:rsid w:val="000C26D2"/>
    <w:rsid w:val="000C382F"/>
    <w:rsid w:val="001173CC"/>
    <w:rsid w:val="001350B9"/>
    <w:rsid w:val="0014464D"/>
    <w:rsid w:val="00156CB4"/>
    <w:rsid w:val="00180F16"/>
    <w:rsid w:val="00184455"/>
    <w:rsid w:val="001A54CC"/>
    <w:rsid w:val="001D3A35"/>
    <w:rsid w:val="00246C9D"/>
    <w:rsid w:val="00257FB4"/>
    <w:rsid w:val="00281EA9"/>
    <w:rsid w:val="002E496E"/>
    <w:rsid w:val="00303D62"/>
    <w:rsid w:val="00335367"/>
    <w:rsid w:val="00370C2D"/>
    <w:rsid w:val="00370D43"/>
    <w:rsid w:val="003D1E8D"/>
    <w:rsid w:val="003D673B"/>
    <w:rsid w:val="003F2855"/>
    <w:rsid w:val="00401C20"/>
    <w:rsid w:val="00416FF8"/>
    <w:rsid w:val="004639BE"/>
    <w:rsid w:val="004A7957"/>
    <w:rsid w:val="004C4144"/>
    <w:rsid w:val="0055719E"/>
    <w:rsid w:val="0065047E"/>
    <w:rsid w:val="006969B4"/>
    <w:rsid w:val="006E4F7B"/>
    <w:rsid w:val="00781E2A"/>
    <w:rsid w:val="007933A2"/>
    <w:rsid w:val="007945FD"/>
    <w:rsid w:val="007B6316"/>
    <w:rsid w:val="007D0DA9"/>
    <w:rsid w:val="007D62D7"/>
    <w:rsid w:val="00814503"/>
    <w:rsid w:val="008258C2"/>
    <w:rsid w:val="008505BD"/>
    <w:rsid w:val="00850C78"/>
    <w:rsid w:val="00866F52"/>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CF311A"/>
    <w:rsid w:val="00D01D91"/>
    <w:rsid w:val="00D54642"/>
    <w:rsid w:val="00D82B80"/>
    <w:rsid w:val="00D834E7"/>
    <w:rsid w:val="00DD374A"/>
    <w:rsid w:val="00DD77C9"/>
    <w:rsid w:val="00DF3538"/>
    <w:rsid w:val="00E57B1F"/>
    <w:rsid w:val="00E839B0"/>
    <w:rsid w:val="00E92C09"/>
    <w:rsid w:val="00F14380"/>
    <w:rsid w:val="00F6461F"/>
    <w:rsid w:val="00F90BD6"/>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60C8C"/>
  <w15:docId w15:val="{07E14D13-A86E-4195-9A24-6103D999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7D0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H.870-202203-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d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s/publications/i/item/9789240043114"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3953" TargetMode="External"/><Relationship Id="rId10" Type="http://schemas.openxmlformats.org/officeDocument/2006/relationships/hyperlink" Target="https://www.itu.int/rec/T-REC-H.870-202203-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24/0416/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49</TotalTime>
  <Pages>2</Pages>
  <Words>922</Words>
  <Characters>5556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6466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16</cp:revision>
  <cp:lastPrinted>2024-04-10T12:15:00Z</cp:lastPrinted>
  <dcterms:created xsi:type="dcterms:W3CDTF">2024-04-02T09:43:00Z</dcterms:created>
  <dcterms:modified xsi:type="dcterms:W3CDTF">2024-04-10T12:15:00Z</dcterms:modified>
</cp:coreProperties>
</file>