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276"/>
        <w:gridCol w:w="3544"/>
        <w:gridCol w:w="3119"/>
        <w:gridCol w:w="1984"/>
      </w:tblGrid>
      <w:tr w:rsidR="00DC2801" w:rsidRPr="00DC2801" w14:paraId="220B26CF" w14:textId="77777777" w:rsidTr="00747890">
        <w:tc>
          <w:tcPr>
            <w:tcW w:w="1276" w:type="dxa"/>
            <w:shd w:val="clear" w:color="auto" w:fill="auto"/>
            <w:tcMar>
              <w:left w:w="0" w:type="dxa"/>
              <w:right w:w="0" w:type="dxa"/>
            </w:tcMar>
            <w:vAlign w:val="center"/>
          </w:tcPr>
          <w:p w14:paraId="17B415BE" w14:textId="77777777" w:rsidR="00DC2801" w:rsidRPr="00DC2801" w:rsidRDefault="00DC2801" w:rsidP="00DC2801">
            <w:pPr>
              <w:pStyle w:val="Tabletext"/>
              <w:framePr w:hSpace="0" w:wrap="auto" w:vAnchor="margin" w:hAnchor="text" w:xAlign="left" w:yAlign="inline"/>
            </w:pPr>
            <w:r w:rsidRPr="00DC2801">
              <w:rPr>
                <w:noProof/>
                <w:lang w:eastAsia="fr-CH"/>
              </w:rPr>
              <w:drawing>
                <wp:inline distT="0" distB="0" distL="0" distR="0" wp14:anchorId="18D50AE8" wp14:editId="40102B84">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37906784" w14:textId="77777777" w:rsidR="00DC2801" w:rsidRPr="0087293C" w:rsidRDefault="00DC2801" w:rsidP="00DC2801">
            <w:pPr>
              <w:framePr w:hSpace="0" w:wrap="auto" w:vAnchor="margin" w:hAnchor="text" w:xAlign="left" w:yAlign="inline"/>
              <w:spacing w:before="0"/>
              <w:jc w:val="both"/>
              <w:rPr>
                <w:b/>
                <w:bCs/>
                <w:smallCaps/>
                <w:sz w:val="36"/>
                <w:szCs w:val="36"/>
              </w:rPr>
            </w:pPr>
            <w:r w:rsidRPr="0087293C">
              <w:rPr>
                <w:b/>
                <w:bCs/>
                <w:smallCaps/>
                <w:sz w:val="36"/>
                <w:szCs w:val="36"/>
              </w:rPr>
              <w:t>International telecommunication union</w:t>
            </w:r>
          </w:p>
          <w:p w14:paraId="50EFB442" w14:textId="39E0103D" w:rsidR="00DC2801" w:rsidRPr="00DC2801" w:rsidRDefault="00DC2801" w:rsidP="00B7664B">
            <w:pPr>
              <w:framePr w:hSpace="0" w:wrap="auto" w:vAnchor="margin" w:hAnchor="text" w:xAlign="left" w:yAlign="inline"/>
              <w:spacing w:before="0"/>
              <w:rPr>
                <w:color w:val="FFFFFF"/>
              </w:rPr>
            </w:pPr>
            <w:r w:rsidRPr="0087293C">
              <w:rPr>
                <w:b/>
                <w:bCs/>
                <w:iCs/>
                <w:smallCaps/>
                <w:sz w:val="28"/>
                <w:szCs w:val="28"/>
              </w:rPr>
              <w:t>Telecommunication Standardization Bureau</w:t>
            </w:r>
          </w:p>
        </w:tc>
        <w:tc>
          <w:tcPr>
            <w:tcW w:w="1984" w:type="dxa"/>
            <w:shd w:val="clear" w:color="auto" w:fill="auto"/>
            <w:vAlign w:val="center"/>
          </w:tcPr>
          <w:p w14:paraId="16E31E39" w14:textId="77777777" w:rsidR="00DC2801" w:rsidRPr="00DC2801" w:rsidRDefault="00DC2801" w:rsidP="00DC2801">
            <w:pPr>
              <w:framePr w:hSpace="0" w:wrap="auto" w:vAnchor="margin" w:hAnchor="text" w:xAlign="left" w:yAlign="inline"/>
            </w:pPr>
          </w:p>
        </w:tc>
      </w:tr>
      <w:tr w:rsidR="00A27839" w:rsidRPr="00DC2801" w14:paraId="2ED59F9E" w14:textId="77777777" w:rsidTr="00747890">
        <w:trPr>
          <w:cantSplit/>
          <w:trHeight w:val="356"/>
        </w:trPr>
        <w:tc>
          <w:tcPr>
            <w:tcW w:w="4820" w:type="dxa"/>
            <w:gridSpan w:val="2"/>
            <w:vAlign w:val="center"/>
          </w:tcPr>
          <w:p w14:paraId="20DC8C39" w14:textId="77777777" w:rsidR="00A27839" w:rsidRPr="00DC2801" w:rsidRDefault="00A27839" w:rsidP="00734E88">
            <w:pPr>
              <w:pStyle w:val="Tabletext"/>
              <w:framePr w:hSpace="0" w:wrap="auto" w:vAnchor="margin" w:hAnchor="text" w:xAlign="left" w:yAlign="inline"/>
            </w:pPr>
          </w:p>
        </w:tc>
        <w:tc>
          <w:tcPr>
            <w:tcW w:w="5103" w:type="dxa"/>
            <w:gridSpan w:val="2"/>
            <w:vAlign w:val="center"/>
          </w:tcPr>
          <w:p w14:paraId="47FC22F3" w14:textId="55E75550" w:rsidR="00A27839" w:rsidRPr="00DC2801" w:rsidRDefault="00A27839" w:rsidP="00747890">
            <w:pPr>
              <w:pStyle w:val="Tabletext"/>
              <w:framePr w:hSpace="0" w:wrap="auto" w:vAnchor="margin" w:hAnchor="text" w:xAlign="left" w:yAlign="inline"/>
              <w:spacing w:before="0"/>
            </w:pPr>
            <w:r w:rsidRPr="00DC2801">
              <w:t xml:space="preserve">Geneva, </w:t>
            </w:r>
            <w:r w:rsidR="00885F5B">
              <w:t>2</w:t>
            </w:r>
            <w:r w:rsidR="0038184A">
              <w:t>7</w:t>
            </w:r>
            <w:r w:rsidR="008D52C5" w:rsidRPr="00DC2801">
              <w:t xml:space="preserve"> March 2024</w:t>
            </w:r>
          </w:p>
        </w:tc>
      </w:tr>
      <w:tr w:rsidR="00A27839" w:rsidRPr="00DC2801" w14:paraId="7E094D2D" w14:textId="77777777" w:rsidTr="36E4BCEA">
        <w:trPr>
          <w:cantSplit/>
        </w:trPr>
        <w:tc>
          <w:tcPr>
            <w:tcW w:w="1276" w:type="dxa"/>
          </w:tcPr>
          <w:p w14:paraId="1A760FCA" w14:textId="77777777" w:rsidR="00727108" w:rsidRPr="00DC2801" w:rsidRDefault="00A27839" w:rsidP="00734E88">
            <w:pPr>
              <w:pStyle w:val="Tabletext"/>
              <w:framePr w:hSpace="0" w:wrap="auto" w:vAnchor="margin" w:hAnchor="text" w:xAlign="left" w:yAlign="inline"/>
              <w:rPr>
                <w:b/>
                <w:bCs/>
              </w:rPr>
            </w:pPr>
            <w:r w:rsidRPr="00DC2801">
              <w:rPr>
                <w:b/>
                <w:bCs/>
              </w:rPr>
              <w:t>Ref:</w:t>
            </w:r>
          </w:p>
          <w:p w14:paraId="7CDA1785" w14:textId="77777777" w:rsidR="00727108" w:rsidRPr="00DC2801" w:rsidRDefault="00727108" w:rsidP="00734E88">
            <w:pPr>
              <w:pStyle w:val="Tabletext"/>
              <w:framePr w:hSpace="0" w:wrap="auto" w:vAnchor="margin" w:hAnchor="text" w:xAlign="left" w:yAlign="inline"/>
              <w:rPr>
                <w:b/>
                <w:bCs/>
              </w:rPr>
            </w:pPr>
          </w:p>
          <w:p w14:paraId="545933FC" w14:textId="322442A2" w:rsidR="00A27839" w:rsidRPr="00DC2801" w:rsidRDefault="00B30583" w:rsidP="00734E88">
            <w:pPr>
              <w:pStyle w:val="Tabletext"/>
              <w:framePr w:hSpace="0" w:wrap="auto" w:vAnchor="margin" w:hAnchor="text" w:xAlign="left" w:yAlign="inline"/>
              <w:rPr>
                <w:b/>
                <w:bCs/>
              </w:rPr>
            </w:pPr>
            <w:r w:rsidRPr="00DC2801">
              <w:rPr>
                <w:b/>
                <w:bCs/>
              </w:rPr>
              <w:t>Contact:</w:t>
            </w:r>
          </w:p>
        </w:tc>
        <w:tc>
          <w:tcPr>
            <w:tcW w:w="3544" w:type="dxa"/>
          </w:tcPr>
          <w:p w14:paraId="7B273322" w14:textId="14207AAB" w:rsidR="0087293C" w:rsidRPr="00DC2801" w:rsidRDefault="00A27839" w:rsidP="00734E88">
            <w:pPr>
              <w:pStyle w:val="TSBCircNo"/>
              <w:framePr w:hSpace="0" w:wrap="auto" w:vAnchor="margin" w:hAnchor="text" w:xAlign="left" w:yAlign="inline"/>
            </w:pPr>
            <w:r w:rsidRPr="00DC2801">
              <w:t>TSB Circular</w:t>
            </w:r>
            <w:r w:rsidR="00B246D4" w:rsidRPr="00DC2801">
              <w:t xml:space="preserve"> </w:t>
            </w:r>
            <w:r w:rsidR="00C544E8" w:rsidRPr="00DC2801">
              <w:t>197</w:t>
            </w:r>
          </w:p>
          <w:p w14:paraId="5D39D9FA" w14:textId="2E6CB0AD" w:rsidR="00727108" w:rsidRPr="00DC2801" w:rsidRDefault="00B30583" w:rsidP="00734E88">
            <w:pPr>
              <w:pStyle w:val="Tabletext"/>
              <w:framePr w:hSpace="0" w:wrap="auto" w:vAnchor="margin" w:hAnchor="text" w:xAlign="left" w:yAlign="inline"/>
            </w:pPr>
            <w:r w:rsidRPr="00DC2801">
              <w:t>TSB Events/SC</w:t>
            </w:r>
          </w:p>
          <w:p w14:paraId="7D2C1E3D" w14:textId="1D2CDD7E" w:rsidR="00A27839" w:rsidRPr="00DC2801" w:rsidRDefault="00B30583" w:rsidP="00734E88">
            <w:pPr>
              <w:pStyle w:val="Tabletext"/>
              <w:framePr w:hSpace="0" w:wrap="auto" w:vAnchor="margin" w:hAnchor="text" w:xAlign="left" w:yAlign="inline"/>
            </w:pPr>
            <w:r w:rsidRPr="00DC2801">
              <w:t>Simao Campos</w:t>
            </w:r>
          </w:p>
        </w:tc>
        <w:tc>
          <w:tcPr>
            <w:tcW w:w="5103" w:type="dxa"/>
            <w:gridSpan w:val="2"/>
            <w:vMerge w:val="restart"/>
          </w:tcPr>
          <w:p w14:paraId="2091063E" w14:textId="77777777" w:rsidR="00A27839" w:rsidRPr="00DC2801" w:rsidRDefault="00A27839" w:rsidP="00DC2801">
            <w:pPr>
              <w:framePr w:hSpace="0" w:wrap="auto" w:vAnchor="margin" w:hAnchor="text" w:xAlign="left" w:yAlign="inline"/>
              <w:tabs>
                <w:tab w:val="clear" w:pos="794"/>
                <w:tab w:val="clear" w:pos="1191"/>
                <w:tab w:val="clear" w:pos="1588"/>
                <w:tab w:val="clear" w:pos="1985"/>
              </w:tabs>
              <w:rPr>
                <w:b/>
                <w:bCs/>
              </w:rPr>
            </w:pPr>
            <w:r w:rsidRPr="00DC2801">
              <w:rPr>
                <w:b/>
                <w:bCs/>
              </w:rPr>
              <w:t>To:</w:t>
            </w:r>
          </w:p>
          <w:p w14:paraId="76A94A91" w14:textId="3DD22CFE" w:rsidR="00A27839" w:rsidRPr="00DC2801" w:rsidRDefault="00A27839" w:rsidP="00DC2801">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DC2801">
              <w:t>-</w:t>
            </w:r>
            <w:r w:rsidRPr="00DC2801">
              <w:tab/>
              <w:t>Administrations of Member States of the Union</w:t>
            </w:r>
          </w:p>
          <w:p w14:paraId="579E98E8" w14:textId="4314EBC5" w:rsidR="00A27839" w:rsidRPr="0038184A" w:rsidRDefault="00A27839" w:rsidP="00DC2801">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lang w:val="fr-CH"/>
              </w:rPr>
            </w:pPr>
            <w:r w:rsidRPr="0038184A">
              <w:rPr>
                <w:lang w:val="fr-CH"/>
              </w:rPr>
              <w:t>-</w:t>
            </w:r>
            <w:r w:rsidRPr="0038184A">
              <w:rPr>
                <w:lang w:val="fr-CH"/>
              </w:rPr>
              <w:tab/>
              <w:t xml:space="preserve">ITU-T </w:t>
            </w:r>
            <w:proofErr w:type="spellStart"/>
            <w:r w:rsidRPr="0038184A">
              <w:rPr>
                <w:lang w:val="fr-CH"/>
              </w:rPr>
              <w:t>Sector</w:t>
            </w:r>
            <w:proofErr w:type="spellEnd"/>
            <w:r w:rsidRPr="0038184A">
              <w:rPr>
                <w:lang w:val="fr-CH"/>
              </w:rPr>
              <w:t xml:space="preserve"> Members</w:t>
            </w:r>
          </w:p>
          <w:p w14:paraId="7A5CDC69" w14:textId="14A5BE7C" w:rsidR="00A27839" w:rsidRPr="0038184A" w:rsidRDefault="00A27839" w:rsidP="00DC2801">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lang w:val="fr-CH"/>
              </w:rPr>
            </w:pPr>
            <w:r w:rsidRPr="0038184A">
              <w:rPr>
                <w:lang w:val="fr-CH"/>
              </w:rPr>
              <w:t>-</w:t>
            </w:r>
            <w:r w:rsidRPr="0038184A">
              <w:rPr>
                <w:lang w:val="fr-CH"/>
              </w:rPr>
              <w:tab/>
              <w:t>ITU-T Associates</w:t>
            </w:r>
          </w:p>
          <w:p w14:paraId="5780AA12" w14:textId="77777777" w:rsidR="00A27839" w:rsidRPr="00DC2801" w:rsidRDefault="00A27839" w:rsidP="00DC2801">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DC2801">
              <w:t>-</w:t>
            </w:r>
            <w:r w:rsidRPr="00DC2801">
              <w:tab/>
              <w:t>ITU Academia</w:t>
            </w:r>
          </w:p>
        </w:tc>
      </w:tr>
      <w:tr w:rsidR="00A27839" w:rsidRPr="00DC2801" w14:paraId="4B95B0C4" w14:textId="77777777" w:rsidTr="36E4BCEA">
        <w:trPr>
          <w:cantSplit/>
        </w:trPr>
        <w:tc>
          <w:tcPr>
            <w:tcW w:w="1276" w:type="dxa"/>
          </w:tcPr>
          <w:p w14:paraId="45E2B2FB" w14:textId="77777777" w:rsidR="00A27839" w:rsidRPr="00DC2801" w:rsidRDefault="00A27839" w:rsidP="00734E88">
            <w:pPr>
              <w:pStyle w:val="Tabletext"/>
              <w:framePr w:hSpace="0" w:wrap="auto" w:vAnchor="margin" w:hAnchor="text" w:xAlign="left" w:yAlign="inline"/>
              <w:rPr>
                <w:b/>
                <w:bCs/>
              </w:rPr>
            </w:pPr>
            <w:r w:rsidRPr="00DC2801">
              <w:rPr>
                <w:b/>
                <w:bCs/>
              </w:rPr>
              <w:t>Tel:</w:t>
            </w:r>
          </w:p>
        </w:tc>
        <w:tc>
          <w:tcPr>
            <w:tcW w:w="3544" w:type="dxa"/>
          </w:tcPr>
          <w:p w14:paraId="24F915EF" w14:textId="0386C35C" w:rsidR="00A27839" w:rsidRPr="00DC2801" w:rsidRDefault="00A27839" w:rsidP="00734E88">
            <w:pPr>
              <w:pStyle w:val="Tabletext"/>
              <w:framePr w:hSpace="0" w:wrap="auto" w:vAnchor="margin" w:hAnchor="text" w:xAlign="left" w:yAlign="inline"/>
              <w:rPr>
                <w:b/>
              </w:rPr>
            </w:pPr>
            <w:r w:rsidRPr="00DC2801">
              <w:t>+41 22 730</w:t>
            </w:r>
            <w:r w:rsidR="0087293C" w:rsidRPr="00DC2801">
              <w:t xml:space="preserve"> </w:t>
            </w:r>
            <w:r w:rsidR="00B30583" w:rsidRPr="00DC2801">
              <w:t>6805</w:t>
            </w:r>
          </w:p>
        </w:tc>
        <w:tc>
          <w:tcPr>
            <w:tcW w:w="5103" w:type="dxa"/>
            <w:gridSpan w:val="2"/>
            <w:vMerge/>
          </w:tcPr>
          <w:p w14:paraId="02CB47FF" w14:textId="77777777" w:rsidR="00A27839" w:rsidRPr="00DC2801" w:rsidRDefault="00A27839" w:rsidP="00DC2801">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p>
        </w:tc>
      </w:tr>
      <w:tr w:rsidR="00A27839" w:rsidRPr="00DC2801" w14:paraId="398C077B" w14:textId="77777777" w:rsidTr="36E4BCEA">
        <w:trPr>
          <w:cantSplit/>
        </w:trPr>
        <w:tc>
          <w:tcPr>
            <w:tcW w:w="1276" w:type="dxa"/>
          </w:tcPr>
          <w:p w14:paraId="48AB32B6" w14:textId="77777777" w:rsidR="00A27839" w:rsidRPr="00DC2801" w:rsidRDefault="00A27839" w:rsidP="00734E88">
            <w:pPr>
              <w:pStyle w:val="Tabletext"/>
              <w:framePr w:hSpace="0" w:wrap="auto" w:vAnchor="margin" w:hAnchor="text" w:xAlign="left" w:yAlign="inline"/>
              <w:rPr>
                <w:b/>
                <w:bCs/>
              </w:rPr>
            </w:pPr>
            <w:r w:rsidRPr="00DC2801">
              <w:rPr>
                <w:b/>
                <w:bCs/>
              </w:rPr>
              <w:t>Fax:</w:t>
            </w:r>
          </w:p>
        </w:tc>
        <w:tc>
          <w:tcPr>
            <w:tcW w:w="3544" w:type="dxa"/>
          </w:tcPr>
          <w:p w14:paraId="6AC542FC" w14:textId="77777777" w:rsidR="00A27839" w:rsidRPr="00DC2801" w:rsidRDefault="00A27839" w:rsidP="00734E88">
            <w:pPr>
              <w:pStyle w:val="Tabletext"/>
              <w:framePr w:hSpace="0" w:wrap="auto" w:vAnchor="margin" w:hAnchor="text" w:xAlign="left" w:yAlign="inline"/>
              <w:rPr>
                <w:b/>
              </w:rPr>
            </w:pPr>
            <w:r w:rsidRPr="00DC2801">
              <w:t>+41 22 730 5853</w:t>
            </w:r>
          </w:p>
        </w:tc>
        <w:tc>
          <w:tcPr>
            <w:tcW w:w="5103" w:type="dxa"/>
            <w:gridSpan w:val="2"/>
            <w:vMerge/>
          </w:tcPr>
          <w:p w14:paraId="2CA7B9B4" w14:textId="77777777" w:rsidR="00A27839" w:rsidRPr="00DC2801" w:rsidRDefault="00A27839" w:rsidP="00DC2801">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p>
        </w:tc>
      </w:tr>
      <w:tr w:rsidR="00A27839" w:rsidRPr="00DC2801" w14:paraId="53EFBF8D" w14:textId="77777777" w:rsidTr="00F410A1">
        <w:trPr>
          <w:cantSplit/>
          <w:trHeight w:val="1592"/>
        </w:trPr>
        <w:tc>
          <w:tcPr>
            <w:tcW w:w="1276" w:type="dxa"/>
          </w:tcPr>
          <w:p w14:paraId="4C07D266" w14:textId="77777777" w:rsidR="00A27839" w:rsidRPr="00DC2801" w:rsidRDefault="00A27839" w:rsidP="00734E88">
            <w:pPr>
              <w:pStyle w:val="Tabletext"/>
              <w:framePr w:hSpace="0" w:wrap="auto" w:vAnchor="margin" w:hAnchor="text" w:xAlign="left" w:yAlign="inline"/>
              <w:rPr>
                <w:b/>
                <w:bCs/>
              </w:rPr>
            </w:pPr>
            <w:r w:rsidRPr="00DC2801">
              <w:rPr>
                <w:b/>
                <w:bCs/>
              </w:rPr>
              <w:t>E-mail:</w:t>
            </w:r>
          </w:p>
        </w:tc>
        <w:tc>
          <w:tcPr>
            <w:tcW w:w="3544" w:type="dxa"/>
          </w:tcPr>
          <w:p w14:paraId="631F6F4A" w14:textId="77777777" w:rsidR="00A27839" w:rsidRPr="00DC2801" w:rsidRDefault="00273C0B" w:rsidP="00734E88">
            <w:pPr>
              <w:pStyle w:val="Tabletext"/>
              <w:framePr w:hSpace="0" w:wrap="auto" w:vAnchor="margin" w:hAnchor="text" w:xAlign="left" w:yAlign="inline"/>
            </w:pPr>
            <w:hyperlink r:id="rId11" w:history="1">
              <w:r w:rsidR="00A27839" w:rsidRPr="00DC2801">
                <w:rPr>
                  <w:rStyle w:val="Hyperlink"/>
                </w:rPr>
                <w:t>tsbevents@itu.int</w:t>
              </w:r>
            </w:hyperlink>
          </w:p>
        </w:tc>
        <w:tc>
          <w:tcPr>
            <w:tcW w:w="5103" w:type="dxa"/>
            <w:gridSpan w:val="2"/>
          </w:tcPr>
          <w:p w14:paraId="47FD5ABA" w14:textId="77777777" w:rsidR="00A27839" w:rsidRPr="00DC2801" w:rsidRDefault="00A27839" w:rsidP="00DC2801">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rPr>
                <w:b/>
                <w:bCs/>
              </w:rPr>
            </w:pPr>
            <w:r w:rsidRPr="00DC2801">
              <w:rPr>
                <w:b/>
                <w:bCs/>
              </w:rPr>
              <w:t>Copy to:</w:t>
            </w:r>
          </w:p>
          <w:p w14:paraId="5D8E5A2D" w14:textId="173FC299" w:rsidR="00A27839" w:rsidRPr="00DC2801" w:rsidRDefault="00A27839" w:rsidP="00DC2801">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DC2801">
              <w:t>-</w:t>
            </w:r>
            <w:r w:rsidRPr="00DC2801">
              <w:tab/>
              <w:t>The Chai</w:t>
            </w:r>
            <w:r w:rsidR="0038184A">
              <w:t>rs</w:t>
            </w:r>
            <w:r w:rsidRPr="00DC2801">
              <w:t xml:space="preserve"> and Vice-Chai</w:t>
            </w:r>
            <w:r w:rsidR="0038184A">
              <w:t>s</w:t>
            </w:r>
            <w:r w:rsidRPr="00DC2801">
              <w:t xml:space="preserve"> of Study Groups</w:t>
            </w:r>
          </w:p>
          <w:p w14:paraId="39264A90" w14:textId="6F683E6B" w:rsidR="00A27839" w:rsidRPr="00DC2801" w:rsidRDefault="00A27839" w:rsidP="00DC2801">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DC2801">
              <w:t>-</w:t>
            </w:r>
            <w:r w:rsidRPr="00DC2801">
              <w:tab/>
              <w:t>The Director of the Telecommunication Development Bureau</w:t>
            </w:r>
          </w:p>
          <w:p w14:paraId="6ADA4E03" w14:textId="2EFDFFA6" w:rsidR="00A27839" w:rsidRPr="00DC2801" w:rsidRDefault="00A27839" w:rsidP="00DC2801">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DC2801">
              <w:t>-</w:t>
            </w:r>
            <w:r w:rsidRPr="00DC2801">
              <w:tab/>
              <w:t>The Director of the Radiocommunication Bureau</w:t>
            </w:r>
          </w:p>
        </w:tc>
      </w:tr>
      <w:tr w:rsidR="00A27839" w:rsidRPr="00DC2801" w14:paraId="7D757198" w14:textId="77777777" w:rsidTr="36E4BCEA">
        <w:trPr>
          <w:cantSplit/>
        </w:trPr>
        <w:tc>
          <w:tcPr>
            <w:tcW w:w="1276" w:type="dxa"/>
          </w:tcPr>
          <w:p w14:paraId="2F9464CE" w14:textId="77777777" w:rsidR="00A27839" w:rsidRPr="00DC2801" w:rsidRDefault="00A27839" w:rsidP="00734E88">
            <w:pPr>
              <w:pStyle w:val="Tabletext"/>
              <w:framePr w:hSpace="0" w:wrap="auto" w:vAnchor="margin" w:hAnchor="text" w:xAlign="left" w:yAlign="inline"/>
              <w:rPr>
                <w:b/>
                <w:bCs/>
              </w:rPr>
            </w:pPr>
            <w:r w:rsidRPr="00DC2801">
              <w:rPr>
                <w:b/>
                <w:bCs/>
              </w:rPr>
              <w:t>Subject:</w:t>
            </w:r>
          </w:p>
        </w:tc>
        <w:tc>
          <w:tcPr>
            <w:tcW w:w="8647" w:type="dxa"/>
            <w:gridSpan w:val="3"/>
          </w:tcPr>
          <w:p w14:paraId="6AEC11D8" w14:textId="7C851A93" w:rsidR="00A27839" w:rsidRPr="00DC2801" w:rsidRDefault="00E94313" w:rsidP="00734E88">
            <w:pPr>
              <w:pStyle w:val="Tabletext"/>
              <w:framePr w:hSpace="0" w:wrap="auto" w:vAnchor="margin" w:hAnchor="text" w:xAlign="left" w:yAlign="inline"/>
              <w:rPr>
                <w:b/>
                <w:bCs/>
              </w:rPr>
            </w:pPr>
            <w:r w:rsidRPr="00DC2801">
              <w:rPr>
                <w:b/>
                <w:bCs/>
              </w:rPr>
              <w:t>Joint</w:t>
            </w:r>
            <w:r w:rsidR="00083DA4" w:rsidRPr="00DC2801">
              <w:rPr>
                <w:b/>
                <w:bCs/>
              </w:rPr>
              <w:t xml:space="preserve"> </w:t>
            </w:r>
            <w:r w:rsidR="008A62AF" w:rsidRPr="00DC2801">
              <w:rPr>
                <w:b/>
                <w:bCs/>
              </w:rPr>
              <w:t xml:space="preserve">ITU /WHO Workshop on </w:t>
            </w:r>
            <w:r w:rsidR="00DC2801" w:rsidRPr="00DC2801">
              <w:rPr>
                <w:b/>
                <w:bCs/>
              </w:rPr>
              <w:t>safe listening in video gaming and esports</w:t>
            </w:r>
            <w:r w:rsidR="008D52C5" w:rsidRPr="00DC2801">
              <w:rPr>
                <w:b/>
                <w:bCs/>
              </w:rPr>
              <w:t>: Updates</w:t>
            </w:r>
            <w:r w:rsidRPr="00DC2801">
              <w:rPr>
                <w:b/>
                <w:bCs/>
              </w:rPr>
              <w:br/>
            </w:r>
            <w:r w:rsidR="00226C92" w:rsidRPr="00DC2801">
              <w:rPr>
                <w:b/>
                <w:bCs/>
              </w:rPr>
              <w:t>(</w:t>
            </w:r>
            <w:r w:rsidR="008D52C5" w:rsidRPr="00DC2801">
              <w:rPr>
                <w:b/>
                <w:bCs/>
              </w:rPr>
              <w:t>Rennes</w:t>
            </w:r>
            <w:r w:rsidR="00226C92" w:rsidRPr="00DC2801">
              <w:rPr>
                <w:b/>
                <w:bCs/>
              </w:rPr>
              <w:t>,</w:t>
            </w:r>
            <w:r w:rsidR="00B30583" w:rsidRPr="00DC2801">
              <w:rPr>
                <w:b/>
                <w:bCs/>
              </w:rPr>
              <w:t xml:space="preserve"> </w:t>
            </w:r>
            <w:r w:rsidR="008D52C5" w:rsidRPr="00DC2801">
              <w:rPr>
                <w:b/>
                <w:bCs/>
              </w:rPr>
              <w:t>France</w:t>
            </w:r>
            <w:r w:rsidR="00B30583" w:rsidRPr="00DC2801">
              <w:rPr>
                <w:b/>
                <w:bCs/>
              </w:rPr>
              <w:t>,</w:t>
            </w:r>
            <w:r w:rsidR="00C373B8" w:rsidRPr="00DC2801">
              <w:rPr>
                <w:b/>
                <w:bCs/>
              </w:rPr>
              <w:t xml:space="preserve"> </w:t>
            </w:r>
            <w:r w:rsidR="008D52C5" w:rsidRPr="00DC2801">
              <w:rPr>
                <w:b/>
                <w:bCs/>
              </w:rPr>
              <w:t>16 April</w:t>
            </w:r>
            <w:r w:rsidR="005149E4" w:rsidRPr="00DC2801">
              <w:rPr>
                <w:b/>
                <w:bCs/>
              </w:rPr>
              <w:t xml:space="preserve"> 2024</w:t>
            </w:r>
            <w:r w:rsidR="00226C92" w:rsidRPr="00DC2801">
              <w:rPr>
                <w:b/>
                <w:bCs/>
              </w:rPr>
              <w:t>)</w:t>
            </w:r>
          </w:p>
        </w:tc>
      </w:tr>
      <w:tr w:rsidR="00E026FF" w:rsidRPr="00DC2801" w14:paraId="5FEF5A1D" w14:textId="77777777" w:rsidTr="36E4BCEA">
        <w:trPr>
          <w:cantSplit/>
        </w:trPr>
        <w:tc>
          <w:tcPr>
            <w:tcW w:w="9923" w:type="dxa"/>
            <w:gridSpan w:val="4"/>
          </w:tcPr>
          <w:p w14:paraId="6030198B" w14:textId="77777777" w:rsidR="00E026FF" w:rsidRPr="00DC2801" w:rsidRDefault="00E026FF" w:rsidP="00734E88">
            <w:pPr>
              <w:framePr w:hSpace="0" w:wrap="auto" w:vAnchor="margin" w:hAnchor="text" w:xAlign="left" w:yAlign="inline"/>
            </w:pPr>
            <w:r w:rsidRPr="00DC2801">
              <w:t>Dear Sir/Madam,</w:t>
            </w:r>
          </w:p>
          <w:p w14:paraId="5690BC54" w14:textId="3C09EB79" w:rsidR="00705179" w:rsidRPr="00DC2801" w:rsidRDefault="00E026FF" w:rsidP="00734E88">
            <w:pPr>
              <w:framePr w:hSpace="0" w:wrap="auto" w:vAnchor="margin" w:hAnchor="text" w:xAlign="left" w:yAlign="inline"/>
            </w:pPr>
            <w:r w:rsidRPr="00DC2801">
              <w:t>1</w:t>
            </w:r>
            <w:r w:rsidRPr="00DC2801">
              <w:tab/>
              <w:t>The International Telecommunication Union (ITU), in collaboration with</w:t>
            </w:r>
            <w:r w:rsidR="00172317" w:rsidRPr="00DC2801">
              <w:t xml:space="preserve"> </w:t>
            </w:r>
            <w:r w:rsidR="001F58A8" w:rsidRPr="00DC2801">
              <w:t xml:space="preserve">the </w:t>
            </w:r>
            <w:r w:rsidR="00172317" w:rsidRPr="00DC2801">
              <w:t>World Health Organization (</w:t>
            </w:r>
            <w:r w:rsidR="004E4474" w:rsidRPr="00DC2801">
              <w:t>WHO</w:t>
            </w:r>
            <w:r w:rsidR="00172317" w:rsidRPr="00DC2801">
              <w:t>)</w:t>
            </w:r>
            <w:r w:rsidRPr="00DC2801">
              <w:t xml:space="preserve">, </w:t>
            </w:r>
            <w:r w:rsidR="004C5A4B" w:rsidRPr="00DC2801">
              <w:t xml:space="preserve">is </w:t>
            </w:r>
            <w:r w:rsidRPr="00DC2801">
              <w:t xml:space="preserve">organizing a workshop on </w:t>
            </w:r>
            <w:r w:rsidR="00DC2801">
              <w:rPr>
                <w:b/>
                <w:bCs/>
              </w:rPr>
              <w:t>"</w:t>
            </w:r>
            <w:r w:rsidR="004C5A4B" w:rsidRPr="00DC2801">
              <w:rPr>
                <w:b/>
                <w:bCs/>
              </w:rPr>
              <w:t>S</w:t>
            </w:r>
            <w:r w:rsidR="00592BBE" w:rsidRPr="00DC2801">
              <w:rPr>
                <w:b/>
                <w:bCs/>
              </w:rPr>
              <w:t xml:space="preserve">afe </w:t>
            </w:r>
            <w:r w:rsidR="004A45FA" w:rsidRPr="00DC2801">
              <w:rPr>
                <w:b/>
                <w:bCs/>
              </w:rPr>
              <w:t>L</w:t>
            </w:r>
            <w:r w:rsidR="00592BBE" w:rsidRPr="00DC2801">
              <w:rPr>
                <w:b/>
                <w:bCs/>
              </w:rPr>
              <w:t xml:space="preserve">istening in </w:t>
            </w:r>
            <w:r w:rsidR="00DC2801" w:rsidRPr="00DC2801">
              <w:rPr>
                <w:b/>
                <w:bCs/>
              </w:rPr>
              <w:t>video gaming and esports</w:t>
            </w:r>
            <w:r w:rsidR="008D52C5" w:rsidRPr="00DC2801">
              <w:rPr>
                <w:b/>
                <w:bCs/>
              </w:rPr>
              <w:t>: Updates</w:t>
            </w:r>
            <w:r w:rsidR="00DC2801">
              <w:rPr>
                <w:b/>
                <w:bCs/>
              </w:rPr>
              <w:t>"</w:t>
            </w:r>
            <w:r w:rsidRPr="00DC2801">
              <w:t xml:space="preserve"> </w:t>
            </w:r>
            <w:r w:rsidR="00D06BBD" w:rsidRPr="00DC2801">
              <w:t xml:space="preserve">which </w:t>
            </w:r>
            <w:r w:rsidR="0060484B" w:rsidRPr="00DC2801">
              <w:t xml:space="preserve">will </w:t>
            </w:r>
            <w:r w:rsidRPr="00DC2801">
              <w:t>tak</w:t>
            </w:r>
            <w:r w:rsidR="0060484B" w:rsidRPr="00DC2801">
              <w:t>e</w:t>
            </w:r>
            <w:r w:rsidRPr="00DC2801">
              <w:t xml:space="preserve"> place </w:t>
            </w:r>
            <w:r w:rsidR="730906E6" w:rsidRPr="00DC2801">
              <w:t>in Rennes</w:t>
            </w:r>
            <w:r w:rsidR="003C5F9A" w:rsidRPr="00DC2801">
              <w:t>,</w:t>
            </w:r>
            <w:r w:rsidR="00D06BBD" w:rsidRPr="00DC2801">
              <w:t xml:space="preserve"> France on </w:t>
            </w:r>
            <w:r w:rsidR="008D52C5" w:rsidRPr="00DC2801">
              <w:rPr>
                <w:b/>
                <w:bCs/>
              </w:rPr>
              <w:t>16 April</w:t>
            </w:r>
            <w:r w:rsidR="005149E4" w:rsidRPr="00DC2801">
              <w:rPr>
                <w:b/>
                <w:bCs/>
              </w:rPr>
              <w:t xml:space="preserve"> 2024</w:t>
            </w:r>
            <w:r w:rsidR="00592BBE" w:rsidRPr="00DC2801">
              <w:rPr>
                <w:b/>
                <w:bCs/>
              </w:rPr>
              <w:t>.</w:t>
            </w:r>
            <w:r w:rsidR="00F74DD9" w:rsidRPr="00DC2801">
              <w:rPr>
                <w:b/>
                <w:bCs/>
              </w:rPr>
              <w:t xml:space="preserve"> </w:t>
            </w:r>
            <w:r w:rsidR="00734E88" w:rsidRPr="00DC2801">
              <w:t>Real-time c</w:t>
            </w:r>
            <w:r w:rsidR="00300793" w:rsidRPr="00DC2801">
              <w:t>aptioning service and</w:t>
            </w:r>
            <w:r w:rsidR="00300793" w:rsidRPr="00DC2801">
              <w:rPr>
                <w:b/>
                <w:bCs/>
              </w:rPr>
              <w:t xml:space="preserve"> </w:t>
            </w:r>
            <w:r w:rsidR="00300793" w:rsidRPr="00DC2801">
              <w:t>r</w:t>
            </w:r>
            <w:r w:rsidR="00F74DD9" w:rsidRPr="00DC2801">
              <w:t xml:space="preserve">emote </w:t>
            </w:r>
            <w:r w:rsidR="00300793" w:rsidRPr="00DC2801">
              <w:t>p</w:t>
            </w:r>
            <w:r w:rsidR="00F74DD9" w:rsidRPr="00DC2801">
              <w:t>articipation will be provided for this workshop.</w:t>
            </w:r>
          </w:p>
          <w:p w14:paraId="791F20A0" w14:textId="467C9ECB" w:rsidR="00310868" w:rsidRPr="00DC2801" w:rsidRDefault="009B0157" w:rsidP="00734E88">
            <w:pPr>
              <w:framePr w:hSpace="0" w:wrap="auto" w:vAnchor="margin" w:hAnchor="text" w:xAlign="left" w:yAlign="inline"/>
            </w:pPr>
            <w:r w:rsidRPr="00DC2801">
              <w:t>2</w:t>
            </w:r>
            <w:r w:rsidR="00E026FF" w:rsidRPr="00DC2801">
              <w:tab/>
            </w:r>
            <w:r w:rsidR="008D52C5" w:rsidRPr="00DC2801">
              <w:t>Video gaming and esports have surged in global popularity, captivating up to 3 billion enthusiasts worldwide. With a user base of 600 million on console platforms and 1.1 billion on personal computers, these activities have solidified their status as both premier entertainment forms and have born new streams of competitive gameplay, referred to as esports (competitive and organized video gaming, in which two or more parties (individuals or teams) face each other under regulated and structured conditions). Nevertheless, the increasing prevalence of prolonged and loud audio exposure in these activities has raised serious health concerns, particularly related to hearing damage and sound-induced hearing loss.</w:t>
            </w:r>
          </w:p>
          <w:p w14:paraId="3E1F8747" w14:textId="7353F49B" w:rsidR="00993ACA" w:rsidRPr="00DC2801" w:rsidRDefault="009B0157" w:rsidP="00734E88">
            <w:pPr>
              <w:framePr w:hSpace="0" w:wrap="auto" w:vAnchor="margin" w:hAnchor="text" w:xAlign="left" w:yAlign="inline"/>
            </w:pPr>
            <w:r w:rsidRPr="00DC2801">
              <w:t>3</w:t>
            </w:r>
            <w:r w:rsidR="00E026FF" w:rsidRPr="00DC2801">
              <w:tab/>
            </w:r>
            <w:r w:rsidR="00993ACA" w:rsidRPr="00DC2801">
              <w:t>In response to this public health concern, ITU</w:t>
            </w:r>
            <w:r w:rsidR="000C59DD" w:rsidRPr="00DC2801">
              <w:t xml:space="preserve"> </w:t>
            </w:r>
            <w:r w:rsidR="00993ACA" w:rsidRPr="00DC2801">
              <w:t>and WHO</w:t>
            </w:r>
            <w:r w:rsidR="000C59DD" w:rsidRPr="00DC2801">
              <w:t xml:space="preserve"> </w:t>
            </w:r>
            <w:r w:rsidR="00BE4F37" w:rsidRPr="00DC2801">
              <w:t xml:space="preserve">started a joint </w:t>
            </w:r>
            <w:r w:rsidR="00993ACA" w:rsidRPr="00DC2801">
              <w:t xml:space="preserve">work item to develop a </w:t>
            </w:r>
            <w:r w:rsidR="00AA163E" w:rsidRPr="00DC2801">
              <w:t xml:space="preserve">global </w:t>
            </w:r>
            <w:r w:rsidR="00993ACA" w:rsidRPr="00DC2801">
              <w:t>standard for safe listening in video gaming and esports activities</w:t>
            </w:r>
            <w:r w:rsidR="002C1D7F" w:rsidRPr="00DC2801">
              <w:t xml:space="preserve"> that expands on the successful guidelines for </w:t>
            </w:r>
            <w:r w:rsidR="006A2219" w:rsidRPr="00DC2801">
              <w:t>safe listening in devices (</w:t>
            </w:r>
            <w:hyperlink r:id="rId12" w:history="1">
              <w:r w:rsidR="00471FD2" w:rsidRPr="00DC2801">
                <w:rPr>
                  <w:rStyle w:val="Hyperlink"/>
                </w:rPr>
                <w:t>ITU-T H.870</w:t>
              </w:r>
            </w:hyperlink>
            <w:r w:rsidR="006A2219" w:rsidRPr="00DC2801">
              <w:t xml:space="preserve">) and </w:t>
            </w:r>
            <w:r w:rsidR="005861D6" w:rsidRPr="00DC2801">
              <w:t xml:space="preserve">in </w:t>
            </w:r>
            <w:hyperlink r:id="rId13" w:history="1">
              <w:r w:rsidR="005861D6" w:rsidRPr="00DC2801">
                <w:rPr>
                  <w:rStyle w:val="Hyperlink"/>
                </w:rPr>
                <w:t>venues</w:t>
              </w:r>
            </w:hyperlink>
            <w:r w:rsidR="00993ACA" w:rsidRPr="00DC2801">
              <w:t xml:space="preserve">. The </w:t>
            </w:r>
            <w:r w:rsidR="005861D6" w:rsidRPr="00DC2801">
              <w:t xml:space="preserve">process to develop the </w:t>
            </w:r>
            <w:r w:rsidR="0075515C" w:rsidRPr="00DC2801">
              <w:t xml:space="preserve">new standard </w:t>
            </w:r>
            <w:r w:rsidR="00993ACA" w:rsidRPr="00DC2801">
              <w:t xml:space="preserve">includes a series of </w:t>
            </w:r>
            <w:r w:rsidR="005861D6" w:rsidRPr="00DC2801">
              <w:t>interactive</w:t>
            </w:r>
            <w:r w:rsidR="00993ACA" w:rsidRPr="00DC2801">
              <w:t xml:space="preserve"> technical workshops</w:t>
            </w:r>
            <w:r w:rsidR="0075515C" w:rsidRPr="00DC2801">
              <w:t xml:space="preserve">, which </w:t>
            </w:r>
            <w:r w:rsidR="00993ACA" w:rsidRPr="00DC2801">
              <w:t xml:space="preserve">serve as platforms to assemble proficient experts, stakeholders, and industry representatives, </w:t>
            </w:r>
            <w:r w:rsidR="00BE259F" w:rsidRPr="00DC2801">
              <w:t xml:space="preserve">to </w:t>
            </w:r>
            <w:r w:rsidR="00993ACA" w:rsidRPr="00DC2801">
              <w:t xml:space="preserve">foster concerted actions and </w:t>
            </w:r>
            <w:r w:rsidR="00D8790E" w:rsidRPr="00DC2801">
              <w:t xml:space="preserve">to lead </w:t>
            </w:r>
            <w:r w:rsidR="00993ACA" w:rsidRPr="00DC2801">
              <w:t>the formulation of guidelines and standards for safe listening in video gaming and esports activities.</w:t>
            </w:r>
          </w:p>
          <w:p w14:paraId="58802744" w14:textId="3BC281CE" w:rsidR="00CC1821" w:rsidRPr="00DC2801" w:rsidRDefault="009B0157" w:rsidP="00734E88">
            <w:pPr>
              <w:framePr w:hSpace="0" w:wrap="auto" w:vAnchor="margin" w:hAnchor="text" w:xAlign="left" w:yAlign="inline"/>
            </w:pPr>
            <w:r w:rsidRPr="00DC2801">
              <w:t>4</w:t>
            </w:r>
            <w:r w:rsidR="00E026FF" w:rsidRPr="00DC2801">
              <w:tab/>
            </w:r>
            <w:r w:rsidRPr="00DC2801">
              <w:t>This workshop build</w:t>
            </w:r>
            <w:r w:rsidR="00B26388" w:rsidRPr="00DC2801">
              <w:t>s</w:t>
            </w:r>
            <w:r w:rsidRPr="00DC2801">
              <w:t xml:space="preserve"> upon the</w:t>
            </w:r>
            <w:r w:rsidR="00621EE1" w:rsidRPr="00DC2801">
              <w:t xml:space="preserve"> </w:t>
            </w:r>
            <w:hyperlink r:id="rId14" w:history="1">
              <w:r w:rsidR="00621EE1" w:rsidRPr="00DC2801">
                <w:rPr>
                  <w:rStyle w:val="Hyperlink"/>
                </w:rPr>
                <w:t>previous workshops</w:t>
              </w:r>
            </w:hyperlink>
            <w:r w:rsidR="00621EE1" w:rsidRPr="00DC2801">
              <w:t xml:space="preserve"> organi</w:t>
            </w:r>
            <w:r w:rsidR="00D2652A" w:rsidRPr="00DC2801">
              <w:t>se</w:t>
            </w:r>
            <w:r w:rsidR="00A36F05" w:rsidRPr="00DC2801">
              <w:t xml:space="preserve">d </w:t>
            </w:r>
            <w:r w:rsidR="00621EE1" w:rsidRPr="00DC2801">
              <w:t>in both Sept</w:t>
            </w:r>
            <w:r w:rsidR="00651E56" w:rsidRPr="00DC2801">
              <w:t>ember 2023 and</w:t>
            </w:r>
            <w:r w:rsidR="000337C4" w:rsidRPr="00DC2801">
              <w:t xml:space="preserve"> </w:t>
            </w:r>
            <w:r w:rsidR="00A36F05" w:rsidRPr="00DC2801">
              <w:t xml:space="preserve">in </w:t>
            </w:r>
            <w:r w:rsidR="002E7CB6" w:rsidRPr="00DC2801">
              <w:t>January 2024</w:t>
            </w:r>
            <w:r w:rsidR="002E7CB6" w:rsidRPr="00DC2801" w:rsidDel="002E7CB6">
              <w:t xml:space="preserve"> </w:t>
            </w:r>
            <w:r w:rsidRPr="00DC2801">
              <w:t xml:space="preserve">to progress the understanding in the broad community of practitioners and video gaming and esports afficionados of the use cases and features that could benefit from tailored guidelines and standards for safe listening. </w:t>
            </w:r>
          </w:p>
          <w:p w14:paraId="17F357D4" w14:textId="0D691D8B" w:rsidR="00F258F6" w:rsidRPr="00DC2801" w:rsidRDefault="009B0157" w:rsidP="00747890">
            <w:pPr>
              <w:framePr w:hSpace="0" w:wrap="auto" w:vAnchor="margin" w:hAnchor="text" w:xAlign="left" w:yAlign="inline"/>
              <w:spacing w:after="120"/>
            </w:pPr>
            <w:r w:rsidRPr="00DC2801">
              <w:t>5</w:t>
            </w:r>
            <w:r w:rsidR="00602919" w:rsidRPr="00DC2801">
              <w:tab/>
            </w:r>
            <w:r w:rsidR="00F258F6" w:rsidRPr="00DC2801">
              <w:t>The primary objectives of the workshop are:</w:t>
            </w:r>
          </w:p>
          <w:p w14:paraId="1864F8A0" w14:textId="77777777" w:rsidR="00EC09E2" w:rsidRPr="00DC2801" w:rsidRDefault="00EC09E2" w:rsidP="00747890">
            <w:pPr>
              <w:framePr w:hSpace="0" w:wrap="auto" w:vAnchor="margin" w:hAnchor="text" w:xAlign="left" w:yAlign="inline"/>
              <w:numPr>
                <w:ilvl w:val="0"/>
                <w:numId w:val="11"/>
              </w:numPr>
              <w:spacing w:before="0" w:after="40"/>
            </w:pPr>
            <w:r w:rsidRPr="00DC2801">
              <w:t>Review of the current draft, which had been updated in response to the January 2024 workshop to include new and revised items, definitions and features;</w:t>
            </w:r>
          </w:p>
          <w:p w14:paraId="5B48D5E2" w14:textId="221E3A4D" w:rsidR="00314231" w:rsidRPr="00DC2801" w:rsidRDefault="00314231" w:rsidP="00747890">
            <w:pPr>
              <w:framePr w:hSpace="0" w:wrap="auto" w:vAnchor="margin" w:hAnchor="text" w:xAlign="left" w:yAlign="inline"/>
              <w:numPr>
                <w:ilvl w:val="0"/>
                <w:numId w:val="11"/>
              </w:numPr>
              <w:spacing w:before="0" w:after="40"/>
            </w:pPr>
            <w:r w:rsidRPr="00DC2801">
              <w:t>Discussion of features to be included within the proposed standard for safe listening in video gaming and esports</w:t>
            </w:r>
            <w:r w:rsidR="00906070" w:rsidRPr="00DC2801">
              <w:t>;</w:t>
            </w:r>
          </w:p>
          <w:p w14:paraId="14421B1E" w14:textId="6AF8D36D" w:rsidR="00314231" w:rsidRPr="00DC2801" w:rsidRDefault="00314231" w:rsidP="00747890">
            <w:pPr>
              <w:framePr w:hSpace="0" w:wrap="auto" w:vAnchor="margin" w:hAnchor="text" w:xAlign="left" w:yAlign="inline"/>
              <w:numPr>
                <w:ilvl w:val="0"/>
                <w:numId w:val="11"/>
              </w:numPr>
              <w:spacing w:before="0" w:after="40"/>
            </w:pPr>
            <w:r w:rsidRPr="00DC2801">
              <w:t>Prioritization of potential features to be included within the proposed standard</w:t>
            </w:r>
            <w:r w:rsidR="00906070" w:rsidRPr="00DC2801">
              <w:t>;</w:t>
            </w:r>
          </w:p>
          <w:p w14:paraId="200727B6" w14:textId="5E7D3F1C" w:rsidR="00CA4469" w:rsidRPr="00DC2801" w:rsidRDefault="00314231" w:rsidP="00747890">
            <w:pPr>
              <w:framePr w:hSpace="0" w:wrap="auto" w:vAnchor="margin" w:hAnchor="text" w:xAlign="left" w:yAlign="inline"/>
              <w:numPr>
                <w:ilvl w:val="0"/>
                <w:numId w:val="11"/>
              </w:numPr>
              <w:spacing w:before="0" w:after="40"/>
            </w:pPr>
            <w:r w:rsidRPr="00DC2801">
              <w:t>Review of any potential issues and limitations that may occur during the implementation of suggested features and/or use of proposed safe listening features by users of video gameplay software and hardware devices.</w:t>
            </w:r>
          </w:p>
          <w:p w14:paraId="4B02E967" w14:textId="36333B10" w:rsidR="005A4E5C" w:rsidRPr="00DC2801" w:rsidRDefault="00520C59" w:rsidP="00734E88">
            <w:pPr>
              <w:framePr w:hSpace="0" w:wrap="auto" w:vAnchor="margin" w:hAnchor="text" w:xAlign="left" w:yAlign="inline"/>
            </w:pPr>
            <w:r w:rsidRPr="00DC2801">
              <w:lastRenderedPageBreak/>
              <w:t>6</w:t>
            </w:r>
            <w:r w:rsidR="00592BBE" w:rsidRPr="00DC2801">
              <w:tab/>
            </w:r>
            <w:r w:rsidR="00CC1821" w:rsidRPr="00DC2801">
              <w:t>Th</w:t>
            </w:r>
            <w:r w:rsidR="005A4E5C" w:rsidRPr="00DC2801">
              <w:t>is event will bring together experts in the field of audiology, gaming, esports, technology, and public health t</w:t>
            </w:r>
            <w:r w:rsidR="007676EC" w:rsidRPr="00DC2801">
              <w:t xml:space="preserve">o review existing safe listening standards (for example </w:t>
            </w:r>
            <w:hyperlink r:id="rId15" w:history="1">
              <w:r w:rsidR="00190542" w:rsidRPr="00DC2801">
                <w:rPr>
                  <w:rStyle w:val="Hyperlink"/>
                </w:rPr>
                <w:t>ITU-T H.870</w:t>
              </w:r>
            </w:hyperlink>
            <w:r w:rsidR="007676EC" w:rsidRPr="00DC2801">
              <w:t xml:space="preserve">), and </w:t>
            </w:r>
            <w:r w:rsidR="005A4E5C" w:rsidRPr="00DC2801">
              <w:t>discuss the challenges and opportunities for safe listening in video gaming and esports activities.</w:t>
            </w:r>
          </w:p>
          <w:p w14:paraId="1722EFA2" w14:textId="64E04DFB" w:rsidR="00CC1821" w:rsidRPr="00DC2801" w:rsidRDefault="00520C59" w:rsidP="00734E88">
            <w:pPr>
              <w:framePr w:hSpace="0" w:wrap="auto" w:vAnchor="margin" w:hAnchor="text" w:xAlign="left" w:yAlign="inline"/>
            </w:pPr>
            <w:r w:rsidRPr="00DC2801">
              <w:t>7</w:t>
            </w:r>
            <w:r w:rsidR="00592BBE" w:rsidRPr="00DC2801">
              <w:tab/>
            </w:r>
            <w:r w:rsidR="006A6CE1" w:rsidRPr="00DC2801">
              <w:t>Participation in the workshop is free of charge and open to</w:t>
            </w:r>
            <w:r w:rsidR="007208C1" w:rsidRPr="00DC2801">
              <w:t xml:space="preserve"> ITU members and invited experts, </w:t>
            </w:r>
            <w:r w:rsidR="00190542" w:rsidRPr="00DC2801">
              <w:t xml:space="preserve">but please note that </w:t>
            </w:r>
            <w:r w:rsidR="007208C1" w:rsidRPr="00DC2801">
              <w:t>registration to attend either in person or online is mandatory</w:t>
            </w:r>
            <w:r w:rsidR="00190542" w:rsidRPr="00DC2801">
              <w:t xml:space="preserve"> (see §</w:t>
            </w:r>
            <w:r w:rsidR="00EC09E2" w:rsidRPr="00DC2801">
              <w:t>9</w:t>
            </w:r>
            <w:r w:rsidR="00190542" w:rsidRPr="00DC2801">
              <w:t>)</w:t>
            </w:r>
            <w:r w:rsidR="007208C1" w:rsidRPr="00DC2801">
              <w:t>.</w:t>
            </w:r>
          </w:p>
          <w:p w14:paraId="3781A1B3" w14:textId="4F8590A6" w:rsidR="003F67BE" w:rsidRPr="00DC2801" w:rsidRDefault="00520C59" w:rsidP="00DC2801">
            <w:pPr>
              <w:framePr w:hSpace="0" w:wrap="auto" w:vAnchor="margin" w:hAnchor="text" w:xAlign="left" w:yAlign="inline"/>
            </w:pPr>
            <w:r w:rsidRPr="00DC2801">
              <w:t>8</w:t>
            </w:r>
            <w:r w:rsidR="00E026FF" w:rsidRPr="00DC2801">
              <w:tab/>
            </w:r>
            <w:r w:rsidR="003F67BE" w:rsidRPr="00DC2801">
              <w:t xml:space="preserve">All relevant Information pertaining to the workshop including the draft programme will be made available on the event website </w:t>
            </w:r>
            <w:r w:rsidR="00190542" w:rsidRPr="00DC2801">
              <w:t>at</w:t>
            </w:r>
            <w:r w:rsidR="007E14F0" w:rsidRPr="00DC2801">
              <w:t xml:space="preserve"> </w:t>
            </w:r>
            <w:hyperlink r:id="rId16" w:history="1">
              <w:r w:rsidR="007E14F0" w:rsidRPr="00DC2801">
                <w:rPr>
                  <w:rStyle w:val="Hyperlink"/>
                </w:rPr>
                <w:t>https://itu.int/en/ITU-T/Workshops-and-Seminars/2024/0416</w:t>
              </w:r>
            </w:hyperlink>
            <w:r w:rsidR="00036A74" w:rsidRPr="00DC2801">
              <w:t>.</w:t>
            </w:r>
            <w:r w:rsidR="007E14F0" w:rsidRPr="00DC2801">
              <w:rPr>
                <w:b/>
                <w:bCs/>
              </w:rPr>
              <w:t xml:space="preserve"> </w:t>
            </w:r>
            <w:r w:rsidR="003F67BE" w:rsidRPr="00DC2801">
              <w:t>The event webpage will be updated regularly as more information becomes available. Participants are encouraged to check the webpage periodically for updates.</w:t>
            </w:r>
          </w:p>
          <w:p w14:paraId="0847A84F" w14:textId="5E2EB804" w:rsidR="00F74DD9" w:rsidRPr="00DC2801" w:rsidRDefault="00520C59" w:rsidP="0038184A">
            <w:pPr>
              <w:framePr w:hSpace="0" w:wrap="auto" w:vAnchor="margin" w:hAnchor="text" w:xAlign="left" w:yAlign="inline"/>
            </w:pPr>
            <w:r w:rsidRPr="00DC2801">
              <w:t>9</w:t>
            </w:r>
            <w:r w:rsidR="003F67BE" w:rsidRPr="00DC2801">
              <w:tab/>
              <w:t xml:space="preserve">To enable TSB to make the necessary arrangements concerning the organization of the workshop, I should be grateful if you would register </w:t>
            </w:r>
            <w:r w:rsidR="00E84F27" w:rsidRPr="00DC2801">
              <w:t xml:space="preserve">as soon as possible </w:t>
            </w:r>
            <w:r w:rsidR="00190542" w:rsidRPr="00DC2801">
              <w:t>at</w:t>
            </w:r>
            <w:r w:rsidR="0038184A">
              <w:t xml:space="preserve"> </w:t>
            </w:r>
            <w:hyperlink r:id="rId17" w:history="1">
              <w:r w:rsidR="0038184A">
                <w:rPr>
                  <w:rStyle w:val="Hyperlink"/>
                </w:rPr>
                <w:t>https://www.itu.int/net4/CRM/xreg/web/Registration.aspx?Event=C-00013953</w:t>
              </w:r>
            </w:hyperlink>
            <w:r w:rsidR="0038184A">
              <w:t xml:space="preserve">. </w:t>
            </w:r>
            <w:r w:rsidR="003F67BE" w:rsidRPr="00DC2801">
              <w:rPr>
                <w:b/>
                <w:bCs/>
              </w:rPr>
              <w:t>Please note that pre-registration of participants for workshops is mandatory and carried out online.</w:t>
            </w:r>
          </w:p>
          <w:p w14:paraId="717EF024" w14:textId="09C227DA" w:rsidR="00CE15CD" w:rsidRPr="00DC2801" w:rsidRDefault="00520C59" w:rsidP="00734E88">
            <w:pPr>
              <w:framePr w:hSpace="0" w:wrap="auto" w:vAnchor="margin" w:hAnchor="text" w:xAlign="left" w:yAlign="inline"/>
            </w:pPr>
            <w:r w:rsidRPr="00DC2801">
              <w:t>10</w:t>
            </w:r>
            <w:r w:rsidR="00DC2801" w:rsidRPr="00DC2801">
              <w:tab/>
            </w:r>
            <w:r w:rsidR="00553A3D" w:rsidRPr="00DC2801">
              <w:t xml:space="preserve">I would like to remind you that citizens of some countries are required to obtain a visa in order to enter and spend any time in </w:t>
            </w:r>
            <w:r w:rsidR="00120E4F" w:rsidRPr="00DC2801">
              <w:t>Franc</w:t>
            </w:r>
            <w:r w:rsidR="00553A3D" w:rsidRPr="00DC2801">
              <w:t xml:space="preserve">e. The visa must be obtained from the office (embassy or consulate) representing the </w:t>
            </w:r>
            <w:r w:rsidR="00120E4F" w:rsidRPr="00DC2801">
              <w:t>France</w:t>
            </w:r>
            <w:r w:rsidR="00553A3D" w:rsidRPr="00DC2801">
              <w:t xml:space="preserve"> in your country or, if there is no such office in your country, from the one that is closest to the country of departure. Additional information on visa requirements will be available on the event website under the section </w:t>
            </w:r>
            <w:r w:rsidR="00DC2801">
              <w:rPr>
                <w:b/>
                <w:bCs/>
              </w:rPr>
              <w:t>"</w:t>
            </w:r>
            <w:r w:rsidR="00553A3D" w:rsidRPr="00DC2801">
              <w:rPr>
                <w:b/>
                <w:bCs/>
              </w:rPr>
              <w:t>Practical Information"</w:t>
            </w:r>
            <w:r w:rsidR="00120E4F" w:rsidRPr="00DC2801">
              <w:rPr>
                <w:b/>
                <w:bCs/>
              </w:rPr>
              <w:t>.</w:t>
            </w:r>
          </w:p>
          <w:p w14:paraId="48664E2E" w14:textId="2D0CCDA2" w:rsidR="007E14F0" w:rsidRPr="00DC2801" w:rsidRDefault="00E026FF" w:rsidP="00AD19B5">
            <w:pPr>
              <w:framePr w:hSpace="0" w:wrap="auto" w:vAnchor="margin" w:hAnchor="text" w:xAlign="left" w:yAlign="inline"/>
            </w:pPr>
            <w:r w:rsidRPr="00DC2801">
              <w:t>Yours faithfully,</w:t>
            </w:r>
          </w:p>
          <w:p w14:paraId="7CB5A7B2" w14:textId="4B33AFF9" w:rsidR="00E026FF" w:rsidRPr="00DC2801" w:rsidRDefault="00273C0B" w:rsidP="00AD19B5">
            <w:pPr>
              <w:framePr w:hSpace="0" w:wrap="auto" w:vAnchor="margin" w:hAnchor="text" w:xAlign="left" w:yAlign="inline"/>
              <w:spacing w:before="840"/>
            </w:pPr>
            <w:r w:rsidRPr="00DC2801">
              <w:rPr>
                <w:noProof/>
              </w:rPr>
              <w:drawing>
                <wp:anchor distT="0" distB="0" distL="114300" distR="114300" simplePos="0" relativeHeight="251658240" behindDoc="1" locked="0" layoutInCell="1" allowOverlap="1" wp14:anchorId="18F2B97A" wp14:editId="10FEA249">
                  <wp:simplePos x="0" y="0"/>
                  <wp:positionH relativeFrom="column">
                    <wp:posOffset>2540</wp:posOffset>
                  </wp:positionH>
                  <wp:positionV relativeFrom="paragraph">
                    <wp:posOffset>140548</wp:posOffset>
                  </wp:positionV>
                  <wp:extent cx="653920" cy="276225"/>
                  <wp:effectExtent l="0" t="0" r="0" b="0"/>
                  <wp:wrapNone/>
                  <wp:docPr id="34948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83074" name="Picture 349483074"/>
                          <pic:cNvPicPr/>
                        </pic:nvPicPr>
                        <pic:blipFill>
                          <a:blip r:embed="rId18">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anchor>
              </w:drawing>
            </w:r>
            <w:r w:rsidR="00E026FF" w:rsidRPr="00DC2801">
              <w:t>Seizo Onoe</w:t>
            </w:r>
            <w:r w:rsidR="00E026FF" w:rsidRPr="00DC2801">
              <w:br/>
              <w:t>Director of the Telecommunication</w:t>
            </w:r>
            <w:r w:rsidR="00E026FF" w:rsidRPr="00DC2801">
              <w:br/>
              <w:t>Standardization Bureau</w:t>
            </w:r>
          </w:p>
        </w:tc>
      </w:tr>
    </w:tbl>
    <w:p w14:paraId="65E19206" w14:textId="77777777" w:rsidR="00993ACA" w:rsidRPr="00DC2801" w:rsidRDefault="00993ACA" w:rsidP="00747890">
      <w:pPr>
        <w:framePr w:w="62" w:h="60" w:hRule="exact" w:wrap="around" w:hAnchor="page" w:x="1501" w:y="9437"/>
      </w:pPr>
    </w:p>
    <w:sectPr w:rsidR="00993ACA" w:rsidRPr="00DC2801" w:rsidSect="0054512E">
      <w:headerReference w:type="even" r:id="rId19"/>
      <w:headerReference w:type="default" r:id="rId20"/>
      <w:footerReference w:type="even" r:id="rId21"/>
      <w:footerReference w:type="default" r:id="rId22"/>
      <w:headerReference w:type="first" r:id="rId23"/>
      <w:footerReference w:type="first" r:id="rId24"/>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5631" w14:textId="77777777" w:rsidR="0054512E" w:rsidRDefault="0054512E" w:rsidP="007E14F0">
      <w:pPr>
        <w:framePr w:hSpace="0" w:wrap="auto" w:vAnchor="margin" w:hAnchor="text" w:xAlign="left" w:yAlign="inline"/>
      </w:pPr>
      <w:r>
        <w:separator/>
      </w:r>
    </w:p>
  </w:endnote>
  <w:endnote w:type="continuationSeparator" w:id="0">
    <w:p w14:paraId="67758DB7" w14:textId="77777777" w:rsidR="0054512E" w:rsidRDefault="0054512E" w:rsidP="007E14F0">
      <w:pPr>
        <w:framePr w:hSpace="0" w:wrap="auto" w:vAnchor="margin" w:hAnchor="text" w:xAlign="left" w:yAlign="inline"/>
      </w:pPr>
      <w:r>
        <w:continuationSeparator/>
      </w:r>
    </w:p>
  </w:endnote>
  <w:endnote w:type="continuationNotice" w:id="1">
    <w:p w14:paraId="2F3A8825" w14:textId="77777777" w:rsidR="0054512E" w:rsidRDefault="0054512E" w:rsidP="007E14F0">
      <w:pPr>
        <w:framePr w:hSpace="0" w:wrap="auto" w:vAnchor="margin" w:hAnchor="text" w:xAlign="left" w:yAlign="inlin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F75B" w14:textId="77777777" w:rsidR="007E14F0" w:rsidRDefault="007E14F0" w:rsidP="007E14F0">
    <w:pPr>
      <w:pStyle w:val="Footer"/>
      <w:framePr w:hSpace="0" w:wrap="auto" w:vAnchor="margin" w:hAnchor="text" w:xAlign="left" w:yAlign="in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3BE4" w14:textId="77777777" w:rsidR="007E14F0" w:rsidRDefault="007E14F0" w:rsidP="007E14F0">
    <w:pPr>
      <w:pStyle w:val="Footer"/>
      <w:framePr w:hSpace="0" w:wrap="auto" w:vAnchor="margin" w:hAnchor="text" w:xAlign="left" w:yAlign="in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3444" w14:textId="649435EC" w:rsidR="00CA2A8D" w:rsidRPr="007E14F0" w:rsidRDefault="007E14F0" w:rsidP="007E14F0">
    <w:pPr>
      <w:framePr w:hSpace="0" w:wrap="auto" w:vAnchor="margin" w:hAnchor="text" w:xAlign="left" w:yAlign="inline"/>
      <w:tabs>
        <w:tab w:val="left" w:pos="5954"/>
        <w:tab w:val="right" w:pos="9639"/>
      </w:tabs>
      <w:jc w:val="center"/>
    </w:pPr>
    <w:r w:rsidRPr="00F763C8">
      <w:rPr>
        <w:noProof/>
        <w:color w:val="0070C0"/>
        <w:sz w:val="18"/>
        <w:szCs w:val="18"/>
        <w:lang w:val="fr-CH"/>
      </w:rPr>
      <w:t xml:space="preserve">International Telecommunication Union • Place des Nations </w:t>
    </w:r>
    <w:r w:rsidRPr="00F763C8">
      <w:rPr>
        <w:caps/>
        <w:noProof/>
        <w:color w:val="0070C0"/>
        <w:sz w:val="18"/>
        <w:szCs w:val="18"/>
        <w:lang w:val="fr-CH"/>
      </w:rPr>
      <w:t>•</w:t>
    </w:r>
    <w:r w:rsidRPr="00F763C8">
      <w:rPr>
        <w:noProof/>
        <w:color w:val="0070C0"/>
        <w:sz w:val="18"/>
        <w:szCs w:val="18"/>
        <w:lang w:val="fr-CH"/>
      </w:rPr>
      <w:t xml:space="preserve"> CH</w:t>
    </w:r>
    <w:r w:rsidRPr="00F763C8">
      <w:rPr>
        <w:noProof/>
        <w:color w:val="0070C0"/>
        <w:sz w:val="18"/>
        <w:szCs w:val="18"/>
        <w:lang w:val="fr-CH"/>
      </w:rPr>
      <w:noBreakHyphen/>
      <w:t xml:space="preserve">1211 Geneva 20 </w:t>
    </w:r>
    <w:r w:rsidRPr="00F763C8">
      <w:rPr>
        <w:caps/>
        <w:noProof/>
        <w:color w:val="0070C0"/>
        <w:sz w:val="18"/>
        <w:szCs w:val="18"/>
        <w:lang w:val="fr-CH"/>
      </w:rPr>
      <w:t>•</w:t>
    </w:r>
    <w:r w:rsidRPr="00F763C8">
      <w:rPr>
        <w:noProof/>
        <w:color w:val="0070C0"/>
        <w:sz w:val="18"/>
        <w:szCs w:val="18"/>
        <w:lang w:val="fr-CH"/>
      </w:rPr>
      <w:t xml:space="preserve"> Switzerland </w:t>
    </w:r>
    <w:r w:rsidRPr="00F763C8">
      <w:rPr>
        <w:caps/>
        <w:noProof/>
        <w:color w:val="0070C0"/>
        <w:sz w:val="18"/>
        <w:szCs w:val="18"/>
        <w:lang w:val="fr-CH"/>
      </w:rPr>
      <w:br/>
    </w:r>
    <w:r w:rsidRPr="00F763C8">
      <w:rPr>
        <w:noProof/>
        <w:color w:val="0070C0"/>
        <w:sz w:val="18"/>
        <w:szCs w:val="18"/>
        <w:lang w:val="fr-CH"/>
      </w:rPr>
      <w:t>Tel:</w:t>
    </w:r>
    <w:r w:rsidRPr="00F763C8">
      <w:rPr>
        <w:caps/>
        <w:noProof/>
        <w:color w:val="0070C0"/>
        <w:sz w:val="18"/>
        <w:szCs w:val="18"/>
        <w:lang w:val="fr-CH"/>
      </w:rPr>
      <w:t xml:space="preserve"> +41 22 730 5111 • </w:t>
    </w:r>
    <w:r w:rsidRPr="00F763C8">
      <w:rPr>
        <w:noProof/>
        <w:color w:val="0070C0"/>
        <w:sz w:val="18"/>
        <w:szCs w:val="18"/>
        <w:lang w:val="fr-CH"/>
      </w:rPr>
      <w:t>Fax</w:t>
    </w:r>
    <w:r w:rsidRPr="00F763C8">
      <w:rPr>
        <w:caps/>
        <w:noProof/>
        <w:color w:val="0070C0"/>
        <w:sz w:val="18"/>
        <w:szCs w:val="18"/>
        <w:lang w:val="fr-CH"/>
      </w:rPr>
      <w:t>: +41 22 733 7256 • E-</w:t>
    </w:r>
    <w:r w:rsidRPr="00F763C8">
      <w:rPr>
        <w:noProof/>
        <w:color w:val="0070C0"/>
        <w:sz w:val="18"/>
        <w:szCs w:val="18"/>
        <w:lang w:val="fr-CH"/>
      </w:rPr>
      <w:t>mail</w:t>
    </w:r>
    <w:r w:rsidRPr="00F763C8">
      <w:rPr>
        <w:caps/>
        <w:noProof/>
        <w:color w:val="0070C0"/>
        <w:sz w:val="18"/>
        <w:szCs w:val="18"/>
        <w:lang w:val="fr-CH"/>
      </w:rPr>
      <w:t xml:space="preserve">: </w:t>
    </w:r>
    <w:hyperlink r:id="rId1" w:history="1">
      <w:r w:rsidRPr="00F763C8">
        <w:rPr>
          <w:noProof/>
          <w:color w:val="0070C0"/>
          <w:sz w:val="18"/>
          <w:szCs w:val="18"/>
          <w:u w:val="single"/>
          <w:lang w:val="fr-CH"/>
        </w:rPr>
        <w:t>itumail@itu.int</w:t>
      </w:r>
    </w:hyperlink>
    <w:r w:rsidRPr="00F763C8">
      <w:rPr>
        <w:noProof/>
        <w:color w:val="0070C0"/>
        <w:sz w:val="18"/>
        <w:szCs w:val="18"/>
        <w:lang w:val="fr-CH"/>
      </w:rPr>
      <w:t xml:space="preserve"> • </w:t>
    </w:r>
    <w:hyperlink r:id="rId2" w:history="1">
      <w:r w:rsidRPr="00F763C8">
        <w:rPr>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A870" w14:textId="77777777" w:rsidR="0054512E" w:rsidRDefault="0054512E" w:rsidP="007E14F0">
      <w:pPr>
        <w:framePr w:hSpace="0" w:wrap="auto" w:vAnchor="margin" w:hAnchor="text" w:xAlign="left" w:yAlign="inline"/>
      </w:pPr>
      <w:r>
        <w:separator/>
      </w:r>
    </w:p>
  </w:footnote>
  <w:footnote w:type="continuationSeparator" w:id="0">
    <w:p w14:paraId="4ED8D1B4" w14:textId="77777777" w:rsidR="0054512E" w:rsidRDefault="0054512E" w:rsidP="007E14F0">
      <w:pPr>
        <w:framePr w:hSpace="0" w:wrap="auto" w:vAnchor="margin" w:hAnchor="text" w:xAlign="left" w:yAlign="inline"/>
      </w:pPr>
      <w:r>
        <w:continuationSeparator/>
      </w:r>
    </w:p>
  </w:footnote>
  <w:footnote w:type="continuationNotice" w:id="1">
    <w:p w14:paraId="4F0BBF34" w14:textId="77777777" w:rsidR="0054512E" w:rsidRDefault="0054512E" w:rsidP="007E14F0">
      <w:pPr>
        <w:framePr w:hSpace="0" w:wrap="auto" w:vAnchor="margin" w:hAnchor="text" w:xAlign="left" w:yAlign="inlin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3F34" w14:textId="77777777" w:rsidR="007E14F0" w:rsidRDefault="007E14F0" w:rsidP="007E14F0">
    <w:pPr>
      <w:pStyle w:val="Header"/>
      <w:framePr w:hSpace="0" w:wrap="auto" w:vAnchor="margin" w:hAnchor="text" w:xAlign="left" w:yAlign="in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366F" w14:textId="66974941" w:rsidR="00CA2A8D" w:rsidRPr="00727108" w:rsidRDefault="00CE3398" w:rsidP="007E14F0">
    <w:pPr>
      <w:pStyle w:val="Header"/>
      <w:framePr w:hSpace="0" w:wrap="auto" w:vAnchor="margin" w:hAnchor="text" w:xAlign="left" w:yAlign="inline"/>
    </w:pPr>
    <w:r w:rsidRPr="00727108">
      <w:t xml:space="preserve">- </w:t>
    </w:r>
    <w:r w:rsidRPr="00727108">
      <w:fldChar w:fldCharType="begin"/>
    </w:r>
    <w:r w:rsidRPr="00727108">
      <w:instrText xml:space="preserve"> PAGE   \* MERGEFORMAT </w:instrText>
    </w:r>
    <w:r w:rsidRPr="00727108">
      <w:fldChar w:fldCharType="separate"/>
    </w:r>
    <w:r w:rsidR="0071466F" w:rsidRPr="00727108">
      <w:rPr>
        <w:noProof/>
      </w:rPr>
      <w:t>2</w:t>
    </w:r>
    <w:r w:rsidRPr="00727108">
      <w:rPr>
        <w:noProof/>
      </w:rPr>
      <w:fldChar w:fldCharType="end"/>
    </w:r>
    <w:r w:rsidRPr="00727108">
      <w:rPr>
        <w:noProof/>
      </w:rPr>
      <w:t xml:space="preserve"> -</w:t>
    </w:r>
    <w:r w:rsidRPr="00727108">
      <w:rPr>
        <w:noProof/>
      </w:rPr>
      <w:br/>
    </w:r>
    <w:r w:rsidR="00190542" w:rsidRPr="00727108">
      <w:fldChar w:fldCharType="begin"/>
    </w:r>
    <w:r w:rsidR="00190542" w:rsidRPr="00727108">
      <w:instrText xml:space="preserve"> styleref TSBCircNo </w:instrText>
    </w:r>
    <w:r w:rsidR="00190542" w:rsidRPr="00727108">
      <w:fldChar w:fldCharType="separate"/>
    </w:r>
    <w:r w:rsidR="00273C0B">
      <w:rPr>
        <w:noProof/>
      </w:rPr>
      <w:t>TSB Circular 197</w:t>
    </w:r>
    <w:r w:rsidR="00190542" w:rsidRPr="00727108">
      <w:fldChar w:fldCharType="end"/>
    </w:r>
  </w:p>
  <w:p w14:paraId="6E5310CB" w14:textId="77777777" w:rsidR="00CA2A8D" w:rsidRDefault="00CA2A8D" w:rsidP="007E14F0">
    <w:pPr>
      <w:pStyle w:val="Header"/>
      <w:framePr w:hSpace="0" w:wrap="auto" w:vAnchor="margin" w:hAnchor="text" w:xAlign="left" w:yAlign="in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ADFC" w14:textId="77777777" w:rsidR="007E14F0" w:rsidRDefault="007E14F0" w:rsidP="007E14F0">
    <w:pPr>
      <w:pStyle w:val="Header"/>
      <w:framePr w:hSpace="0"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D1A"/>
    <w:multiLevelType w:val="hybridMultilevel"/>
    <w:tmpl w:val="819CAEF2"/>
    <w:lvl w:ilvl="0" w:tplc="26144FE6">
      <w:start w:val="1"/>
      <w:numFmt w:val="lowerLetter"/>
      <w:lvlText w:val="%1."/>
      <w:lvlJc w:val="left"/>
      <w:pPr>
        <w:ind w:left="730" w:hanging="3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5E14AA"/>
    <w:multiLevelType w:val="hybridMultilevel"/>
    <w:tmpl w:val="BE545344"/>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77539"/>
    <w:multiLevelType w:val="hybridMultilevel"/>
    <w:tmpl w:val="D982F9F8"/>
    <w:lvl w:ilvl="0" w:tplc="4CFCB8E0">
      <w:start w:val="1"/>
      <w:numFmt w:val="bullet"/>
      <w:lvlRestart w:val="0"/>
      <w:lvlText w:val="–"/>
      <w:lvlJc w:val="left"/>
      <w:pPr>
        <w:ind w:left="1157" w:hanging="363"/>
      </w:pPr>
      <w:rPr>
        <w:rFonts w:ascii="Times New Roman" w:hAnsi="Times New Roman" w:cs="Times New Roman"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3" w15:restartNumberingAfterBreak="0">
    <w:nsid w:val="2E6E7AF1"/>
    <w:multiLevelType w:val="hybridMultilevel"/>
    <w:tmpl w:val="8272C126"/>
    <w:lvl w:ilvl="0" w:tplc="9404D61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FD3"/>
    <w:multiLevelType w:val="hybridMultilevel"/>
    <w:tmpl w:val="0938F912"/>
    <w:lvl w:ilvl="0" w:tplc="2CFC0C16">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30499A"/>
    <w:multiLevelType w:val="hybridMultilevel"/>
    <w:tmpl w:val="8F18F7F4"/>
    <w:lvl w:ilvl="0" w:tplc="F1748598">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F48FE"/>
    <w:multiLevelType w:val="hybridMultilevel"/>
    <w:tmpl w:val="1CE27818"/>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A46BED"/>
    <w:multiLevelType w:val="hybridMultilevel"/>
    <w:tmpl w:val="62BA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2167E"/>
    <w:multiLevelType w:val="hybridMultilevel"/>
    <w:tmpl w:val="ECBA4B80"/>
    <w:lvl w:ilvl="0" w:tplc="85F0D74A">
      <w:start w:val="1"/>
      <w:numFmt w:val="decimal"/>
      <w:lvlText w:val="%1"/>
      <w:lvlJc w:val="left"/>
      <w:pPr>
        <w:ind w:left="800" w:hanging="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981E97"/>
    <w:multiLevelType w:val="hybridMultilevel"/>
    <w:tmpl w:val="3DB4AE0A"/>
    <w:lvl w:ilvl="0" w:tplc="97FAE6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53999"/>
    <w:multiLevelType w:val="hybridMultilevel"/>
    <w:tmpl w:val="A8FA322E"/>
    <w:lvl w:ilvl="0" w:tplc="1B90D032">
      <w:start w:val="1"/>
      <w:numFmt w:val="bullet"/>
      <w:lvlRestart w:val="0"/>
      <w:lvlText w:val="–"/>
      <w:lvlJc w:val="left"/>
      <w:pPr>
        <w:ind w:left="1287" w:hanging="363"/>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432168176">
    <w:abstractNumId w:val="8"/>
  </w:num>
  <w:num w:numId="2" w16cid:durableId="997533295">
    <w:abstractNumId w:val="9"/>
  </w:num>
  <w:num w:numId="3" w16cid:durableId="703091069">
    <w:abstractNumId w:val="3"/>
  </w:num>
  <w:num w:numId="4" w16cid:durableId="331760602">
    <w:abstractNumId w:val="6"/>
  </w:num>
  <w:num w:numId="5" w16cid:durableId="253169388">
    <w:abstractNumId w:val="1"/>
  </w:num>
  <w:num w:numId="6" w16cid:durableId="1692873662">
    <w:abstractNumId w:val="7"/>
  </w:num>
  <w:num w:numId="7" w16cid:durableId="1298099087">
    <w:abstractNumId w:val="4"/>
  </w:num>
  <w:num w:numId="8" w16cid:durableId="1102919646">
    <w:abstractNumId w:val="5"/>
  </w:num>
  <w:num w:numId="9" w16cid:durableId="138618084">
    <w:abstractNumId w:val="10"/>
  </w:num>
  <w:num w:numId="10" w16cid:durableId="2116705072">
    <w:abstractNumId w:val="0"/>
  </w:num>
  <w:num w:numId="11" w16cid:durableId="503591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567"/>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zQwNjS0MDA2NrNQ0lEKTi0uzszPAykwrAUA6sWOwSwAAAA="/>
  </w:docVars>
  <w:rsids>
    <w:rsidRoot w:val="00A27839"/>
    <w:rsid w:val="0000382D"/>
    <w:rsid w:val="000337C4"/>
    <w:rsid w:val="00036A74"/>
    <w:rsid w:val="00040CA5"/>
    <w:rsid w:val="00074302"/>
    <w:rsid w:val="00081064"/>
    <w:rsid w:val="00083DA4"/>
    <w:rsid w:val="00092867"/>
    <w:rsid w:val="0009393F"/>
    <w:rsid w:val="000C59DD"/>
    <w:rsid w:val="000C5DE0"/>
    <w:rsid w:val="000D0825"/>
    <w:rsid w:val="000D25AF"/>
    <w:rsid w:val="0010364E"/>
    <w:rsid w:val="00105E27"/>
    <w:rsid w:val="0011584E"/>
    <w:rsid w:val="00117A62"/>
    <w:rsid w:val="00120E4F"/>
    <w:rsid w:val="00136E73"/>
    <w:rsid w:val="001415AC"/>
    <w:rsid w:val="00142D08"/>
    <w:rsid w:val="00143A5A"/>
    <w:rsid w:val="00147431"/>
    <w:rsid w:val="00172317"/>
    <w:rsid w:val="00180F8A"/>
    <w:rsid w:val="00183D40"/>
    <w:rsid w:val="00190542"/>
    <w:rsid w:val="001A0FE6"/>
    <w:rsid w:val="001A6D32"/>
    <w:rsid w:val="001C1F97"/>
    <w:rsid w:val="001C2F4D"/>
    <w:rsid w:val="001C7F55"/>
    <w:rsid w:val="001D7B3C"/>
    <w:rsid w:val="001E74C1"/>
    <w:rsid w:val="001F47E9"/>
    <w:rsid w:val="001F58A8"/>
    <w:rsid w:val="001F6A30"/>
    <w:rsid w:val="002174AC"/>
    <w:rsid w:val="00217A39"/>
    <w:rsid w:val="00226C92"/>
    <w:rsid w:val="002323CF"/>
    <w:rsid w:val="00237316"/>
    <w:rsid w:val="00247337"/>
    <w:rsid w:val="002527F0"/>
    <w:rsid w:val="00252F93"/>
    <w:rsid w:val="00256879"/>
    <w:rsid w:val="002569A8"/>
    <w:rsid w:val="00273C0B"/>
    <w:rsid w:val="00286EFB"/>
    <w:rsid w:val="0029338C"/>
    <w:rsid w:val="002A076D"/>
    <w:rsid w:val="002A5214"/>
    <w:rsid w:val="002C1D7F"/>
    <w:rsid w:val="002C1E60"/>
    <w:rsid w:val="002D46F1"/>
    <w:rsid w:val="002D66DA"/>
    <w:rsid w:val="002D6AAE"/>
    <w:rsid w:val="002E308E"/>
    <w:rsid w:val="002E7CB6"/>
    <w:rsid w:val="002F073E"/>
    <w:rsid w:val="00300793"/>
    <w:rsid w:val="0030772A"/>
    <w:rsid w:val="00310868"/>
    <w:rsid w:val="003132DD"/>
    <w:rsid w:val="00314231"/>
    <w:rsid w:val="00320DCB"/>
    <w:rsid w:val="003312CC"/>
    <w:rsid w:val="00344E1C"/>
    <w:rsid w:val="00371CF4"/>
    <w:rsid w:val="003766F0"/>
    <w:rsid w:val="003774F7"/>
    <w:rsid w:val="0038184A"/>
    <w:rsid w:val="003A20E9"/>
    <w:rsid w:val="003B7FD4"/>
    <w:rsid w:val="003C5F9A"/>
    <w:rsid w:val="003D0AC6"/>
    <w:rsid w:val="003D5E87"/>
    <w:rsid w:val="003D6AA6"/>
    <w:rsid w:val="003F67BE"/>
    <w:rsid w:val="003F7F6A"/>
    <w:rsid w:val="004003B2"/>
    <w:rsid w:val="00406F17"/>
    <w:rsid w:val="004102C5"/>
    <w:rsid w:val="00411EC9"/>
    <w:rsid w:val="00426031"/>
    <w:rsid w:val="00432197"/>
    <w:rsid w:val="004528F2"/>
    <w:rsid w:val="004571F8"/>
    <w:rsid w:val="0046785D"/>
    <w:rsid w:val="00471FD2"/>
    <w:rsid w:val="00474456"/>
    <w:rsid w:val="00482B9A"/>
    <w:rsid w:val="004847FA"/>
    <w:rsid w:val="0049137E"/>
    <w:rsid w:val="004A45FA"/>
    <w:rsid w:val="004A5A3A"/>
    <w:rsid w:val="004B002D"/>
    <w:rsid w:val="004C277A"/>
    <w:rsid w:val="004C3C0B"/>
    <w:rsid w:val="004C4B16"/>
    <w:rsid w:val="004C5A4B"/>
    <w:rsid w:val="004C6A7C"/>
    <w:rsid w:val="004D730D"/>
    <w:rsid w:val="004E4474"/>
    <w:rsid w:val="005149E4"/>
    <w:rsid w:val="00520C59"/>
    <w:rsid w:val="0053097D"/>
    <w:rsid w:val="00535010"/>
    <w:rsid w:val="00535BFF"/>
    <w:rsid w:val="00541D34"/>
    <w:rsid w:val="0054512E"/>
    <w:rsid w:val="005526E8"/>
    <w:rsid w:val="005528B1"/>
    <w:rsid w:val="00553A3D"/>
    <w:rsid w:val="005612F3"/>
    <w:rsid w:val="005850D9"/>
    <w:rsid w:val="005861D6"/>
    <w:rsid w:val="00592BBE"/>
    <w:rsid w:val="0059636E"/>
    <w:rsid w:val="005A4E5C"/>
    <w:rsid w:val="005A694A"/>
    <w:rsid w:val="005B257B"/>
    <w:rsid w:val="005B7745"/>
    <w:rsid w:val="005F528E"/>
    <w:rsid w:val="005F741E"/>
    <w:rsid w:val="006005D2"/>
    <w:rsid w:val="00602919"/>
    <w:rsid w:val="0060484B"/>
    <w:rsid w:val="00607FC7"/>
    <w:rsid w:val="00611889"/>
    <w:rsid w:val="00621EE1"/>
    <w:rsid w:val="00635B30"/>
    <w:rsid w:val="006377FC"/>
    <w:rsid w:val="00640080"/>
    <w:rsid w:val="00646791"/>
    <w:rsid w:val="00651E56"/>
    <w:rsid w:val="00654577"/>
    <w:rsid w:val="00654FB9"/>
    <w:rsid w:val="006764F9"/>
    <w:rsid w:val="006808E5"/>
    <w:rsid w:val="00687F9B"/>
    <w:rsid w:val="00692C27"/>
    <w:rsid w:val="00697100"/>
    <w:rsid w:val="006A04E7"/>
    <w:rsid w:val="006A2219"/>
    <w:rsid w:val="006A6CE1"/>
    <w:rsid w:val="006A780C"/>
    <w:rsid w:val="006B11A8"/>
    <w:rsid w:val="006C65B3"/>
    <w:rsid w:val="006C681C"/>
    <w:rsid w:val="006E4624"/>
    <w:rsid w:val="006F4D41"/>
    <w:rsid w:val="00702A50"/>
    <w:rsid w:val="00703B3E"/>
    <w:rsid w:val="00705179"/>
    <w:rsid w:val="007143E3"/>
    <w:rsid w:val="0071466F"/>
    <w:rsid w:val="007208C1"/>
    <w:rsid w:val="007261B9"/>
    <w:rsid w:val="00727108"/>
    <w:rsid w:val="0073100D"/>
    <w:rsid w:val="007316DD"/>
    <w:rsid w:val="00732FD5"/>
    <w:rsid w:val="00734E88"/>
    <w:rsid w:val="00741C2C"/>
    <w:rsid w:val="007465DF"/>
    <w:rsid w:val="00747890"/>
    <w:rsid w:val="00752275"/>
    <w:rsid w:val="0075467A"/>
    <w:rsid w:val="0075515C"/>
    <w:rsid w:val="007676EC"/>
    <w:rsid w:val="00770E88"/>
    <w:rsid w:val="007855C5"/>
    <w:rsid w:val="00791478"/>
    <w:rsid w:val="007918FA"/>
    <w:rsid w:val="007E14F0"/>
    <w:rsid w:val="007E6F4B"/>
    <w:rsid w:val="007F08F8"/>
    <w:rsid w:val="007F3846"/>
    <w:rsid w:val="008062F0"/>
    <w:rsid w:val="008073D9"/>
    <w:rsid w:val="0081325A"/>
    <w:rsid w:val="00822242"/>
    <w:rsid w:val="00826359"/>
    <w:rsid w:val="00835972"/>
    <w:rsid w:val="008516FD"/>
    <w:rsid w:val="00863C3A"/>
    <w:rsid w:val="00872583"/>
    <w:rsid w:val="0087293C"/>
    <w:rsid w:val="00885F5B"/>
    <w:rsid w:val="008A62AF"/>
    <w:rsid w:val="008A6F4D"/>
    <w:rsid w:val="008B4D6F"/>
    <w:rsid w:val="008B59C1"/>
    <w:rsid w:val="008D005D"/>
    <w:rsid w:val="008D52C5"/>
    <w:rsid w:val="008E67F6"/>
    <w:rsid w:val="00906070"/>
    <w:rsid w:val="0091067E"/>
    <w:rsid w:val="00916950"/>
    <w:rsid w:val="00917AC9"/>
    <w:rsid w:val="0093063B"/>
    <w:rsid w:val="009462CC"/>
    <w:rsid w:val="00952ED7"/>
    <w:rsid w:val="00954404"/>
    <w:rsid w:val="00976A4D"/>
    <w:rsid w:val="00980E64"/>
    <w:rsid w:val="00982881"/>
    <w:rsid w:val="00983C16"/>
    <w:rsid w:val="00991180"/>
    <w:rsid w:val="00991C6A"/>
    <w:rsid w:val="00993ACA"/>
    <w:rsid w:val="00996ED4"/>
    <w:rsid w:val="009A38E0"/>
    <w:rsid w:val="009B0157"/>
    <w:rsid w:val="009F06A2"/>
    <w:rsid w:val="009F4C11"/>
    <w:rsid w:val="009F7995"/>
    <w:rsid w:val="00A11C4C"/>
    <w:rsid w:val="00A2119E"/>
    <w:rsid w:val="00A27839"/>
    <w:rsid w:val="00A34082"/>
    <w:rsid w:val="00A36F05"/>
    <w:rsid w:val="00A40735"/>
    <w:rsid w:val="00A66D78"/>
    <w:rsid w:val="00A70D7B"/>
    <w:rsid w:val="00A752F3"/>
    <w:rsid w:val="00A76327"/>
    <w:rsid w:val="00A83E73"/>
    <w:rsid w:val="00A84949"/>
    <w:rsid w:val="00A86EC9"/>
    <w:rsid w:val="00AA163E"/>
    <w:rsid w:val="00AA2116"/>
    <w:rsid w:val="00AB00AB"/>
    <w:rsid w:val="00AD19B5"/>
    <w:rsid w:val="00AE4496"/>
    <w:rsid w:val="00AE5CFF"/>
    <w:rsid w:val="00AF3756"/>
    <w:rsid w:val="00AF39EC"/>
    <w:rsid w:val="00B0103B"/>
    <w:rsid w:val="00B02826"/>
    <w:rsid w:val="00B05439"/>
    <w:rsid w:val="00B06B4A"/>
    <w:rsid w:val="00B21CE4"/>
    <w:rsid w:val="00B23A24"/>
    <w:rsid w:val="00B246D4"/>
    <w:rsid w:val="00B26388"/>
    <w:rsid w:val="00B30583"/>
    <w:rsid w:val="00B3306F"/>
    <w:rsid w:val="00B341C1"/>
    <w:rsid w:val="00B35316"/>
    <w:rsid w:val="00B35435"/>
    <w:rsid w:val="00B419D3"/>
    <w:rsid w:val="00B44098"/>
    <w:rsid w:val="00B7664B"/>
    <w:rsid w:val="00B863EE"/>
    <w:rsid w:val="00B97B87"/>
    <w:rsid w:val="00BD0F01"/>
    <w:rsid w:val="00BE082D"/>
    <w:rsid w:val="00BE259F"/>
    <w:rsid w:val="00BE3D6F"/>
    <w:rsid w:val="00BE4F37"/>
    <w:rsid w:val="00BF7039"/>
    <w:rsid w:val="00C03269"/>
    <w:rsid w:val="00C131EE"/>
    <w:rsid w:val="00C22214"/>
    <w:rsid w:val="00C227FD"/>
    <w:rsid w:val="00C25926"/>
    <w:rsid w:val="00C31176"/>
    <w:rsid w:val="00C323B2"/>
    <w:rsid w:val="00C373B8"/>
    <w:rsid w:val="00C43EB2"/>
    <w:rsid w:val="00C544E8"/>
    <w:rsid w:val="00C773C4"/>
    <w:rsid w:val="00CA1E4A"/>
    <w:rsid w:val="00CA2A8D"/>
    <w:rsid w:val="00CA4469"/>
    <w:rsid w:val="00CB0059"/>
    <w:rsid w:val="00CB17D5"/>
    <w:rsid w:val="00CC1821"/>
    <w:rsid w:val="00CC7BFD"/>
    <w:rsid w:val="00CE15CD"/>
    <w:rsid w:val="00CE283F"/>
    <w:rsid w:val="00CE3398"/>
    <w:rsid w:val="00CF2061"/>
    <w:rsid w:val="00D01E3E"/>
    <w:rsid w:val="00D06BBD"/>
    <w:rsid w:val="00D1059B"/>
    <w:rsid w:val="00D230FF"/>
    <w:rsid w:val="00D2652A"/>
    <w:rsid w:val="00D34B4A"/>
    <w:rsid w:val="00D51A51"/>
    <w:rsid w:val="00D60CD2"/>
    <w:rsid w:val="00D76954"/>
    <w:rsid w:val="00D8790E"/>
    <w:rsid w:val="00D9411D"/>
    <w:rsid w:val="00DA7E54"/>
    <w:rsid w:val="00DB4C01"/>
    <w:rsid w:val="00DC0B16"/>
    <w:rsid w:val="00DC16F2"/>
    <w:rsid w:val="00DC2801"/>
    <w:rsid w:val="00DD0F81"/>
    <w:rsid w:val="00DD386E"/>
    <w:rsid w:val="00DD49C5"/>
    <w:rsid w:val="00DF7403"/>
    <w:rsid w:val="00E026FF"/>
    <w:rsid w:val="00E035B9"/>
    <w:rsid w:val="00E052DB"/>
    <w:rsid w:val="00E063D6"/>
    <w:rsid w:val="00E13156"/>
    <w:rsid w:val="00E24493"/>
    <w:rsid w:val="00E50D20"/>
    <w:rsid w:val="00E61AB0"/>
    <w:rsid w:val="00E82B9C"/>
    <w:rsid w:val="00E84F27"/>
    <w:rsid w:val="00E94313"/>
    <w:rsid w:val="00EA18CF"/>
    <w:rsid w:val="00EB0408"/>
    <w:rsid w:val="00EB2858"/>
    <w:rsid w:val="00EC078E"/>
    <w:rsid w:val="00EC09E2"/>
    <w:rsid w:val="00EC7FB8"/>
    <w:rsid w:val="00EE41D7"/>
    <w:rsid w:val="00EF1E7C"/>
    <w:rsid w:val="00F2468C"/>
    <w:rsid w:val="00F258F6"/>
    <w:rsid w:val="00F3215D"/>
    <w:rsid w:val="00F32C84"/>
    <w:rsid w:val="00F346E9"/>
    <w:rsid w:val="00F3520E"/>
    <w:rsid w:val="00F3657B"/>
    <w:rsid w:val="00F37275"/>
    <w:rsid w:val="00F410A1"/>
    <w:rsid w:val="00F70312"/>
    <w:rsid w:val="00F74DD9"/>
    <w:rsid w:val="00F75288"/>
    <w:rsid w:val="00F75F4C"/>
    <w:rsid w:val="00F76392"/>
    <w:rsid w:val="00F94093"/>
    <w:rsid w:val="00FB68A0"/>
    <w:rsid w:val="00FC285F"/>
    <w:rsid w:val="00FC45A3"/>
    <w:rsid w:val="00FC47AB"/>
    <w:rsid w:val="00FC61DC"/>
    <w:rsid w:val="00FE0772"/>
    <w:rsid w:val="00FE3CC2"/>
    <w:rsid w:val="00FF053E"/>
    <w:rsid w:val="2C65F740"/>
    <w:rsid w:val="3054C1C8"/>
    <w:rsid w:val="36E4BCEA"/>
    <w:rsid w:val="3E738FF3"/>
    <w:rsid w:val="5610D1C1"/>
    <w:rsid w:val="5CF2CC4F"/>
    <w:rsid w:val="730906E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E34C8"/>
  <w15:docId w15:val="{7162C953-8693-41BE-8222-99D6B3B0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88"/>
    <w:pPr>
      <w:framePr w:hSpace="181" w:wrap="around" w:vAnchor="page" w:hAnchor="margin" w:xAlign="center" w:y="664"/>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cs="Calibri"/>
      <w:kern w:val="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_text"/>
    <w:basedOn w:val="Normal"/>
    <w:rsid w:val="00190542"/>
    <w:pPr>
      <w:framePr w:wrap="around"/>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styleId="Footer">
    <w:name w:val="footer"/>
    <w:basedOn w:val="Normal"/>
    <w:link w:val="FooterChar"/>
    <w:rsid w:val="00A27839"/>
    <w:pPr>
      <w:framePr w:wrap="around"/>
      <w:tabs>
        <w:tab w:val="left" w:pos="5954"/>
        <w:tab w:val="right" w:pos="9639"/>
      </w:tabs>
      <w:spacing w:before="0"/>
    </w:pPr>
    <w:rPr>
      <w:caps/>
      <w:noProof/>
      <w:sz w:val="16"/>
    </w:rPr>
  </w:style>
  <w:style w:type="character" w:customStyle="1" w:styleId="FooterChar">
    <w:name w:val="Footer Char"/>
    <w:basedOn w:val="DefaultParagraphFont"/>
    <w:link w:val="Footer"/>
    <w:rsid w:val="00A27839"/>
    <w:rPr>
      <w:rFonts w:ascii="Calibri" w:hAnsi="Calibri" w:cs="Times New Roman"/>
      <w:caps/>
      <w:noProof/>
      <w:kern w:val="0"/>
      <w:sz w:val="16"/>
      <w:szCs w:val="20"/>
      <w:lang w:val="en-GB" w:eastAsia="en-US"/>
    </w:rPr>
  </w:style>
  <w:style w:type="paragraph" w:styleId="Header">
    <w:name w:val="header"/>
    <w:basedOn w:val="Normal"/>
    <w:link w:val="HeaderChar"/>
    <w:rsid w:val="00A27839"/>
    <w:pPr>
      <w:framePr w:wrap="around"/>
      <w:spacing w:before="0"/>
      <w:jc w:val="center"/>
    </w:pPr>
    <w:rPr>
      <w:sz w:val="18"/>
    </w:rPr>
  </w:style>
  <w:style w:type="character" w:customStyle="1" w:styleId="HeaderChar">
    <w:name w:val="Header Char"/>
    <w:basedOn w:val="DefaultParagraphFont"/>
    <w:link w:val="Header"/>
    <w:rsid w:val="00A27839"/>
    <w:rPr>
      <w:rFonts w:ascii="Calibri" w:hAnsi="Calibri" w:cs="Times New Roman"/>
      <w:kern w:val="0"/>
      <w:sz w:val="18"/>
      <w:szCs w:val="20"/>
      <w:lang w:val="en-GB" w:eastAsia="en-US"/>
    </w:rPr>
  </w:style>
  <w:style w:type="character" w:styleId="Hyperlink">
    <w:name w:val="Hyperlink"/>
    <w:aliases w:val="超级链接,Style 58,超????,超?级链,하이퍼링크2"/>
    <w:uiPriority w:val="99"/>
    <w:rsid w:val="00A27839"/>
    <w:rPr>
      <w:color w:val="0000FF"/>
      <w:u w:val="single"/>
    </w:rPr>
  </w:style>
  <w:style w:type="paragraph" w:styleId="ListParagraph">
    <w:name w:val="List Paragraph"/>
    <w:basedOn w:val="Normal"/>
    <w:link w:val="ListParagraphChar"/>
    <w:uiPriority w:val="34"/>
    <w:qFormat/>
    <w:rsid w:val="00EB0408"/>
    <w:pPr>
      <w:framePr w:wrap="around"/>
      <w:ind w:firstLineChars="200" w:firstLine="420"/>
    </w:pPr>
  </w:style>
  <w:style w:type="character" w:customStyle="1" w:styleId="UnresolvedMention1">
    <w:name w:val="Unresolved Mention1"/>
    <w:basedOn w:val="DefaultParagraphFont"/>
    <w:uiPriority w:val="99"/>
    <w:semiHidden/>
    <w:unhideWhenUsed/>
    <w:rsid w:val="00C43EB2"/>
    <w:rPr>
      <w:color w:val="605E5C"/>
      <w:shd w:val="clear" w:color="auto" w:fill="E1DFDD"/>
    </w:rPr>
  </w:style>
  <w:style w:type="character" w:styleId="FollowedHyperlink">
    <w:name w:val="FollowedHyperlink"/>
    <w:basedOn w:val="DefaultParagraphFont"/>
    <w:uiPriority w:val="99"/>
    <w:semiHidden/>
    <w:unhideWhenUsed/>
    <w:rsid w:val="00A83E73"/>
    <w:rPr>
      <w:color w:val="954F72" w:themeColor="followedHyperlink"/>
      <w:u w:val="single"/>
    </w:rPr>
  </w:style>
  <w:style w:type="paragraph" w:styleId="Revision">
    <w:name w:val="Revision"/>
    <w:hidden/>
    <w:uiPriority w:val="99"/>
    <w:semiHidden/>
    <w:rsid w:val="00F346E9"/>
    <w:rPr>
      <w:rFonts w:ascii="Calibri" w:hAnsi="Calibri" w:cs="Times New Roman"/>
      <w:kern w:val="0"/>
      <w:sz w:val="24"/>
      <w:szCs w:val="20"/>
      <w:lang w:val="en-GB" w:eastAsia="en-US"/>
    </w:rPr>
  </w:style>
  <w:style w:type="character" w:styleId="CommentReference">
    <w:name w:val="annotation reference"/>
    <w:basedOn w:val="DefaultParagraphFont"/>
    <w:uiPriority w:val="99"/>
    <w:semiHidden/>
    <w:unhideWhenUsed/>
    <w:rsid w:val="00826359"/>
    <w:rPr>
      <w:sz w:val="16"/>
      <w:szCs w:val="16"/>
    </w:rPr>
  </w:style>
  <w:style w:type="paragraph" w:styleId="CommentText">
    <w:name w:val="annotation text"/>
    <w:basedOn w:val="Normal"/>
    <w:link w:val="CommentTextChar"/>
    <w:uiPriority w:val="99"/>
    <w:unhideWhenUsed/>
    <w:rsid w:val="00826359"/>
    <w:pPr>
      <w:framePr w:wrap="around"/>
    </w:pPr>
    <w:rPr>
      <w:sz w:val="20"/>
    </w:rPr>
  </w:style>
  <w:style w:type="character" w:customStyle="1" w:styleId="CommentTextChar">
    <w:name w:val="Comment Text Char"/>
    <w:basedOn w:val="DefaultParagraphFont"/>
    <w:link w:val="CommentText"/>
    <w:uiPriority w:val="99"/>
    <w:rsid w:val="00826359"/>
    <w:rPr>
      <w:rFonts w:ascii="Calibri" w:hAnsi="Calibri"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826359"/>
    <w:pPr>
      <w:framePr w:wrap="around"/>
    </w:pPr>
    <w:rPr>
      <w:b/>
      <w:bCs/>
    </w:rPr>
  </w:style>
  <w:style w:type="character" w:customStyle="1" w:styleId="CommentSubjectChar">
    <w:name w:val="Comment Subject Char"/>
    <w:basedOn w:val="CommentTextChar"/>
    <w:link w:val="CommentSubject"/>
    <w:uiPriority w:val="99"/>
    <w:semiHidden/>
    <w:rsid w:val="00826359"/>
    <w:rPr>
      <w:rFonts w:ascii="Calibri" w:hAnsi="Calibri" w:cs="Times New Roman"/>
      <w:b/>
      <w:bCs/>
      <w:kern w:val="0"/>
      <w:sz w:val="20"/>
      <w:szCs w:val="20"/>
      <w:lang w:val="en-GB" w:eastAsia="en-US"/>
    </w:rPr>
  </w:style>
  <w:style w:type="paragraph" w:styleId="BalloonText">
    <w:name w:val="Balloon Text"/>
    <w:basedOn w:val="Normal"/>
    <w:link w:val="BalloonTextChar"/>
    <w:uiPriority w:val="99"/>
    <w:semiHidden/>
    <w:unhideWhenUsed/>
    <w:rsid w:val="003312CC"/>
    <w:pPr>
      <w:framePr w:wrap="around"/>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2CC"/>
    <w:rPr>
      <w:rFonts w:ascii="Tahoma" w:hAnsi="Tahoma" w:cs="Tahoma"/>
      <w:kern w:val="0"/>
      <w:sz w:val="16"/>
      <w:szCs w:val="16"/>
      <w:lang w:val="en-GB" w:eastAsia="en-US"/>
    </w:rPr>
  </w:style>
  <w:style w:type="character" w:styleId="UnresolvedMention">
    <w:name w:val="Unresolved Mention"/>
    <w:basedOn w:val="DefaultParagraphFont"/>
    <w:uiPriority w:val="99"/>
    <w:semiHidden/>
    <w:unhideWhenUsed/>
    <w:rsid w:val="00A34082"/>
    <w:rPr>
      <w:color w:val="605E5C"/>
      <w:shd w:val="clear" w:color="auto" w:fill="E1DFDD"/>
    </w:rPr>
  </w:style>
  <w:style w:type="character" w:customStyle="1" w:styleId="ui-provider">
    <w:name w:val="ui-provider"/>
    <w:basedOn w:val="DefaultParagraphFont"/>
    <w:rsid w:val="003D5E87"/>
  </w:style>
  <w:style w:type="paragraph" w:styleId="NormalWeb">
    <w:name w:val="Normal (Web)"/>
    <w:basedOn w:val="Normal"/>
    <w:uiPriority w:val="99"/>
    <w:unhideWhenUsed/>
    <w:rsid w:val="00E94313"/>
    <w:pPr>
      <w:framePr w:wrap="around"/>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 w:type="paragraph" w:customStyle="1" w:styleId="TSBCircNo">
    <w:name w:val="TSBCircNo"/>
    <w:basedOn w:val="Tabletext"/>
    <w:rsid w:val="00190542"/>
    <w:pPr>
      <w:framePr w:wrap="around"/>
      <w:jc w:val="both"/>
    </w:pPr>
    <w:rPr>
      <w:b/>
      <w:bCs/>
    </w:rPr>
  </w:style>
  <w:style w:type="character" w:customStyle="1" w:styleId="ListParagraphChar">
    <w:name w:val="List Paragraph Char"/>
    <w:basedOn w:val="DefaultParagraphFont"/>
    <w:link w:val="ListParagraph"/>
    <w:uiPriority w:val="34"/>
    <w:rsid w:val="00314231"/>
    <w:rPr>
      <w:rFonts w:ascii="Calibri" w:hAnsi="Calibri"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4817">
      <w:bodyDiv w:val="1"/>
      <w:marLeft w:val="0"/>
      <w:marRight w:val="0"/>
      <w:marTop w:val="0"/>
      <w:marBottom w:val="0"/>
      <w:divBdr>
        <w:top w:val="none" w:sz="0" w:space="0" w:color="auto"/>
        <w:left w:val="none" w:sz="0" w:space="0" w:color="auto"/>
        <w:bottom w:val="none" w:sz="0" w:space="0" w:color="auto"/>
        <w:right w:val="none" w:sz="0" w:space="0" w:color="auto"/>
      </w:divBdr>
    </w:div>
    <w:div w:id="167018028">
      <w:bodyDiv w:val="1"/>
      <w:marLeft w:val="0"/>
      <w:marRight w:val="0"/>
      <w:marTop w:val="0"/>
      <w:marBottom w:val="0"/>
      <w:divBdr>
        <w:top w:val="none" w:sz="0" w:space="0" w:color="auto"/>
        <w:left w:val="none" w:sz="0" w:space="0" w:color="auto"/>
        <w:bottom w:val="none" w:sz="0" w:space="0" w:color="auto"/>
        <w:right w:val="none" w:sz="0" w:space="0" w:color="auto"/>
      </w:divBdr>
    </w:div>
    <w:div w:id="193733824">
      <w:bodyDiv w:val="1"/>
      <w:marLeft w:val="0"/>
      <w:marRight w:val="0"/>
      <w:marTop w:val="0"/>
      <w:marBottom w:val="0"/>
      <w:divBdr>
        <w:top w:val="none" w:sz="0" w:space="0" w:color="auto"/>
        <w:left w:val="none" w:sz="0" w:space="0" w:color="auto"/>
        <w:bottom w:val="none" w:sz="0" w:space="0" w:color="auto"/>
        <w:right w:val="none" w:sz="0" w:space="0" w:color="auto"/>
      </w:divBdr>
    </w:div>
    <w:div w:id="231087332">
      <w:bodyDiv w:val="1"/>
      <w:marLeft w:val="0"/>
      <w:marRight w:val="0"/>
      <w:marTop w:val="0"/>
      <w:marBottom w:val="0"/>
      <w:divBdr>
        <w:top w:val="none" w:sz="0" w:space="0" w:color="auto"/>
        <w:left w:val="none" w:sz="0" w:space="0" w:color="auto"/>
        <w:bottom w:val="none" w:sz="0" w:space="0" w:color="auto"/>
        <w:right w:val="none" w:sz="0" w:space="0" w:color="auto"/>
      </w:divBdr>
      <w:divsChild>
        <w:div w:id="3941475">
          <w:marLeft w:val="0"/>
          <w:marRight w:val="0"/>
          <w:marTop w:val="0"/>
          <w:marBottom w:val="0"/>
          <w:divBdr>
            <w:top w:val="none" w:sz="0" w:space="0" w:color="auto"/>
            <w:left w:val="none" w:sz="0" w:space="0" w:color="auto"/>
            <w:bottom w:val="none" w:sz="0" w:space="0" w:color="auto"/>
            <w:right w:val="none" w:sz="0" w:space="0" w:color="auto"/>
          </w:divBdr>
          <w:divsChild>
            <w:div w:id="427704141">
              <w:marLeft w:val="0"/>
              <w:marRight w:val="0"/>
              <w:marTop w:val="0"/>
              <w:marBottom w:val="0"/>
              <w:divBdr>
                <w:top w:val="none" w:sz="0" w:space="0" w:color="auto"/>
                <w:left w:val="none" w:sz="0" w:space="0" w:color="auto"/>
                <w:bottom w:val="none" w:sz="0" w:space="0" w:color="auto"/>
                <w:right w:val="none" w:sz="0" w:space="0" w:color="auto"/>
              </w:divBdr>
              <w:divsChild>
                <w:div w:id="5010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7572">
      <w:bodyDiv w:val="1"/>
      <w:marLeft w:val="0"/>
      <w:marRight w:val="0"/>
      <w:marTop w:val="0"/>
      <w:marBottom w:val="0"/>
      <w:divBdr>
        <w:top w:val="none" w:sz="0" w:space="0" w:color="auto"/>
        <w:left w:val="none" w:sz="0" w:space="0" w:color="auto"/>
        <w:bottom w:val="none" w:sz="0" w:space="0" w:color="auto"/>
        <w:right w:val="none" w:sz="0" w:space="0" w:color="auto"/>
      </w:divBdr>
    </w:div>
    <w:div w:id="491264913">
      <w:bodyDiv w:val="1"/>
      <w:marLeft w:val="0"/>
      <w:marRight w:val="0"/>
      <w:marTop w:val="0"/>
      <w:marBottom w:val="0"/>
      <w:divBdr>
        <w:top w:val="none" w:sz="0" w:space="0" w:color="auto"/>
        <w:left w:val="none" w:sz="0" w:space="0" w:color="auto"/>
        <w:bottom w:val="none" w:sz="0" w:space="0" w:color="auto"/>
        <w:right w:val="none" w:sz="0" w:space="0" w:color="auto"/>
      </w:divBdr>
      <w:divsChild>
        <w:div w:id="693460909">
          <w:marLeft w:val="0"/>
          <w:marRight w:val="0"/>
          <w:marTop w:val="0"/>
          <w:marBottom w:val="0"/>
          <w:divBdr>
            <w:top w:val="none" w:sz="0" w:space="0" w:color="auto"/>
            <w:left w:val="none" w:sz="0" w:space="0" w:color="auto"/>
            <w:bottom w:val="none" w:sz="0" w:space="0" w:color="auto"/>
            <w:right w:val="none" w:sz="0" w:space="0" w:color="auto"/>
          </w:divBdr>
          <w:divsChild>
            <w:div w:id="2089114518">
              <w:marLeft w:val="0"/>
              <w:marRight w:val="0"/>
              <w:marTop w:val="0"/>
              <w:marBottom w:val="0"/>
              <w:divBdr>
                <w:top w:val="none" w:sz="0" w:space="0" w:color="auto"/>
                <w:left w:val="none" w:sz="0" w:space="0" w:color="auto"/>
                <w:bottom w:val="none" w:sz="0" w:space="0" w:color="auto"/>
                <w:right w:val="none" w:sz="0" w:space="0" w:color="auto"/>
              </w:divBdr>
              <w:divsChild>
                <w:div w:id="18506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57183">
      <w:bodyDiv w:val="1"/>
      <w:marLeft w:val="0"/>
      <w:marRight w:val="0"/>
      <w:marTop w:val="0"/>
      <w:marBottom w:val="0"/>
      <w:divBdr>
        <w:top w:val="none" w:sz="0" w:space="0" w:color="auto"/>
        <w:left w:val="none" w:sz="0" w:space="0" w:color="auto"/>
        <w:bottom w:val="none" w:sz="0" w:space="0" w:color="auto"/>
        <w:right w:val="none" w:sz="0" w:space="0" w:color="auto"/>
      </w:divBdr>
      <w:divsChild>
        <w:div w:id="426777409">
          <w:marLeft w:val="0"/>
          <w:marRight w:val="0"/>
          <w:marTop w:val="0"/>
          <w:marBottom w:val="0"/>
          <w:divBdr>
            <w:top w:val="none" w:sz="0" w:space="0" w:color="auto"/>
            <w:left w:val="none" w:sz="0" w:space="0" w:color="auto"/>
            <w:bottom w:val="none" w:sz="0" w:space="0" w:color="auto"/>
            <w:right w:val="none" w:sz="0" w:space="0" w:color="auto"/>
          </w:divBdr>
          <w:divsChild>
            <w:div w:id="95565018">
              <w:marLeft w:val="0"/>
              <w:marRight w:val="0"/>
              <w:marTop w:val="0"/>
              <w:marBottom w:val="0"/>
              <w:divBdr>
                <w:top w:val="none" w:sz="0" w:space="0" w:color="auto"/>
                <w:left w:val="none" w:sz="0" w:space="0" w:color="auto"/>
                <w:bottom w:val="none" w:sz="0" w:space="0" w:color="auto"/>
                <w:right w:val="none" w:sz="0" w:space="0" w:color="auto"/>
              </w:divBdr>
              <w:divsChild>
                <w:div w:id="9540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87464">
      <w:bodyDiv w:val="1"/>
      <w:marLeft w:val="0"/>
      <w:marRight w:val="0"/>
      <w:marTop w:val="0"/>
      <w:marBottom w:val="0"/>
      <w:divBdr>
        <w:top w:val="none" w:sz="0" w:space="0" w:color="auto"/>
        <w:left w:val="none" w:sz="0" w:space="0" w:color="auto"/>
        <w:bottom w:val="none" w:sz="0" w:space="0" w:color="auto"/>
        <w:right w:val="none" w:sz="0" w:space="0" w:color="auto"/>
      </w:divBdr>
    </w:div>
    <w:div w:id="787431444">
      <w:bodyDiv w:val="1"/>
      <w:marLeft w:val="0"/>
      <w:marRight w:val="0"/>
      <w:marTop w:val="0"/>
      <w:marBottom w:val="0"/>
      <w:divBdr>
        <w:top w:val="none" w:sz="0" w:space="0" w:color="auto"/>
        <w:left w:val="none" w:sz="0" w:space="0" w:color="auto"/>
        <w:bottom w:val="none" w:sz="0" w:space="0" w:color="auto"/>
        <w:right w:val="none" w:sz="0" w:space="0" w:color="auto"/>
      </w:divBdr>
    </w:div>
    <w:div w:id="789785313">
      <w:bodyDiv w:val="1"/>
      <w:marLeft w:val="0"/>
      <w:marRight w:val="0"/>
      <w:marTop w:val="0"/>
      <w:marBottom w:val="0"/>
      <w:divBdr>
        <w:top w:val="none" w:sz="0" w:space="0" w:color="auto"/>
        <w:left w:val="none" w:sz="0" w:space="0" w:color="auto"/>
        <w:bottom w:val="none" w:sz="0" w:space="0" w:color="auto"/>
        <w:right w:val="none" w:sz="0" w:space="0" w:color="auto"/>
      </w:divBdr>
      <w:divsChild>
        <w:div w:id="975993699">
          <w:marLeft w:val="0"/>
          <w:marRight w:val="0"/>
          <w:marTop w:val="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563">
      <w:bodyDiv w:val="1"/>
      <w:marLeft w:val="0"/>
      <w:marRight w:val="0"/>
      <w:marTop w:val="0"/>
      <w:marBottom w:val="0"/>
      <w:divBdr>
        <w:top w:val="none" w:sz="0" w:space="0" w:color="auto"/>
        <w:left w:val="none" w:sz="0" w:space="0" w:color="auto"/>
        <w:bottom w:val="none" w:sz="0" w:space="0" w:color="auto"/>
        <w:right w:val="none" w:sz="0" w:space="0" w:color="auto"/>
      </w:divBdr>
      <w:divsChild>
        <w:div w:id="2131169226">
          <w:marLeft w:val="0"/>
          <w:marRight w:val="0"/>
          <w:marTop w:val="0"/>
          <w:marBottom w:val="0"/>
          <w:divBdr>
            <w:top w:val="none" w:sz="0" w:space="0" w:color="auto"/>
            <w:left w:val="none" w:sz="0" w:space="0" w:color="auto"/>
            <w:bottom w:val="none" w:sz="0" w:space="0" w:color="auto"/>
            <w:right w:val="none" w:sz="0" w:space="0" w:color="auto"/>
          </w:divBdr>
          <w:divsChild>
            <w:div w:id="942492454">
              <w:marLeft w:val="0"/>
              <w:marRight w:val="0"/>
              <w:marTop w:val="0"/>
              <w:marBottom w:val="0"/>
              <w:divBdr>
                <w:top w:val="none" w:sz="0" w:space="0" w:color="auto"/>
                <w:left w:val="none" w:sz="0" w:space="0" w:color="auto"/>
                <w:bottom w:val="none" w:sz="0" w:space="0" w:color="auto"/>
                <w:right w:val="none" w:sz="0" w:space="0" w:color="auto"/>
              </w:divBdr>
              <w:divsChild>
                <w:div w:id="2179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45863">
      <w:bodyDiv w:val="1"/>
      <w:marLeft w:val="0"/>
      <w:marRight w:val="0"/>
      <w:marTop w:val="0"/>
      <w:marBottom w:val="0"/>
      <w:divBdr>
        <w:top w:val="none" w:sz="0" w:space="0" w:color="auto"/>
        <w:left w:val="none" w:sz="0" w:space="0" w:color="auto"/>
        <w:bottom w:val="none" w:sz="0" w:space="0" w:color="auto"/>
        <w:right w:val="none" w:sz="0" w:space="0" w:color="auto"/>
      </w:divBdr>
      <w:divsChild>
        <w:div w:id="731538150">
          <w:marLeft w:val="0"/>
          <w:marRight w:val="0"/>
          <w:marTop w:val="0"/>
          <w:marBottom w:val="0"/>
          <w:divBdr>
            <w:top w:val="none" w:sz="0" w:space="0" w:color="auto"/>
            <w:left w:val="none" w:sz="0" w:space="0" w:color="auto"/>
            <w:bottom w:val="none" w:sz="0" w:space="0" w:color="auto"/>
            <w:right w:val="none" w:sz="0" w:space="0" w:color="auto"/>
          </w:divBdr>
          <w:divsChild>
            <w:div w:id="1042249677">
              <w:marLeft w:val="0"/>
              <w:marRight w:val="0"/>
              <w:marTop w:val="0"/>
              <w:marBottom w:val="0"/>
              <w:divBdr>
                <w:top w:val="none" w:sz="0" w:space="0" w:color="auto"/>
                <w:left w:val="none" w:sz="0" w:space="0" w:color="auto"/>
                <w:bottom w:val="none" w:sz="0" w:space="0" w:color="auto"/>
                <w:right w:val="none" w:sz="0" w:space="0" w:color="auto"/>
              </w:divBdr>
              <w:divsChild>
                <w:div w:id="14483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77475">
      <w:bodyDiv w:val="1"/>
      <w:marLeft w:val="0"/>
      <w:marRight w:val="0"/>
      <w:marTop w:val="0"/>
      <w:marBottom w:val="0"/>
      <w:divBdr>
        <w:top w:val="none" w:sz="0" w:space="0" w:color="auto"/>
        <w:left w:val="none" w:sz="0" w:space="0" w:color="auto"/>
        <w:bottom w:val="none" w:sz="0" w:space="0" w:color="auto"/>
        <w:right w:val="none" w:sz="0" w:space="0" w:color="auto"/>
      </w:divBdr>
    </w:div>
    <w:div w:id="1015576402">
      <w:bodyDiv w:val="1"/>
      <w:marLeft w:val="0"/>
      <w:marRight w:val="0"/>
      <w:marTop w:val="0"/>
      <w:marBottom w:val="0"/>
      <w:divBdr>
        <w:top w:val="none" w:sz="0" w:space="0" w:color="auto"/>
        <w:left w:val="none" w:sz="0" w:space="0" w:color="auto"/>
        <w:bottom w:val="none" w:sz="0" w:space="0" w:color="auto"/>
        <w:right w:val="none" w:sz="0" w:space="0" w:color="auto"/>
      </w:divBdr>
    </w:div>
    <w:div w:id="1042826899">
      <w:bodyDiv w:val="1"/>
      <w:marLeft w:val="0"/>
      <w:marRight w:val="0"/>
      <w:marTop w:val="0"/>
      <w:marBottom w:val="0"/>
      <w:divBdr>
        <w:top w:val="none" w:sz="0" w:space="0" w:color="auto"/>
        <w:left w:val="none" w:sz="0" w:space="0" w:color="auto"/>
        <w:bottom w:val="none" w:sz="0" w:space="0" w:color="auto"/>
        <w:right w:val="none" w:sz="0" w:space="0" w:color="auto"/>
      </w:divBdr>
    </w:div>
    <w:div w:id="1079253181">
      <w:bodyDiv w:val="1"/>
      <w:marLeft w:val="0"/>
      <w:marRight w:val="0"/>
      <w:marTop w:val="0"/>
      <w:marBottom w:val="0"/>
      <w:divBdr>
        <w:top w:val="none" w:sz="0" w:space="0" w:color="auto"/>
        <w:left w:val="none" w:sz="0" w:space="0" w:color="auto"/>
        <w:bottom w:val="none" w:sz="0" w:space="0" w:color="auto"/>
        <w:right w:val="none" w:sz="0" w:space="0" w:color="auto"/>
      </w:divBdr>
    </w:div>
    <w:div w:id="1127358034">
      <w:bodyDiv w:val="1"/>
      <w:marLeft w:val="0"/>
      <w:marRight w:val="0"/>
      <w:marTop w:val="0"/>
      <w:marBottom w:val="0"/>
      <w:divBdr>
        <w:top w:val="none" w:sz="0" w:space="0" w:color="auto"/>
        <w:left w:val="none" w:sz="0" w:space="0" w:color="auto"/>
        <w:bottom w:val="none" w:sz="0" w:space="0" w:color="auto"/>
        <w:right w:val="none" w:sz="0" w:space="0" w:color="auto"/>
      </w:divBdr>
      <w:divsChild>
        <w:div w:id="105514440">
          <w:marLeft w:val="0"/>
          <w:marRight w:val="0"/>
          <w:marTop w:val="0"/>
          <w:marBottom w:val="0"/>
          <w:divBdr>
            <w:top w:val="none" w:sz="0" w:space="0" w:color="auto"/>
            <w:left w:val="none" w:sz="0" w:space="0" w:color="auto"/>
            <w:bottom w:val="none" w:sz="0" w:space="0" w:color="auto"/>
            <w:right w:val="none" w:sz="0" w:space="0" w:color="auto"/>
          </w:divBdr>
          <w:divsChild>
            <w:div w:id="1836413346">
              <w:marLeft w:val="0"/>
              <w:marRight w:val="0"/>
              <w:marTop w:val="0"/>
              <w:marBottom w:val="0"/>
              <w:divBdr>
                <w:top w:val="none" w:sz="0" w:space="0" w:color="auto"/>
                <w:left w:val="none" w:sz="0" w:space="0" w:color="auto"/>
                <w:bottom w:val="none" w:sz="0" w:space="0" w:color="auto"/>
                <w:right w:val="none" w:sz="0" w:space="0" w:color="auto"/>
              </w:divBdr>
              <w:divsChild>
                <w:div w:id="12666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5116">
      <w:bodyDiv w:val="1"/>
      <w:marLeft w:val="0"/>
      <w:marRight w:val="0"/>
      <w:marTop w:val="0"/>
      <w:marBottom w:val="0"/>
      <w:divBdr>
        <w:top w:val="none" w:sz="0" w:space="0" w:color="auto"/>
        <w:left w:val="none" w:sz="0" w:space="0" w:color="auto"/>
        <w:bottom w:val="none" w:sz="0" w:space="0" w:color="auto"/>
        <w:right w:val="none" w:sz="0" w:space="0" w:color="auto"/>
      </w:divBdr>
    </w:div>
    <w:div w:id="1396510455">
      <w:bodyDiv w:val="1"/>
      <w:marLeft w:val="0"/>
      <w:marRight w:val="0"/>
      <w:marTop w:val="0"/>
      <w:marBottom w:val="0"/>
      <w:divBdr>
        <w:top w:val="none" w:sz="0" w:space="0" w:color="auto"/>
        <w:left w:val="none" w:sz="0" w:space="0" w:color="auto"/>
        <w:bottom w:val="none" w:sz="0" w:space="0" w:color="auto"/>
        <w:right w:val="none" w:sz="0" w:space="0" w:color="auto"/>
      </w:divBdr>
      <w:divsChild>
        <w:div w:id="2005163474">
          <w:marLeft w:val="0"/>
          <w:marRight w:val="0"/>
          <w:marTop w:val="0"/>
          <w:marBottom w:val="0"/>
          <w:divBdr>
            <w:top w:val="none" w:sz="0" w:space="0" w:color="auto"/>
            <w:left w:val="none" w:sz="0" w:space="0" w:color="auto"/>
            <w:bottom w:val="none" w:sz="0" w:space="0" w:color="auto"/>
            <w:right w:val="none" w:sz="0" w:space="0" w:color="auto"/>
          </w:divBdr>
          <w:divsChild>
            <w:div w:id="2114587645">
              <w:marLeft w:val="0"/>
              <w:marRight w:val="0"/>
              <w:marTop w:val="0"/>
              <w:marBottom w:val="0"/>
              <w:divBdr>
                <w:top w:val="none" w:sz="0" w:space="0" w:color="auto"/>
                <w:left w:val="none" w:sz="0" w:space="0" w:color="auto"/>
                <w:bottom w:val="none" w:sz="0" w:space="0" w:color="auto"/>
                <w:right w:val="none" w:sz="0" w:space="0" w:color="auto"/>
              </w:divBdr>
              <w:divsChild>
                <w:div w:id="13436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5759">
      <w:bodyDiv w:val="1"/>
      <w:marLeft w:val="0"/>
      <w:marRight w:val="0"/>
      <w:marTop w:val="0"/>
      <w:marBottom w:val="0"/>
      <w:divBdr>
        <w:top w:val="none" w:sz="0" w:space="0" w:color="auto"/>
        <w:left w:val="none" w:sz="0" w:space="0" w:color="auto"/>
        <w:bottom w:val="none" w:sz="0" w:space="0" w:color="auto"/>
        <w:right w:val="none" w:sz="0" w:space="0" w:color="auto"/>
      </w:divBdr>
      <w:divsChild>
        <w:div w:id="161707222">
          <w:marLeft w:val="0"/>
          <w:marRight w:val="0"/>
          <w:marTop w:val="0"/>
          <w:marBottom w:val="0"/>
          <w:divBdr>
            <w:top w:val="none" w:sz="0" w:space="0" w:color="auto"/>
            <w:left w:val="none" w:sz="0" w:space="0" w:color="auto"/>
            <w:bottom w:val="none" w:sz="0" w:space="0" w:color="auto"/>
            <w:right w:val="none" w:sz="0" w:space="0" w:color="auto"/>
          </w:divBdr>
          <w:divsChild>
            <w:div w:id="749280488">
              <w:marLeft w:val="0"/>
              <w:marRight w:val="0"/>
              <w:marTop w:val="0"/>
              <w:marBottom w:val="0"/>
              <w:divBdr>
                <w:top w:val="none" w:sz="0" w:space="0" w:color="auto"/>
                <w:left w:val="none" w:sz="0" w:space="0" w:color="auto"/>
                <w:bottom w:val="none" w:sz="0" w:space="0" w:color="auto"/>
                <w:right w:val="none" w:sz="0" w:space="0" w:color="auto"/>
              </w:divBdr>
              <w:divsChild>
                <w:div w:id="18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2446">
      <w:bodyDiv w:val="1"/>
      <w:marLeft w:val="0"/>
      <w:marRight w:val="0"/>
      <w:marTop w:val="0"/>
      <w:marBottom w:val="0"/>
      <w:divBdr>
        <w:top w:val="none" w:sz="0" w:space="0" w:color="auto"/>
        <w:left w:val="none" w:sz="0" w:space="0" w:color="auto"/>
        <w:bottom w:val="none" w:sz="0" w:space="0" w:color="auto"/>
        <w:right w:val="none" w:sz="0" w:space="0" w:color="auto"/>
      </w:divBdr>
    </w:div>
    <w:div w:id="1703094789">
      <w:bodyDiv w:val="1"/>
      <w:marLeft w:val="0"/>
      <w:marRight w:val="0"/>
      <w:marTop w:val="0"/>
      <w:marBottom w:val="0"/>
      <w:divBdr>
        <w:top w:val="none" w:sz="0" w:space="0" w:color="auto"/>
        <w:left w:val="none" w:sz="0" w:space="0" w:color="auto"/>
        <w:bottom w:val="none" w:sz="0" w:space="0" w:color="auto"/>
        <w:right w:val="none" w:sz="0" w:space="0" w:color="auto"/>
      </w:divBdr>
    </w:div>
    <w:div w:id="1725443559">
      <w:bodyDiv w:val="1"/>
      <w:marLeft w:val="0"/>
      <w:marRight w:val="0"/>
      <w:marTop w:val="0"/>
      <w:marBottom w:val="0"/>
      <w:divBdr>
        <w:top w:val="none" w:sz="0" w:space="0" w:color="auto"/>
        <w:left w:val="none" w:sz="0" w:space="0" w:color="auto"/>
        <w:bottom w:val="none" w:sz="0" w:space="0" w:color="auto"/>
        <w:right w:val="none" w:sz="0" w:space="0" w:color="auto"/>
      </w:divBdr>
    </w:div>
    <w:div w:id="1774013939">
      <w:bodyDiv w:val="1"/>
      <w:marLeft w:val="0"/>
      <w:marRight w:val="0"/>
      <w:marTop w:val="0"/>
      <w:marBottom w:val="0"/>
      <w:divBdr>
        <w:top w:val="none" w:sz="0" w:space="0" w:color="auto"/>
        <w:left w:val="none" w:sz="0" w:space="0" w:color="auto"/>
        <w:bottom w:val="none" w:sz="0" w:space="0" w:color="auto"/>
        <w:right w:val="none" w:sz="0" w:space="0" w:color="auto"/>
      </w:divBdr>
      <w:divsChild>
        <w:div w:id="1885360466">
          <w:marLeft w:val="0"/>
          <w:marRight w:val="0"/>
          <w:marTop w:val="0"/>
          <w:marBottom w:val="0"/>
          <w:divBdr>
            <w:top w:val="none" w:sz="0" w:space="0" w:color="auto"/>
            <w:left w:val="none" w:sz="0" w:space="0" w:color="auto"/>
            <w:bottom w:val="none" w:sz="0" w:space="0" w:color="auto"/>
            <w:right w:val="none" w:sz="0" w:space="0" w:color="auto"/>
          </w:divBdr>
          <w:divsChild>
            <w:div w:id="149560371">
              <w:marLeft w:val="0"/>
              <w:marRight w:val="0"/>
              <w:marTop w:val="0"/>
              <w:marBottom w:val="0"/>
              <w:divBdr>
                <w:top w:val="none" w:sz="0" w:space="0" w:color="auto"/>
                <w:left w:val="none" w:sz="0" w:space="0" w:color="auto"/>
                <w:bottom w:val="none" w:sz="0" w:space="0" w:color="auto"/>
                <w:right w:val="none" w:sz="0" w:space="0" w:color="auto"/>
              </w:divBdr>
              <w:divsChild>
                <w:div w:id="10617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65337">
      <w:bodyDiv w:val="1"/>
      <w:marLeft w:val="0"/>
      <w:marRight w:val="0"/>
      <w:marTop w:val="0"/>
      <w:marBottom w:val="0"/>
      <w:divBdr>
        <w:top w:val="none" w:sz="0" w:space="0" w:color="auto"/>
        <w:left w:val="none" w:sz="0" w:space="0" w:color="auto"/>
        <w:bottom w:val="none" w:sz="0" w:space="0" w:color="auto"/>
        <w:right w:val="none" w:sz="0" w:space="0" w:color="auto"/>
      </w:divBdr>
      <w:divsChild>
        <w:div w:id="653146115">
          <w:marLeft w:val="0"/>
          <w:marRight w:val="0"/>
          <w:marTop w:val="0"/>
          <w:marBottom w:val="0"/>
          <w:divBdr>
            <w:top w:val="none" w:sz="0" w:space="0" w:color="auto"/>
            <w:left w:val="none" w:sz="0" w:space="0" w:color="auto"/>
            <w:bottom w:val="none" w:sz="0" w:space="0" w:color="auto"/>
            <w:right w:val="none" w:sz="0" w:space="0" w:color="auto"/>
          </w:divBdr>
          <w:divsChild>
            <w:div w:id="359745115">
              <w:marLeft w:val="0"/>
              <w:marRight w:val="0"/>
              <w:marTop w:val="0"/>
              <w:marBottom w:val="0"/>
              <w:divBdr>
                <w:top w:val="none" w:sz="0" w:space="0" w:color="auto"/>
                <w:left w:val="none" w:sz="0" w:space="0" w:color="auto"/>
                <w:bottom w:val="none" w:sz="0" w:space="0" w:color="auto"/>
                <w:right w:val="none" w:sz="0" w:space="0" w:color="auto"/>
              </w:divBdr>
              <w:divsChild>
                <w:div w:id="10844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26811">
      <w:bodyDiv w:val="1"/>
      <w:marLeft w:val="0"/>
      <w:marRight w:val="0"/>
      <w:marTop w:val="0"/>
      <w:marBottom w:val="0"/>
      <w:divBdr>
        <w:top w:val="none" w:sz="0" w:space="0" w:color="auto"/>
        <w:left w:val="none" w:sz="0" w:space="0" w:color="auto"/>
        <w:bottom w:val="none" w:sz="0" w:space="0" w:color="auto"/>
        <w:right w:val="none" w:sz="0" w:space="0" w:color="auto"/>
      </w:divBdr>
      <w:divsChild>
        <w:div w:id="910625809">
          <w:marLeft w:val="0"/>
          <w:marRight w:val="0"/>
          <w:marTop w:val="0"/>
          <w:marBottom w:val="0"/>
          <w:divBdr>
            <w:top w:val="none" w:sz="0" w:space="0" w:color="auto"/>
            <w:left w:val="none" w:sz="0" w:space="0" w:color="auto"/>
            <w:bottom w:val="none" w:sz="0" w:space="0" w:color="auto"/>
            <w:right w:val="none" w:sz="0" w:space="0" w:color="auto"/>
          </w:divBdr>
          <w:divsChild>
            <w:div w:id="2030135999">
              <w:marLeft w:val="0"/>
              <w:marRight w:val="0"/>
              <w:marTop w:val="0"/>
              <w:marBottom w:val="0"/>
              <w:divBdr>
                <w:top w:val="none" w:sz="0" w:space="0" w:color="auto"/>
                <w:left w:val="none" w:sz="0" w:space="0" w:color="auto"/>
                <w:bottom w:val="none" w:sz="0" w:space="0" w:color="auto"/>
                <w:right w:val="none" w:sz="0" w:space="0" w:color="auto"/>
              </w:divBdr>
              <w:divsChild>
                <w:div w:id="14678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1344">
      <w:bodyDiv w:val="1"/>
      <w:marLeft w:val="0"/>
      <w:marRight w:val="0"/>
      <w:marTop w:val="0"/>
      <w:marBottom w:val="0"/>
      <w:divBdr>
        <w:top w:val="none" w:sz="0" w:space="0" w:color="auto"/>
        <w:left w:val="none" w:sz="0" w:space="0" w:color="auto"/>
        <w:bottom w:val="none" w:sz="0" w:space="0" w:color="auto"/>
        <w:right w:val="none" w:sz="0" w:space="0" w:color="auto"/>
      </w:divBdr>
    </w:div>
    <w:div w:id="1955088964">
      <w:bodyDiv w:val="1"/>
      <w:marLeft w:val="0"/>
      <w:marRight w:val="0"/>
      <w:marTop w:val="0"/>
      <w:marBottom w:val="0"/>
      <w:divBdr>
        <w:top w:val="none" w:sz="0" w:space="0" w:color="auto"/>
        <w:left w:val="none" w:sz="0" w:space="0" w:color="auto"/>
        <w:bottom w:val="none" w:sz="0" w:space="0" w:color="auto"/>
        <w:right w:val="none" w:sz="0" w:space="0" w:color="auto"/>
      </w:divBdr>
      <w:divsChild>
        <w:div w:id="744300432">
          <w:marLeft w:val="0"/>
          <w:marRight w:val="0"/>
          <w:marTop w:val="0"/>
          <w:marBottom w:val="0"/>
          <w:divBdr>
            <w:top w:val="none" w:sz="0" w:space="0" w:color="auto"/>
            <w:left w:val="none" w:sz="0" w:space="0" w:color="auto"/>
            <w:bottom w:val="none" w:sz="0" w:space="0" w:color="auto"/>
            <w:right w:val="none" w:sz="0" w:space="0" w:color="auto"/>
          </w:divBdr>
          <w:divsChild>
            <w:div w:id="1740057994">
              <w:marLeft w:val="0"/>
              <w:marRight w:val="0"/>
              <w:marTop w:val="0"/>
              <w:marBottom w:val="0"/>
              <w:divBdr>
                <w:top w:val="none" w:sz="0" w:space="0" w:color="auto"/>
                <w:left w:val="none" w:sz="0" w:space="0" w:color="auto"/>
                <w:bottom w:val="none" w:sz="0" w:space="0" w:color="auto"/>
                <w:right w:val="none" w:sz="0" w:space="0" w:color="auto"/>
              </w:divBdr>
              <w:divsChild>
                <w:div w:id="874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8849">
      <w:bodyDiv w:val="1"/>
      <w:marLeft w:val="0"/>
      <w:marRight w:val="0"/>
      <w:marTop w:val="0"/>
      <w:marBottom w:val="0"/>
      <w:divBdr>
        <w:top w:val="none" w:sz="0" w:space="0" w:color="auto"/>
        <w:left w:val="none" w:sz="0" w:space="0" w:color="auto"/>
        <w:bottom w:val="none" w:sz="0" w:space="0" w:color="auto"/>
        <w:right w:val="none" w:sz="0" w:space="0" w:color="auto"/>
      </w:divBdr>
      <w:divsChild>
        <w:div w:id="1462991393">
          <w:marLeft w:val="0"/>
          <w:marRight w:val="0"/>
          <w:marTop w:val="0"/>
          <w:marBottom w:val="0"/>
          <w:divBdr>
            <w:top w:val="none" w:sz="0" w:space="0" w:color="auto"/>
            <w:left w:val="none" w:sz="0" w:space="0" w:color="auto"/>
            <w:bottom w:val="none" w:sz="0" w:space="0" w:color="auto"/>
            <w:right w:val="none" w:sz="0" w:space="0" w:color="auto"/>
          </w:divBdr>
          <w:divsChild>
            <w:div w:id="363141721">
              <w:marLeft w:val="0"/>
              <w:marRight w:val="0"/>
              <w:marTop w:val="0"/>
              <w:marBottom w:val="0"/>
              <w:divBdr>
                <w:top w:val="none" w:sz="0" w:space="0" w:color="auto"/>
                <w:left w:val="none" w:sz="0" w:space="0" w:color="auto"/>
                <w:bottom w:val="none" w:sz="0" w:space="0" w:color="auto"/>
                <w:right w:val="none" w:sz="0" w:space="0" w:color="auto"/>
              </w:divBdr>
              <w:divsChild>
                <w:div w:id="7686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08166">
      <w:bodyDiv w:val="1"/>
      <w:marLeft w:val="0"/>
      <w:marRight w:val="0"/>
      <w:marTop w:val="0"/>
      <w:marBottom w:val="0"/>
      <w:divBdr>
        <w:top w:val="none" w:sz="0" w:space="0" w:color="auto"/>
        <w:left w:val="none" w:sz="0" w:space="0" w:color="auto"/>
        <w:bottom w:val="none" w:sz="0" w:space="0" w:color="auto"/>
        <w:right w:val="none" w:sz="0" w:space="0" w:color="auto"/>
      </w:divBdr>
    </w:div>
    <w:div w:id="2117601998">
      <w:bodyDiv w:val="1"/>
      <w:marLeft w:val="0"/>
      <w:marRight w:val="0"/>
      <w:marTop w:val="0"/>
      <w:marBottom w:val="0"/>
      <w:divBdr>
        <w:top w:val="none" w:sz="0" w:space="0" w:color="auto"/>
        <w:left w:val="none" w:sz="0" w:space="0" w:color="auto"/>
        <w:bottom w:val="none" w:sz="0" w:space="0" w:color="auto"/>
        <w:right w:val="none" w:sz="0" w:space="0" w:color="auto"/>
      </w:divBdr>
      <w:divsChild>
        <w:div w:id="1322079394">
          <w:marLeft w:val="0"/>
          <w:marRight w:val="0"/>
          <w:marTop w:val="0"/>
          <w:marBottom w:val="0"/>
          <w:divBdr>
            <w:top w:val="none" w:sz="0" w:space="0" w:color="auto"/>
            <w:left w:val="none" w:sz="0" w:space="0" w:color="auto"/>
            <w:bottom w:val="none" w:sz="0" w:space="0" w:color="auto"/>
            <w:right w:val="none" w:sz="0" w:space="0" w:color="auto"/>
          </w:divBdr>
          <w:divsChild>
            <w:div w:id="1502046701">
              <w:marLeft w:val="0"/>
              <w:marRight w:val="0"/>
              <w:marTop w:val="0"/>
              <w:marBottom w:val="0"/>
              <w:divBdr>
                <w:top w:val="none" w:sz="0" w:space="0" w:color="auto"/>
                <w:left w:val="none" w:sz="0" w:space="0" w:color="auto"/>
                <w:bottom w:val="none" w:sz="0" w:space="0" w:color="auto"/>
                <w:right w:val="none" w:sz="0" w:space="0" w:color="auto"/>
              </w:divBdr>
              <w:divsChild>
                <w:div w:id="21071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ho.int/publications/i/item/9789240043114"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tu.int/rec/T-REC-H.870-202203-I/en" TargetMode="External"/><Relationship Id="rId17" Type="http://schemas.openxmlformats.org/officeDocument/2006/relationships/hyperlink" Target="https://www.itu.int/net4/CRM/xreg/web/Registration.aspx?Event=C-0001395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tu.int/en/ITU-T/Workshops-and-Seminars/2024/041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itu.int/rec/T-REC-H.870-202203-I/en"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orkshops-and-Seminars/dh"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D31C7D-8853-AC42-AA09-0D0B74A0F835}">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ecfbc6-16ba-4348-96d4-7b09f2f75cd9" xsi:nil="true"/>
    <lcf76f155ced4ddcb4097134ff3c332f xmlns="8c683b18-f2fb-4b6f-9052-787ae4e70144">
      <Terms xmlns="http://schemas.microsoft.com/office/infopath/2007/PartnerControls"/>
    </lcf76f155ced4ddcb4097134ff3c332f>
    <SharedWithUsers xmlns="b4ecfbc6-16ba-4348-96d4-7b09f2f75cd9">
      <UserInfo>
        <DisplayName>Ubeda, Reyna</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8" ma:contentTypeDescription="Create a new document." ma:contentTypeScope="" ma:versionID="f3516937cf040d4f07085bfbeed98192">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faa823e4d74f1916066b3b20f6c86760"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E710A-3737-472C-A57F-BA09CF854622}">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customXml/itemProps2.xml><?xml version="1.0" encoding="utf-8"?>
<ds:datastoreItem xmlns:ds="http://schemas.openxmlformats.org/officeDocument/2006/customXml" ds:itemID="{8F3944BF-4897-4C43-AA15-4829178954DF}">
  <ds:schemaRefs>
    <ds:schemaRef ds:uri="http://schemas.microsoft.com/sharepoint/v3/contenttype/forms"/>
  </ds:schemaRefs>
</ds:datastoreItem>
</file>

<file path=customXml/itemProps3.xml><?xml version="1.0" encoding="utf-8"?>
<ds:datastoreItem xmlns:ds="http://schemas.openxmlformats.org/officeDocument/2006/customXml" ds:itemID="{41AC72E9-7F0E-409E-85C8-9AACA058C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Joint ITU /WHO Workshop on safe listening in video gaming and esports: Updates (Rennes, France, 16 April 2024)</vt:lpstr>
    </vt:vector>
  </TitlesOfParts>
  <Manager>Simao Campos</Manager>
  <Company>ITU</Company>
  <LinksUpToDate>false</LinksUpToDate>
  <CharactersWithSpaces>5434</CharactersWithSpaces>
  <SharedDoc>false</SharedDoc>
  <HLinks>
    <vt:vector size="36" baseType="variant">
      <vt:variant>
        <vt:i4>7667815</vt:i4>
      </vt:variant>
      <vt:variant>
        <vt:i4>9</vt:i4>
      </vt:variant>
      <vt:variant>
        <vt:i4>0</vt:i4>
      </vt:variant>
      <vt:variant>
        <vt:i4>5</vt:i4>
      </vt:variant>
      <vt:variant>
        <vt:lpwstr>https://www.itu.int/rec/T-REC-H.870-202203-I/en</vt:lpwstr>
      </vt:variant>
      <vt:variant>
        <vt:lpwstr/>
      </vt:variant>
      <vt:variant>
        <vt:i4>2031687</vt:i4>
      </vt:variant>
      <vt:variant>
        <vt:i4>6</vt:i4>
      </vt:variant>
      <vt:variant>
        <vt:i4>0</vt:i4>
      </vt:variant>
      <vt:variant>
        <vt:i4>5</vt:i4>
      </vt:variant>
      <vt:variant>
        <vt:lpwstr>https://www.who.int/publications/i/item/9789240043114</vt:lpwstr>
      </vt:variant>
      <vt:variant>
        <vt:lpwstr/>
      </vt:variant>
      <vt:variant>
        <vt:i4>7667815</vt:i4>
      </vt:variant>
      <vt:variant>
        <vt:i4>3</vt:i4>
      </vt:variant>
      <vt:variant>
        <vt:i4>0</vt:i4>
      </vt:variant>
      <vt:variant>
        <vt:i4>5</vt:i4>
      </vt:variant>
      <vt:variant>
        <vt:lpwstr>https://www.itu.int/rec/T-REC-H.870-202203-I/en</vt:lpwstr>
      </vt:variant>
      <vt:variant>
        <vt:lpwstr/>
      </vt:variant>
      <vt:variant>
        <vt:i4>1966137</vt:i4>
      </vt:variant>
      <vt:variant>
        <vt:i4>0</vt:i4>
      </vt:variant>
      <vt:variant>
        <vt:i4>0</vt:i4>
      </vt:variant>
      <vt:variant>
        <vt:i4>5</vt:i4>
      </vt:variant>
      <vt:variant>
        <vt:lpwstr>mailto:tsbevents@itu.int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ITU /WHO Workshop on safe listening in video gaming and esports: Updates (Rennes, France, 16 April 2024)</dc:title>
  <dc:subject>Safe listening workshop</dc:subject>
  <dc:creator>TSB</dc:creator>
  <cp:lastModifiedBy>Braud, Olivia</cp:lastModifiedBy>
  <cp:revision>6</cp:revision>
  <cp:lastPrinted>2024-03-27T12:23:00Z</cp:lastPrinted>
  <dcterms:created xsi:type="dcterms:W3CDTF">2024-03-27T11:05:00Z</dcterms:created>
  <dcterms:modified xsi:type="dcterms:W3CDTF">2024-03-27T12:23:00Z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0x01010016CECE09D1232E468002275F25FCAE42</vt:lpwstr>
  </property>
  <property fmtid="{D5CDD505-2E9C-101B-9397-08002B2CF9AE}" pid="3" name="MediaServiceImageTags">
    <vt:lpwstr/>
  </property>
  <property fmtid="{D5CDD505-2E9C-101B-9397-08002B2CF9AE}" pid="4" name="grammarly_documentId">
    <vt:lpwstr>documentId_3863</vt:lpwstr>
  </property>
  <property fmtid="{D5CDD505-2E9C-101B-9397-08002B2CF9AE}" pid="5" name="grammarly_documentContext">
    <vt:lpwstr>{"goals":[],"domain":"general","emotions":[],"dialect":"british"}</vt:lpwstr>
  </property>
</Properties>
</file>