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6" w:type="dxa"/>
        <w:tblInd w:w="-142" w:type="dxa"/>
        <w:tblLayout w:type="fixed"/>
        <w:tblCellMar>
          <w:left w:w="0" w:type="dxa"/>
          <w:right w:w="0" w:type="dxa"/>
        </w:tblCellMar>
        <w:tblLook w:val="0000" w:firstRow="0" w:lastRow="0" w:firstColumn="0" w:lastColumn="0" w:noHBand="0" w:noVBand="0"/>
      </w:tblPr>
      <w:tblGrid>
        <w:gridCol w:w="1276"/>
        <w:gridCol w:w="3751"/>
        <w:gridCol w:w="5329"/>
      </w:tblGrid>
      <w:tr w:rsidR="007B6316" w:rsidRPr="00134F0A" w14:paraId="4994C648" w14:textId="77777777" w:rsidTr="00204434">
        <w:trPr>
          <w:cantSplit/>
          <w:trHeight w:val="340"/>
        </w:trPr>
        <w:tc>
          <w:tcPr>
            <w:tcW w:w="1276" w:type="dxa"/>
          </w:tcPr>
          <w:p w14:paraId="5F201930" w14:textId="77777777" w:rsidR="007B6316" w:rsidRPr="00134F0A" w:rsidRDefault="007B6316" w:rsidP="00303D62">
            <w:pPr>
              <w:tabs>
                <w:tab w:val="left" w:pos="4111"/>
              </w:tabs>
              <w:spacing w:before="10"/>
              <w:ind w:left="57"/>
              <w:rPr>
                <w:sz w:val="22"/>
                <w:lang w:val="es-ES"/>
              </w:rPr>
            </w:pPr>
            <w:r w:rsidRPr="00134F0A">
              <w:rPr>
                <w:noProof/>
                <w:lang w:val="es-ES" w:eastAsia="zh-CN"/>
              </w:rPr>
              <w:drawing>
                <wp:inline distT="0" distB="0" distL="0" distR="0" wp14:anchorId="20549DA8" wp14:editId="6930FA3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9080" w:type="dxa"/>
            <w:gridSpan w:val="2"/>
            <w:vAlign w:val="center"/>
          </w:tcPr>
          <w:p w14:paraId="6D73296A" w14:textId="77777777" w:rsidR="007B6316" w:rsidRPr="00134F0A" w:rsidRDefault="007B6316" w:rsidP="007B6316">
            <w:pPr>
              <w:spacing w:before="0"/>
              <w:rPr>
                <w:rFonts w:cs="Times New Roman Bold"/>
                <w:b/>
                <w:bCs/>
                <w:smallCaps/>
                <w:sz w:val="26"/>
                <w:szCs w:val="26"/>
                <w:lang w:val="es-ES"/>
              </w:rPr>
            </w:pPr>
            <w:r w:rsidRPr="00134F0A">
              <w:rPr>
                <w:rFonts w:cs="Times New Roman Bold"/>
                <w:b/>
                <w:bCs/>
                <w:smallCaps/>
                <w:sz w:val="36"/>
                <w:szCs w:val="36"/>
                <w:lang w:val="es-ES"/>
              </w:rPr>
              <w:t>Unión Internacional de Telecomunicaciones</w:t>
            </w:r>
          </w:p>
          <w:p w14:paraId="7608C5AF" w14:textId="77777777" w:rsidR="007B6316" w:rsidRPr="00134F0A" w:rsidRDefault="007B6316" w:rsidP="007B6316">
            <w:pPr>
              <w:spacing w:before="0"/>
              <w:rPr>
                <w:lang w:val="es-ES"/>
              </w:rPr>
            </w:pPr>
            <w:r w:rsidRPr="00134F0A">
              <w:rPr>
                <w:rFonts w:cs="Times New Roman Bold"/>
                <w:b/>
                <w:bCs/>
                <w:smallCaps/>
                <w:sz w:val="28"/>
                <w:szCs w:val="28"/>
                <w:lang w:val="es-ES"/>
              </w:rPr>
              <w:t>Oficina</w:t>
            </w:r>
            <w:r w:rsidRPr="00134F0A">
              <w:rPr>
                <w:rFonts w:cs="Times New Roman Bold"/>
                <w:b/>
                <w:bCs/>
                <w:iCs/>
                <w:smallCaps/>
                <w:sz w:val="22"/>
                <w:szCs w:val="22"/>
                <w:lang w:val="es-ES"/>
              </w:rPr>
              <w:t xml:space="preserve"> </w:t>
            </w:r>
            <w:r w:rsidRPr="00134F0A">
              <w:rPr>
                <w:rFonts w:cs="Times New Roman Bold"/>
                <w:b/>
                <w:bCs/>
                <w:iCs/>
                <w:smallCaps/>
                <w:sz w:val="28"/>
                <w:szCs w:val="28"/>
                <w:lang w:val="es-ES"/>
              </w:rPr>
              <w:t>de Normalización de las Telecomunicaciones</w:t>
            </w:r>
          </w:p>
        </w:tc>
      </w:tr>
      <w:tr w:rsidR="007B6316" w:rsidRPr="00204434" w14:paraId="6A6381F7" w14:textId="77777777" w:rsidTr="00204434">
        <w:trPr>
          <w:cantSplit/>
          <w:trHeight w:val="340"/>
        </w:trPr>
        <w:tc>
          <w:tcPr>
            <w:tcW w:w="1276" w:type="dxa"/>
          </w:tcPr>
          <w:p w14:paraId="6B878DCC" w14:textId="77777777" w:rsidR="007B6316" w:rsidRPr="00204434" w:rsidRDefault="007B6316" w:rsidP="00303D62">
            <w:pPr>
              <w:tabs>
                <w:tab w:val="left" w:pos="4111"/>
              </w:tabs>
              <w:spacing w:before="10"/>
              <w:ind w:left="57"/>
              <w:rPr>
                <w:b/>
                <w:bCs/>
                <w:sz w:val="22"/>
                <w:szCs w:val="22"/>
                <w:lang w:val="es-ES"/>
              </w:rPr>
            </w:pPr>
          </w:p>
        </w:tc>
        <w:tc>
          <w:tcPr>
            <w:tcW w:w="3751" w:type="dxa"/>
          </w:tcPr>
          <w:p w14:paraId="4A57BC8D" w14:textId="77777777" w:rsidR="007B6316" w:rsidRPr="00204434" w:rsidRDefault="007B6316" w:rsidP="00303D62">
            <w:pPr>
              <w:tabs>
                <w:tab w:val="left" w:pos="4111"/>
              </w:tabs>
              <w:spacing w:before="0"/>
              <w:ind w:left="57"/>
              <w:rPr>
                <w:b/>
                <w:sz w:val="22"/>
                <w:szCs w:val="22"/>
                <w:lang w:val="es-ES"/>
              </w:rPr>
            </w:pPr>
          </w:p>
        </w:tc>
        <w:tc>
          <w:tcPr>
            <w:tcW w:w="5329" w:type="dxa"/>
          </w:tcPr>
          <w:p w14:paraId="22E9475D" w14:textId="315EB33E" w:rsidR="007B6316" w:rsidRPr="00204434" w:rsidRDefault="007B6316" w:rsidP="007B6316">
            <w:pPr>
              <w:tabs>
                <w:tab w:val="clear" w:pos="794"/>
                <w:tab w:val="clear" w:pos="1191"/>
                <w:tab w:val="clear" w:pos="1588"/>
                <w:tab w:val="clear" w:pos="1985"/>
                <w:tab w:val="left" w:pos="284"/>
              </w:tabs>
              <w:spacing w:after="120"/>
              <w:ind w:left="284" w:hanging="227"/>
              <w:rPr>
                <w:sz w:val="22"/>
                <w:szCs w:val="22"/>
                <w:lang w:val="es-ES"/>
              </w:rPr>
            </w:pPr>
            <w:r w:rsidRPr="00204434">
              <w:rPr>
                <w:sz w:val="22"/>
                <w:szCs w:val="22"/>
                <w:lang w:val="es-ES"/>
              </w:rPr>
              <w:t>Ginebra,</w:t>
            </w:r>
            <w:r w:rsidR="000615E7" w:rsidRPr="00204434">
              <w:rPr>
                <w:sz w:val="22"/>
                <w:szCs w:val="22"/>
                <w:lang w:val="es-ES"/>
              </w:rPr>
              <w:t xml:space="preserve"> 23 de abril de 224</w:t>
            </w:r>
          </w:p>
        </w:tc>
      </w:tr>
      <w:tr w:rsidR="001350B9" w:rsidRPr="00204434" w14:paraId="7C21ABF1" w14:textId="77777777" w:rsidTr="00204434">
        <w:trPr>
          <w:cantSplit/>
          <w:trHeight w:val="340"/>
        </w:trPr>
        <w:tc>
          <w:tcPr>
            <w:tcW w:w="1276" w:type="dxa"/>
          </w:tcPr>
          <w:p w14:paraId="067DD001" w14:textId="77777777" w:rsidR="001350B9" w:rsidRPr="00204434" w:rsidRDefault="001350B9" w:rsidP="00204434">
            <w:pPr>
              <w:tabs>
                <w:tab w:val="left" w:pos="4111"/>
              </w:tabs>
              <w:spacing w:before="10"/>
              <w:ind w:left="140"/>
              <w:rPr>
                <w:sz w:val="22"/>
                <w:szCs w:val="22"/>
                <w:lang w:val="es-ES"/>
              </w:rPr>
            </w:pPr>
            <w:r w:rsidRPr="00204434">
              <w:rPr>
                <w:sz w:val="22"/>
                <w:szCs w:val="22"/>
                <w:lang w:val="es-ES"/>
              </w:rPr>
              <w:t>Ref.:</w:t>
            </w:r>
          </w:p>
          <w:p w14:paraId="23A15FBA" w14:textId="77777777" w:rsidR="001350B9" w:rsidRPr="00204434" w:rsidRDefault="001350B9" w:rsidP="00204434">
            <w:pPr>
              <w:tabs>
                <w:tab w:val="left" w:pos="4111"/>
              </w:tabs>
              <w:spacing w:before="10"/>
              <w:ind w:left="140"/>
              <w:rPr>
                <w:sz w:val="22"/>
                <w:szCs w:val="22"/>
                <w:lang w:val="es-ES"/>
              </w:rPr>
            </w:pPr>
          </w:p>
        </w:tc>
        <w:tc>
          <w:tcPr>
            <w:tcW w:w="3751" w:type="dxa"/>
          </w:tcPr>
          <w:p w14:paraId="00E2203E" w14:textId="4788AADB" w:rsidR="001350B9" w:rsidRPr="00204434" w:rsidRDefault="001350B9" w:rsidP="00303D62">
            <w:pPr>
              <w:tabs>
                <w:tab w:val="left" w:pos="4111"/>
              </w:tabs>
              <w:spacing w:before="0"/>
              <w:ind w:left="57"/>
              <w:rPr>
                <w:b/>
                <w:sz w:val="22"/>
                <w:szCs w:val="22"/>
                <w:lang w:val="es-ES"/>
              </w:rPr>
            </w:pPr>
            <w:r w:rsidRPr="00204434">
              <w:rPr>
                <w:b/>
                <w:sz w:val="22"/>
                <w:szCs w:val="22"/>
                <w:lang w:val="es-ES"/>
              </w:rPr>
              <w:t xml:space="preserve">Circular TSB </w:t>
            </w:r>
            <w:r w:rsidR="000615E7" w:rsidRPr="00204434">
              <w:rPr>
                <w:b/>
                <w:sz w:val="22"/>
                <w:szCs w:val="22"/>
                <w:lang w:val="es-ES"/>
              </w:rPr>
              <w:t>195</w:t>
            </w:r>
          </w:p>
          <w:p w14:paraId="35FAF96E" w14:textId="5ACA836D" w:rsidR="001350B9" w:rsidRPr="00204434" w:rsidRDefault="000615E7" w:rsidP="000615E7">
            <w:pPr>
              <w:tabs>
                <w:tab w:val="left" w:pos="4111"/>
              </w:tabs>
              <w:spacing w:before="0"/>
              <w:ind w:left="57"/>
              <w:rPr>
                <w:sz w:val="22"/>
                <w:szCs w:val="22"/>
                <w:lang w:val="es-ES"/>
              </w:rPr>
            </w:pPr>
            <w:r w:rsidRPr="00204434">
              <w:rPr>
                <w:rFonts w:ascii="Calibri" w:hAnsi="Calibri"/>
                <w:sz w:val="22"/>
                <w:szCs w:val="22"/>
                <w:lang w:val="es-ES"/>
              </w:rPr>
              <w:t>CE 17/XY</w:t>
            </w:r>
          </w:p>
        </w:tc>
        <w:tc>
          <w:tcPr>
            <w:tcW w:w="5329" w:type="dxa"/>
            <w:vMerge w:val="restart"/>
          </w:tcPr>
          <w:p w14:paraId="0E018280" w14:textId="6AF81980" w:rsidR="000615E7" w:rsidRPr="00204434" w:rsidRDefault="001350B9" w:rsidP="000615E7">
            <w:pPr>
              <w:tabs>
                <w:tab w:val="clear" w:pos="794"/>
                <w:tab w:val="clear" w:pos="1191"/>
                <w:tab w:val="clear" w:pos="1588"/>
                <w:tab w:val="clear" w:pos="1985"/>
                <w:tab w:val="left" w:pos="284"/>
              </w:tabs>
              <w:spacing w:before="0"/>
              <w:ind w:left="284" w:hanging="227"/>
              <w:rPr>
                <w:sz w:val="22"/>
                <w:szCs w:val="22"/>
                <w:lang w:val="es-ES"/>
              </w:rPr>
            </w:pPr>
            <w:bookmarkStart w:id="0" w:name="Addressee_S"/>
            <w:bookmarkEnd w:id="0"/>
            <w:r w:rsidRPr="00204434">
              <w:rPr>
                <w:sz w:val="22"/>
                <w:szCs w:val="22"/>
                <w:lang w:val="es-ES"/>
              </w:rPr>
              <w:t>-</w:t>
            </w:r>
            <w:r w:rsidRPr="00204434">
              <w:rPr>
                <w:sz w:val="22"/>
                <w:szCs w:val="22"/>
                <w:lang w:val="es-ES"/>
              </w:rPr>
              <w:tab/>
              <w:t>A las Administraciones de los Estados Miembros de la Unión</w:t>
            </w:r>
          </w:p>
          <w:p w14:paraId="4AF73BC2" w14:textId="547DE720" w:rsidR="000615E7" w:rsidRPr="00204434" w:rsidRDefault="000615E7" w:rsidP="000615E7">
            <w:pPr>
              <w:tabs>
                <w:tab w:val="clear" w:pos="794"/>
                <w:tab w:val="clear" w:pos="1191"/>
                <w:tab w:val="clear" w:pos="1588"/>
                <w:tab w:val="clear" w:pos="1985"/>
                <w:tab w:val="left" w:pos="284"/>
              </w:tabs>
              <w:spacing w:before="0"/>
              <w:ind w:left="284" w:hanging="227"/>
              <w:rPr>
                <w:b/>
                <w:bCs/>
                <w:sz w:val="22"/>
                <w:szCs w:val="22"/>
                <w:lang w:val="es-ES"/>
              </w:rPr>
            </w:pPr>
            <w:r w:rsidRPr="00204434">
              <w:rPr>
                <w:b/>
                <w:bCs/>
                <w:sz w:val="22"/>
                <w:szCs w:val="22"/>
                <w:lang w:val="es-ES"/>
              </w:rPr>
              <w:t>Copia:</w:t>
            </w:r>
          </w:p>
          <w:p w14:paraId="058D084D" w14:textId="3578E323" w:rsidR="000615E7" w:rsidRPr="00204434" w:rsidRDefault="001350B9" w:rsidP="000615E7">
            <w:pPr>
              <w:tabs>
                <w:tab w:val="clear" w:pos="794"/>
                <w:tab w:val="clear" w:pos="1191"/>
                <w:tab w:val="clear" w:pos="1588"/>
                <w:tab w:val="clear" w:pos="1985"/>
                <w:tab w:val="left" w:pos="284"/>
              </w:tabs>
              <w:spacing w:before="0"/>
              <w:ind w:left="284" w:hanging="227"/>
              <w:rPr>
                <w:sz w:val="22"/>
                <w:szCs w:val="22"/>
                <w:lang w:val="es-ES"/>
              </w:rPr>
            </w:pPr>
            <w:r w:rsidRPr="00204434">
              <w:rPr>
                <w:sz w:val="22"/>
                <w:szCs w:val="22"/>
                <w:lang w:val="es-ES"/>
              </w:rPr>
              <w:t>-</w:t>
            </w:r>
            <w:r w:rsidRPr="00204434">
              <w:rPr>
                <w:sz w:val="22"/>
                <w:szCs w:val="22"/>
                <w:lang w:val="es-ES"/>
              </w:rPr>
              <w:tab/>
              <w:t xml:space="preserve">A los Miembros del Sector </w:t>
            </w:r>
            <w:r w:rsidR="000615E7" w:rsidRPr="00204434">
              <w:rPr>
                <w:sz w:val="22"/>
                <w:szCs w:val="22"/>
                <w:lang w:val="es-ES"/>
              </w:rPr>
              <w:t xml:space="preserve">del </w:t>
            </w:r>
            <w:r w:rsidRPr="00204434">
              <w:rPr>
                <w:sz w:val="22"/>
                <w:szCs w:val="22"/>
                <w:lang w:val="es-ES"/>
              </w:rPr>
              <w:t>UIT</w:t>
            </w:r>
            <w:r w:rsidRPr="00204434">
              <w:rPr>
                <w:sz w:val="22"/>
                <w:szCs w:val="22"/>
                <w:lang w:val="es-ES"/>
              </w:rPr>
              <w:noBreakHyphen/>
              <w:t>T;</w:t>
            </w:r>
          </w:p>
          <w:p w14:paraId="362883E7" w14:textId="1CE0EFF0" w:rsidR="000615E7" w:rsidRPr="00204434" w:rsidRDefault="001350B9" w:rsidP="000615E7">
            <w:pPr>
              <w:tabs>
                <w:tab w:val="clear" w:pos="794"/>
                <w:tab w:val="clear" w:pos="1191"/>
                <w:tab w:val="clear" w:pos="1588"/>
                <w:tab w:val="clear" w:pos="1985"/>
                <w:tab w:val="left" w:pos="284"/>
              </w:tabs>
              <w:spacing w:before="0"/>
              <w:ind w:left="284" w:hanging="227"/>
              <w:rPr>
                <w:sz w:val="22"/>
                <w:szCs w:val="22"/>
                <w:lang w:val="es-ES"/>
              </w:rPr>
            </w:pPr>
            <w:r w:rsidRPr="00204434">
              <w:rPr>
                <w:sz w:val="22"/>
                <w:szCs w:val="22"/>
                <w:lang w:val="es-ES"/>
              </w:rPr>
              <w:t>-</w:t>
            </w:r>
            <w:r w:rsidRPr="00204434">
              <w:rPr>
                <w:sz w:val="22"/>
                <w:szCs w:val="22"/>
                <w:lang w:val="es-ES"/>
              </w:rPr>
              <w:tab/>
              <w:t>A los Asociados de</w:t>
            </w:r>
            <w:r w:rsidR="000615E7" w:rsidRPr="00204434">
              <w:rPr>
                <w:sz w:val="22"/>
                <w:szCs w:val="22"/>
                <w:lang w:val="es-ES"/>
              </w:rPr>
              <w:t xml:space="preserve"> </w:t>
            </w:r>
            <w:r w:rsidRPr="00204434">
              <w:rPr>
                <w:sz w:val="22"/>
                <w:szCs w:val="22"/>
                <w:lang w:val="es-ES"/>
              </w:rPr>
              <w:t>l</w:t>
            </w:r>
            <w:r w:rsidR="000615E7" w:rsidRPr="00204434">
              <w:rPr>
                <w:sz w:val="22"/>
                <w:szCs w:val="22"/>
                <w:lang w:val="es-ES"/>
              </w:rPr>
              <w:t>a Comisión de Estudio 17</w:t>
            </w:r>
            <w:r w:rsidRPr="00204434">
              <w:rPr>
                <w:sz w:val="22"/>
                <w:szCs w:val="22"/>
                <w:lang w:val="es-ES"/>
              </w:rPr>
              <w:t>;</w:t>
            </w:r>
          </w:p>
          <w:p w14:paraId="71FA9A69" w14:textId="2E4CFBB1" w:rsidR="000615E7" w:rsidRPr="00204434" w:rsidRDefault="001350B9" w:rsidP="000615E7">
            <w:pPr>
              <w:tabs>
                <w:tab w:val="clear" w:pos="794"/>
                <w:tab w:val="clear" w:pos="1191"/>
                <w:tab w:val="clear" w:pos="1588"/>
                <w:tab w:val="clear" w:pos="1985"/>
                <w:tab w:val="left" w:pos="284"/>
              </w:tabs>
              <w:spacing w:before="0"/>
              <w:ind w:left="284" w:hanging="227"/>
              <w:rPr>
                <w:sz w:val="22"/>
                <w:szCs w:val="22"/>
                <w:lang w:val="es-ES"/>
              </w:rPr>
            </w:pPr>
            <w:r w:rsidRPr="00204434">
              <w:rPr>
                <w:sz w:val="22"/>
                <w:szCs w:val="22"/>
                <w:lang w:val="es-ES"/>
              </w:rPr>
              <w:t>-</w:t>
            </w:r>
            <w:r w:rsidRPr="00204434">
              <w:rPr>
                <w:sz w:val="22"/>
                <w:szCs w:val="22"/>
                <w:lang w:val="es-ES"/>
              </w:rPr>
              <w:tab/>
              <w:t xml:space="preserve">Al </w:t>
            </w:r>
            <w:proofErr w:type="gramStart"/>
            <w:r w:rsidRPr="00204434">
              <w:rPr>
                <w:sz w:val="22"/>
                <w:szCs w:val="22"/>
                <w:lang w:val="es-ES"/>
              </w:rPr>
              <w:t>Presidente</w:t>
            </w:r>
            <w:proofErr w:type="gramEnd"/>
            <w:r w:rsidRPr="00204434">
              <w:rPr>
                <w:sz w:val="22"/>
                <w:szCs w:val="22"/>
                <w:lang w:val="es-ES"/>
              </w:rPr>
              <w:t xml:space="preserve"> y a los Vicepresidentes de la</w:t>
            </w:r>
            <w:r w:rsidRPr="00204434">
              <w:rPr>
                <w:sz w:val="22"/>
                <w:szCs w:val="22"/>
                <w:lang w:val="es-ES"/>
              </w:rPr>
              <w:br/>
              <w:t xml:space="preserve">Comisión de Estudio </w:t>
            </w:r>
            <w:r w:rsidR="000615E7" w:rsidRPr="00204434">
              <w:rPr>
                <w:sz w:val="22"/>
                <w:szCs w:val="22"/>
                <w:lang w:val="es-ES"/>
              </w:rPr>
              <w:t>17 del UIT-T</w:t>
            </w:r>
            <w:r w:rsidRPr="00204434">
              <w:rPr>
                <w:sz w:val="22"/>
                <w:szCs w:val="22"/>
                <w:lang w:val="es-ES"/>
              </w:rPr>
              <w:t>;</w:t>
            </w:r>
          </w:p>
          <w:p w14:paraId="26651604" w14:textId="2A7E68DD" w:rsidR="000615E7" w:rsidRPr="00204434" w:rsidRDefault="001350B9" w:rsidP="000615E7">
            <w:pPr>
              <w:tabs>
                <w:tab w:val="clear" w:pos="794"/>
                <w:tab w:val="clear" w:pos="1191"/>
                <w:tab w:val="clear" w:pos="1588"/>
                <w:tab w:val="clear" w:pos="1985"/>
                <w:tab w:val="left" w:pos="284"/>
              </w:tabs>
              <w:spacing w:before="0"/>
              <w:ind w:left="284" w:hanging="227"/>
              <w:rPr>
                <w:sz w:val="22"/>
                <w:szCs w:val="22"/>
                <w:lang w:val="es-ES"/>
              </w:rPr>
            </w:pPr>
            <w:r w:rsidRPr="00204434">
              <w:rPr>
                <w:sz w:val="22"/>
                <w:szCs w:val="22"/>
                <w:lang w:val="es-ES"/>
              </w:rPr>
              <w:t>-</w:t>
            </w:r>
            <w:r w:rsidRPr="00204434">
              <w:rPr>
                <w:sz w:val="22"/>
                <w:szCs w:val="22"/>
                <w:lang w:val="es-ES"/>
              </w:rPr>
              <w:tab/>
              <w:t>A</w:t>
            </w:r>
            <w:r w:rsidR="000615E7" w:rsidRPr="00204434">
              <w:rPr>
                <w:sz w:val="22"/>
                <w:szCs w:val="22"/>
                <w:lang w:val="es-ES"/>
              </w:rPr>
              <w:t>l</w:t>
            </w:r>
            <w:r w:rsidRPr="00204434">
              <w:rPr>
                <w:sz w:val="22"/>
                <w:szCs w:val="22"/>
                <w:lang w:val="es-ES"/>
              </w:rPr>
              <w:t xml:space="preserve"> </w:t>
            </w:r>
            <w:proofErr w:type="gramStart"/>
            <w:r w:rsidRPr="00204434">
              <w:rPr>
                <w:sz w:val="22"/>
                <w:szCs w:val="22"/>
                <w:lang w:val="es-ES"/>
              </w:rPr>
              <w:t>Director</w:t>
            </w:r>
            <w:proofErr w:type="gramEnd"/>
            <w:r w:rsidRPr="00204434">
              <w:rPr>
                <w:sz w:val="22"/>
                <w:szCs w:val="22"/>
                <w:lang w:val="es-ES"/>
              </w:rPr>
              <w:t xml:space="preserve"> de la Oficina de Desarrollo de las Telecomunicaciones;</w:t>
            </w:r>
          </w:p>
          <w:p w14:paraId="5C95DBE4" w14:textId="1B585296" w:rsidR="001350B9" w:rsidRPr="00204434" w:rsidRDefault="001350B9" w:rsidP="000615E7">
            <w:pPr>
              <w:tabs>
                <w:tab w:val="clear" w:pos="794"/>
                <w:tab w:val="clear" w:pos="1191"/>
                <w:tab w:val="clear" w:pos="1588"/>
                <w:tab w:val="clear" w:pos="1985"/>
                <w:tab w:val="left" w:pos="284"/>
              </w:tabs>
              <w:spacing w:before="0"/>
              <w:ind w:left="284" w:hanging="227"/>
              <w:rPr>
                <w:sz w:val="22"/>
                <w:szCs w:val="22"/>
                <w:lang w:val="es-ES"/>
              </w:rPr>
            </w:pPr>
            <w:r w:rsidRPr="00204434">
              <w:rPr>
                <w:sz w:val="22"/>
                <w:szCs w:val="22"/>
                <w:lang w:val="es-ES"/>
              </w:rPr>
              <w:t>-</w:t>
            </w:r>
            <w:r w:rsidRPr="00204434">
              <w:rPr>
                <w:sz w:val="22"/>
                <w:szCs w:val="22"/>
                <w:lang w:val="es-ES"/>
              </w:rPr>
              <w:tab/>
              <w:t xml:space="preserve">Al </w:t>
            </w:r>
            <w:proofErr w:type="gramStart"/>
            <w:r w:rsidRPr="00204434">
              <w:rPr>
                <w:sz w:val="22"/>
                <w:szCs w:val="22"/>
                <w:lang w:val="es-ES"/>
              </w:rPr>
              <w:t>Director</w:t>
            </w:r>
            <w:proofErr w:type="gramEnd"/>
            <w:r w:rsidRPr="00204434">
              <w:rPr>
                <w:sz w:val="22"/>
                <w:szCs w:val="22"/>
                <w:lang w:val="es-ES"/>
              </w:rPr>
              <w:t xml:space="preserve"> de la Oficina de Radiocomunicaciones</w:t>
            </w:r>
          </w:p>
        </w:tc>
      </w:tr>
      <w:tr w:rsidR="001350B9" w:rsidRPr="00204434" w14:paraId="0D2511A5" w14:textId="77777777" w:rsidTr="00204434">
        <w:trPr>
          <w:cantSplit/>
        </w:trPr>
        <w:tc>
          <w:tcPr>
            <w:tcW w:w="1276" w:type="dxa"/>
          </w:tcPr>
          <w:p w14:paraId="32CE2EE4" w14:textId="77777777" w:rsidR="001350B9" w:rsidRPr="00204434" w:rsidRDefault="001350B9" w:rsidP="00204434">
            <w:pPr>
              <w:tabs>
                <w:tab w:val="left" w:pos="4111"/>
              </w:tabs>
              <w:spacing w:before="10"/>
              <w:ind w:left="140"/>
              <w:rPr>
                <w:sz w:val="22"/>
                <w:szCs w:val="22"/>
                <w:lang w:val="es-ES"/>
              </w:rPr>
            </w:pPr>
            <w:r w:rsidRPr="00204434">
              <w:rPr>
                <w:sz w:val="22"/>
                <w:szCs w:val="22"/>
                <w:lang w:val="es-ES"/>
              </w:rPr>
              <w:t>Tel.:</w:t>
            </w:r>
          </w:p>
        </w:tc>
        <w:tc>
          <w:tcPr>
            <w:tcW w:w="3751" w:type="dxa"/>
          </w:tcPr>
          <w:p w14:paraId="2AE9C1DD" w14:textId="7096EAB5" w:rsidR="001350B9" w:rsidRPr="00204434" w:rsidRDefault="001350B9" w:rsidP="00303D62">
            <w:pPr>
              <w:tabs>
                <w:tab w:val="left" w:pos="4111"/>
              </w:tabs>
              <w:spacing w:before="0"/>
              <w:ind w:left="57"/>
              <w:rPr>
                <w:rStyle w:val="Hyperlink"/>
                <w:sz w:val="22"/>
                <w:szCs w:val="22"/>
                <w:lang w:val="es-ES"/>
              </w:rPr>
            </w:pPr>
            <w:r w:rsidRPr="00204434">
              <w:rPr>
                <w:sz w:val="22"/>
                <w:szCs w:val="22"/>
                <w:lang w:val="es-ES"/>
              </w:rPr>
              <w:t>+41 22 730</w:t>
            </w:r>
            <w:r w:rsidR="000615E7" w:rsidRPr="00204434">
              <w:rPr>
                <w:sz w:val="22"/>
                <w:szCs w:val="22"/>
                <w:lang w:val="es-ES"/>
              </w:rPr>
              <w:t xml:space="preserve"> 6206</w:t>
            </w:r>
          </w:p>
        </w:tc>
        <w:tc>
          <w:tcPr>
            <w:tcW w:w="5329" w:type="dxa"/>
            <w:vMerge/>
          </w:tcPr>
          <w:p w14:paraId="64BEF760" w14:textId="77777777" w:rsidR="001350B9" w:rsidRPr="00204434" w:rsidRDefault="001350B9" w:rsidP="00303D62">
            <w:pPr>
              <w:tabs>
                <w:tab w:val="left" w:pos="226"/>
                <w:tab w:val="left" w:pos="510"/>
              </w:tabs>
              <w:spacing w:before="0"/>
              <w:ind w:left="226" w:hanging="169"/>
              <w:rPr>
                <w:b/>
                <w:sz w:val="22"/>
                <w:szCs w:val="22"/>
                <w:lang w:val="es-ES"/>
              </w:rPr>
            </w:pPr>
          </w:p>
        </w:tc>
      </w:tr>
      <w:tr w:rsidR="001350B9" w:rsidRPr="00204434" w14:paraId="2AF041C6" w14:textId="77777777" w:rsidTr="00204434">
        <w:trPr>
          <w:cantSplit/>
        </w:trPr>
        <w:tc>
          <w:tcPr>
            <w:tcW w:w="1276" w:type="dxa"/>
          </w:tcPr>
          <w:p w14:paraId="62228C67" w14:textId="77777777" w:rsidR="001350B9" w:rsidRPr="00204434" w:rsidRDefault="001350B9" w:rsidP="00204434">
            <w:pPr>
              <w:tabs>
                <w:tab w:val="left" w:pos="4111"/>
              </w:tabs>
              <w:spacing w:before="10"/>
              <w:ind w:left="140"/>
              <w:rPr>
                <w:sz w:val="22"/>
                <w:szCs w:val="22"/>
                <w:lang w:val="es-ES"/>
              </w:rPr>
            </w:pPr>
            <w:r w:rsidRPr="00204434">
              <w:rPr>
                <w:sz w:val="22"/>
                <w:szCs w:val="22"/>
                <w:lang w:val="es-ES"/>
              </w:rPr>
              <w:t>Fax:</w:t>
            </w:r>
          </w:p>
        </w:tc>
        <w:tc>
          <w:tcPr>
            <w:tcW w:w="3751" w:type="dxa"/>
          </w:tcPr>
          <w:p w14:paraId="627144BA" w14:textId="77777777" w:rsidR="001350B9" w:rsidRPr="00204434" w:rsidRDefault="001350B9" w:rsidP="00303D62">
            <w:pPr>
              <w:tabs>
                <w:tab w:val="left" w:pos="4111"/>
              </w:tabs>
              <w:spacing w:before="0"/>
              <w:ind w:left="57"/>
              <w:rPr>
                <w:rStyle w:val="Hyperlink"/>
                <w:sz w:val="22"/>
                <w:szCs w:val="22"/>
                <w:lang w:val="es-ES"/>
              </w:rPr>
            </w:pPr>
            <w:r w:rsidRPr="00204434">
              <w:rPr>
                <w:sz w:val="22"/>
                <w:szCs w:val="22"/>
                <w:lang w:val="es-ES"/>
              </w:rPr>
              <w:t>+41 22 730 5853</w:t>
            </w:r>
          </w:p>
        </w:tc>
        <w:tc>
          <w:tcPr>
            <w:tcW w:w="5329" w:type="dxa"/>
            <w:vMerge/>
          </w:tcPr>
          <w:p w14:paraId="2E667055" w14:textId="77777777" w:rsidR="001350B9" w:rsidRPr="00204434" w:rsidRDefault="001350B9" w:rsidP="00303D62">
            <w:pPr>
              <w:tabs>
                <w:tab w:val="left" w:pos="226"/>
                <w:tab w:val="left" w:pos="510"/>
              </w:tabs>
              <w:spacing w:before="0"/>
              <w:ind w:left="226" w:hanging="169"/>
              <w:rPr>
                <w:b/>
                <w:sz w:val="22"/>
                <w:szCs w:val="22"/>
                <w:lang w:val="es-ES"/>
              </w:rPr>
            </w:pPr>
          </w:p>
        </w:tc>
      </w:tr>
      <w:tr w:rsidR="001350B9" w:rsidRPr="00204434" w14:paraId="187A8C91" w14:textId="77777777" w:rsidTr="00204434">
        <w:trPr>
          <w:cantSplit/>
          <w:trHeight w:val="1769"/>
        </w:trPr>
        <w:tc>
          <w:tcPr>
            <w:tcW w:w="1276" w:type="dxa"/>
          </w:tcPr>
          <w:p w14:paraId="5E181B0D" w14:textId="77777777" w:rsidR="001350B9" w:rsidRPr="00204434" w:rsidRDefault="001350B9" w:rsidP="00204434">
            <w:pPr>
              <w:tabs>
                <w:tab w:val="left" w:pos="4111"/>
              </w:tabs>
              <w:spacing w:before="10"/>
              <w:ind w:left="140"/>
              <w:rPr>
                <w:sz w:val="22"/>
                <w:szCs w:val="22"/>
                <w:lang w:val="es-ES"/>
              </w:rPr>
            </w:pPr>
            <w:r w:rsidRPr="00204434">
              <w:rPr>
                <w:sz w:val="22"/>
                <w:szCs w:val="22"/>
                <w:lang w:val="es-ES"/>
              </w:rPr>
              <w:t>Correo-e:</w:t>
            </w:r>
          </w:p>
        </w:tc>
        <w:tc>
          <w:tcPr>
            <w:tcW w:w="3751" w:type="dxa"/>
          </w:tcPr>
          <w:p w14:paraId="5DD29E8F" w14:textId="684022B1" w:rsidR="001350B9" w:rsidRPr="00204434" w:rsidRDefault="00F166F3" w:rsidP="00303D62">
            <w:pPr>
              <w:tabs>
                <w:tab w:val="left" w:pos="4111"/>
              </w:tabs>
              <w:spacing w:before="0"/>
              <w:ind w:left="57"/>
              <w:rPr>
                <w:sz w:val="22"/>
                <w:szCs w:val="22"/>
                <w:lang w:val="es-ES"/>
              </w:rPr>
            </w:pPr>
            <w:hyperlink r:id="rId9" w:history="1">
              <w:r w:rsidR="000615E7" w:rsidRPr="00204434">
                <w:rPr>
                  <w:rStyle w:val="Hyperlink"/>
                  <w:sz w:val="22"/>
                  <w:szCs w:val="22"/>
                  <w:lang w:val="es-ES"/>
                </w:rPr>
                <w:t>tsbsg17@itu.int</w:t>
              </w:r>
            </w:hyperlink>
          </w:p>
        </w:tc>
        <w:tc>
          <w:tcPr>
            <w:tcW w:w="5329" w:type="dxa"/>
            <w:vMerge/>
          </w:tcPr>
          <w:p w14:paraId="7419AFCF" w14:textId="77777777" w:rsidR="001350B9" w:rsidRPr="00204434" w:rsidRDefault="001350B9" w:rsidP="00303D62">
            <w:pPr>
              <w:tabs>
                <w:tab w:val="clear" w:pos="794"/>
                <w:tab w:val="clear" w:pos="1191"/>
                <w:tab w:val="clear" w:pos="1588"/>
                <w:tab w:val="clear" w:pos="1985"/>
                <w:tab w:val="left" w:pos="226"/>
                <w:tab w:val="left" w:pos="510"/>
              </w:tabs>
              <w:spacing w:before="0"/>
              <w:ind w:left="226" w:hanging="169"/>
              <w:rPr>
                <w:sz w:val="22"/>
                <w:szCs w:val="22"/>
                <w:lang w:val="es-ES"/>
              </w:rPr>
            </w:pPr>
          </w:p>
        </w:tc>
      </w:tr>
      <w:tr w:rsidR="007B6316" w:rsidRPr="00204434" w14:paraId="3EC0048C" w14:textId="77777777" w:rsidTr="00204434">
        <w:trPr>
          <w:cantSplit/>
        </w:trPr>
        <w:tc>
          <w:tcPr>
            <w:tcW w:w="1276" w:type="dxa"/>
          </w:tcPr>
          <w:p w14:paraId="44238FB0" w14:textId="77777777" w:rsidR="007B6316" w:rsidRPr="00204434" w:rsidRDefault="007B6316" w:rsidP="00204434">
            <w:pPr>
              <w:tabs>
                <w:tab w:val="left" w:pos="4111"/>
              </w:tabs>
              <w:spacing w:before="10"/>
              <w:ind w:left="140"/>
              <w:rPr>
                <w:b/>
                <w:bCs/>
                <w:sz w:val="22"/>
                <w:szCs w:val="22"/>
                <w:lang w:val="es-ES"/>
              </w:rPr>
            </w:pPr>
            <w:r w:rsidRPr="00204434">
              <w:rPr>
                <w:b/>
                <w:bCs/>
                <w:sz w:val="22"/>
                <w:szCs w:val="22"/>
                <w:lang w:val="es-ES"/>
              </w:rPr>
              <w:t>Asunto:</w:t>
            </w:r>
          </w:p>
        </w:tc>
        <w:tc>
          <w:tcPr>
            <w:tcW w:w="9080" w:type="dxa"/>
            <w:gridSpan w:val="2"/>
          </w:tcPr>
          <w:p w14:paraId="234C3CAA" w14:textId="41344D17" w:rsidR="007B6316" w:rsidRPr="00204434" w:rsidRDefault="000615E7" w:rsidP="00303D62">
            <w:pPr>
              <w:tabs>
                <w:tab w:val="left" w:pos="4111"/>
              </w:tabs>
              <w:spacing w:before="0"/>
              <w:rPr>
                <w:b/>
                <w:sz w:val="22"/>
                <w:szCs w:val="22"/>
                <w:lang w:val="es-ES"/>
              </w:rPr>
            </w:pPr>
            <w:bookmarkStart w:id="1" w:name="_Hlk115258431"/>
            <w:r w:rsidRPr="00204434">
              <w:rPr>
                <w:b/>
                <w:sz w:val="22"/>
                <w:szCs w:val="22"/>
                <w:lang w:val="es-ES"/>
              </w:rPr>
              <w:t xml:space="preserve">Consulta a los Estados Miembros sobre los proyectos de nueva Recomendación determinada </w:t>
            </w:r>
            <w:bookmarkStart w:id="2" w:name="_Hlk113369711"/>
            <w:r w:rsidRPr="00204434">
              <w:rPr>
                <w:b/>
                <w:sz w:val="22"/>
                <w:szCs w:val="22"/>
                <w:lang w:val="es-ES"/>
              </w:rPr>
              <w:t>UIT</w:t>
            </w:r>
            <w:r w:rsidRPr="00204434">
              <w:rPr>
                <w:b/>
                <w:sz w:val="22"/>
                <w:szCs w:val="22"/>
                <w:lang w:val="es-ES"/>
              </w:rPr>
              <w:noBreakHyphen/>
              <w:t>T X.1237 (</w:t>
            </w:r>
            <w:proofErr w:type="gramStart"/>
            <w:r w:rsidRPr="00204434">
              <w:rPr>
                <w:b/>
                <w:sz w:val="22"/>
                <w:szCs w:val="22"/>
                <w:lang w:val="es-ES"/>
              </w:rPr>
              <w:t>X.tsfpp</w:t>
            </w:r>
            <w:proofErr w:type="gramEnd"/>
            <w:r w:rsidRPr="00204434">
              <w:rPr>
                <w:b/>
                <w:sz w:val="22"/>
                <w:szCs w:val="22"/>
                <w:lang w:val="es-ES"/>
              </w:rPr>
              <w:t xml:space="preserve">), X.1283 (X.gpwd), X.1353 (X.ztd-iot), X.1354 (X.sc-iot), X.1384 (X.itssec-5), X.1471 (X.websec-7), X.1819 (X.5Gsec-netec) y X.1820 (X.5Gsec-srocvs), propuestos para aprobación en la reunión de la Comisión de Estudio 17 del UIT-T </w:t>
            </w:r>
            <w:bookmarkEnd w:id="2"/>
            <w:r w:rsidRPr="00204434">
              <w:rPr>
                <w:b/>
                <w:sz w:val="22"/>
                <w:szCs w:val="22"/>
                <w:lang w:val="es-ES"/>
              </w:rPr>
              <w:t>(Ginebra, 2-6 de septiembre de 2024</w:t>
            </w:r>
            <w:bookmarkEnd w:id="1"/>
            <w:r w:rsidRPr="00204434">
              <w:rPr>
                <w:b/>
                <w:sz w:val="22"/>
                <w:szCs w:val="22"/>
                <w:lang w:val="es-ES"/>
              </w:rPr>
              <w:t>)</w:t>
            </w:r>
          </w:p>
        </w:tc>
      </w:tr>
    </w:tbl>
    <w:p w14:paraId="677B50F0" w14:textId="4EC26D5D" w:rsidR="00C34772" w:rsidRPr="00204434" w:rsidRDefault="00C34772" w:rsidP="007B6316">
      <w:pPr>
        <w:spacing w:before="320"/>
        <w:rPr>
          <w:sz w:val="22"/>
          <w:szCs w:val="22"/>
          <w:lang w:val="es-ES"/>
        </w:rPr>
      </w:pPr>
      <w:bookmarkStart w:id="3" w:name="StartTyping_S"/>
      <w:bookmarkStart w:id="4" w:name="suitetext"/>
      <w:bookmarkStart w:id="5" w:name="text"/>
      <w:bookmarkEnd w:id="3"/>
      <w:bookmarkEnd w:id="4"/>
      <w:bookmarkEnd w:id="5"/>
      <w:r w:rsidRPr="00204434">
        <w:rPr>
          <w:sz w:val="22"/>
          <w:szCs w:val="22"/>
          <w:lang w:val="es-ES"/>
        </w:rPr>
        <w:t>Muy Señora mía/Muy Señor mío</w:t>
      </w:r>
      <w:r w:rsidR="00204434">
        <w:rPr>
          <w:sz w:val="22"/>
          <w:szCs w:val="22"/>
          <w:lang w:val="es-ES"/>
        </w:rPr>
        <w:t>,</w:t>
      </w:r>
    </w:p>
    <w:p w14:paraId="00DCFE7A" w14:textId="2D977270" w:rsidR="007B6316" w:rsidRPr="00204434" w:rsidRDefault="000615E7" w:rsidP="007B6316">
      <w:pPr>
        <w:rPr>
          <w:sz w:val="22"/>
          <w:szCs w:val="22"/>
          <w:lang w:val="es-ES"/>
        </w:rPr>
      </w:pPr>
      <w:r w:rsidRPr="00204434">
        <w:rPr>
          <w:bCs/>
          <w:sz w:val="22"/>
          <w:szCs w:val="22"/>
          <w:lang w:val="es-ES"/>
        </w:rPr>
        <w:t>1</w:t>
      </w:r>
      <w:r w:rsidRPr="00204434">
        <w:rPr>
          <w:sz w:val="22"/>
          <w:szCs w:val="22"/>
          <w:lang w:val="es-ES"/>
        </w:rPr>
        <w:tab/>
      </w:r>
      <w:proofErr w:type="gramStart"/>
      <w:r w:rsidRPr="00204434">
        <w:rPr>
          <w:sz w:val="22"/>
          <w:szCs w:val="22"/>
          <w:lang w:val="es-ES"/>
        </w:rPr>
        <w:t>La</w:t>
      </w:r>
      <w:proofErr w:type="gramEnd"/>
      <w:r w:rsidRPr="00204434">
        <w:rPr>
          <w:sz w:val="22"/>
          <w:szCs w:val="22"/>
          <w:lang w:val="es-ES"/>
        </w:rPr>
        <w:t xml:space="preserve"> Comisión de Estudio 17 (Seguridad) tiene previsto aplicar el procedimiento de aprobación tradicional descrito en la Sección 9 de la Resolución 1 (Rev. Ginebra, 2022) de la AMNT a efectos de la aprobación de los proyectos de Recomendación indicados en el asunto durante la próxima reunión que tendrá lugar en Ginebra del 2 al 6 de septiembre de 2024. El orden del día y toda la información pertinente sobre la reunión de la Comisión de Estudio 17 del UIT-T figurarán en la Carta Colectiva</w:t>
      </w:r>
      <w:r w:rsidRPr="00204434">
        <w:rPr>
          <w:rFonts w:ascii="Segoe UI" w:hAnsi="Segoe UI" w:cs="Segoe UI"/>
          <w:color w:val="000000"/>
          <w:sz w:val="22"/>
          <w:szCs w:val="22"/>
          <w:shd w:val="clear" w:color="auto" w:fill="F0F0F0"/>
          <w:lang w:val="es-ES"/>
        </w:rPr>
        <w:t> </w:t>
      </w:r>
      <w:hyperlink r:id="rId10" w:history="1">
        <w:r w:rsidRPr="00204434">
          <w:rPr>
            <w:rStyle w:val="Hyperlink"/>
            <w:rFonts w:cstheme="minorHAnsi"/>
            <w:sz w:val="22"/>
            <w:szCs w:val="22"/>
            <w:lang w:val="es-ES"/>
          </w:rPr>
          <w:t>8/17</w:t>
        </w:r>
      </w:hyperlink>
      <w:r w:rsidRPr="00204434">
        <w:rPr>
          <w:sz w:val="22"/>
          <w:szCs w:val="22"/>
          <w:lang w:val="es-ES"/>
        </w:rPr>
        <w:t>.</w:t>
      </w:r>
    </w:p>
    <w:p w14:paraId="3A8CF886" w14:textId="77777777" w:rsidR="000615E7" w:rsidRPr="00204434" w:rsidRDefault="000615E7" w:rsidP="000615E7">
      <w:pPr>
        <w:spacing w:before="80"/>
        <w:rPr>
          <w:sz w:val="22"/>
          <w:szCs w:val="22"/>
          <w:lang w:val="es-ES"/>
        </w:rPr>
      </w:pPr>
      <w:r w:rsidRPr="00204434">
        <w:rPr>
          <w:bCs/>
          <w:sz w:val="22"/>
          <w:szCs w:val="22"/>
          <w:lang w:val="es-ES"/>
        </w:rPr>
        <w:t>2</w:t>
      </w:r>
      <w:r w:rsidRPr="00204434">
        <w:rPr>
          <w:sz w:val="22"/>
          <w:szCs w:val="22"/>
          <w:lang w:val="es-ES"/>
        </w:rPr>
        <w:tab/>
      </w:r>
      <w:proofErr w:type="gramStart"/>
      <w:r w:rsidRPr="00204434">
        <w:rPr>
          <w:sz w:val="22"/>
          <w:szCs w:val="22"/>
          <w:lang w:val="es-ES"/>
        </w:rPr>
        <w:t>El</w:t>
      </w:r>
      <w:proofErr w:type="gramEnd"/>
      <w:r w:rsidRPr="00204434">
        <w:rPr>
          <w:sz w:val="22"/>
          <w:szCs w:val="22"/>
          <w:lang w:val="es-ES"/>
        </w:rPr>
        <w:t xml:space="preserve"> </w:t>
      </w:r>
      <w:r w:rsidRPr="00204434">
        <w:rPr>
          <w:b/>
          <w:sz w:val="22"/>
          <w:szCs w:val="22"/>
          <w:lang w:val="es-ES"/>
        </w:rPr>
        <w:t>Anexo 1</w:t>
      </w:r>
      <w:r w:rsidRPr="00204434">
        <w:rPr>
          <w:sz w:val="22"/>
          <w:szCs w:val="22"/>
          <w:lang w:val="es-ES"/>
        </w:rPr>
        <w:t xml:space="preserve"> contiene los títulos, resúmenes y ubicaciones de los proyectos de Recomendación UIT-T propuestos para aprobación.</w:t>
      </w:r>
    </w:p>
    <w:p w14:paraId="4D270C36" w14:textId="77777777" w:rsidR="000615E7" w:rsidRPr="00204434" w:rsidRDefault="000615E7" w:rsidP="000615E7">
      <w:pPr>
        <w:spacing w:before="80"/>
        <w:rPr>
          <w:sz w:val="22"/>
          <w:szCs w:val="22"/>
          <w:lang w:val="es-ES"/>
        </w:rPr>
      </w:pPr>
      <w:r w:rsidRPr="00204434">
        <w:rPr>
          <w:sz w:val="22"/>
          <w:szCs w:val="22"/>
          <w:lang w:val="es-ES"/>
        </w:rPr>
        <w:t>NOTA 1 de la TSB – A excepción del proyecto de nueva Recomendación X.1820 (X.5Gsec-srocvs), no se ha presentado la justificación con arreglo a la UIT-T A.5 de los textos determinados.</w:t>
      </w:r>
    </w:p>
    <w:p w14:paraId="6E0C6428" w14:textId="77777777" w:rsidR="000615E7" w:rsidRPr="00204434" w:rsidRDefault="000615E7" w:rsidP="000615E7">
      <w:pPr>
        <w:spacing w:before="80"/>
        <w:rPr>
          <w:sz w:val="22"/>
          <w:szCs w:val="22"/>
          <w:lang w:val="es-ES"/>
        </w:rPr>
      </w:pPr>
      <w:r w:rsidRPr="00204434">
        <w:rPr>
          <w:sz w:val="22"/>
          <w:szCs w:val="22"/>
          <w:lang w:val="es-ES"/>
        </w:rPr>
        <w:t xml:space="preserve">NOTA 2 DE LA TSB– En la fecha de la presente Circular, la TSB no había recibido ninguna declaración de DPI en relación con este proyecto de texto t. Para obtener información actualizada, se invita a los miembros a consultar la base de datos de DPI: </w:t>
      </w:r>
      <w:hyperlink r:id="rId11" w:history="1">
        <w:r w:rsidRPr="00204434">
          <w:rPr>
            <w:rStyle w:val="Hyperlink"/>
            <w:sz w:val="22"/>
            <w:szCs w:val="22"/>
            <w:lang w:val="es-ES"/>
          </w:rPr>
          <w:t>www.itu.int/ipr/</w:t>
        </w:r>
      </w:hyperlink>
      <w:r w:rsidRPr="00204434">
        <w:rPr>
          <w:sz w:val="22"/>
          <w:szCs w:val="22"/>
          <w:lang w:val="es-ES"/>
        </w:rPr>
        <w:t>.</w:t>
      </w:r>
    </w:p>
    <w:p w14:paraId="6C6B4BFD" w14:textId="77777777" w:rsidR="000615E7" w:rsidRPr="00204434" w:rsidRDefault="000615E7" w:rsidP="000615E7">
      <w:pPr>
        <w:tabs>
          <w:tab w:val="clear" w:pos="794"/>
          <w:tab w:val="clear" w:pos="1191"/>
          <w:tab w:val="clear" w:pos="1588"/>
          <w:tab w:val="clear" w:pos="1985"/>
        </w:tabs>
        <w:overflowPunct/>
        <w:autoSpaceDE/>
        <w:autoSpaceDN/>
        <w:adjustRightInd/>
        <w:spacing w:before="0"/>
        <w:textAlignment w:val="auto"/>
        <w:rPr>
          <w:rFonts w:ascii="inherit" w:hAnsi="inherit" w:cs="Segoe UI"/>
          <w:color w:val="000000"/>
          <w:sz w:val="22"/>
          <w:szCs w:val="22"/>
          <w:lang w:val="es-ES"/>
        </w:rPr>
      </w:pPr>
      <w:r w:rsidRPr="00204434">
        <w:rPr>
          <w:bCs/>
          <w:sz w:val="22"/>
          <w:szCs w:val="22"/>
          <w:lang w:val="es-ES"/>
        </w:rPr>
        <w:t>3</w:t>
      </w:r>
      <w:r w:rsidRPr="00204434">
        <w:rPr>
          <w:sz w:val="22"/>
          <w:szCs w:val="22"/>
          <w:lang w:val="es-ES"/>
        </w:rPr>
        <w:tab/>
      </w:r>
      <w:proofErr w:type="gramStart"/>
      <w:r w:rsidRPr="00204434">
        <w:rPr>
          <w:sz w:val="22"/>
          <w:szCs w:val="22"/>
          <w:lang w:val="es-ES"/>
        </w:rPr>
        <w:t>Con</w:t>
      </w:r>
      <w:proofErr w:type="gramEnd"/>
      <w:r w:rsidRPr="00204434">
        <w:rPr>
          <w:sz w:val="22"/>
          <w:szCs w:val="22"/>
          <w:lang w:val="es-ES"/>
        </w:rPr>
        <w:t xml:space="preserve"> esta Circular se inicia la consulta oficial con los Estados Miembros de la UIT sobre si estos textos pueden considerarse para aprobación en la próxima reunión, de acuerdo con la cláusula 9.4 de la Resolución 1. Se ruega a los Estados Miembros que cumplimenten y devuelvan el formulario incluido el Anexo 2 antes de las 23.59 horas UTC del</w:t>
      </w:r>
      <w:r w:rsidRPr="00204434">
        <w:rPr>
          <w:rFonts w:ascii="inherit" w:hAnsi="inherit" w:cs="Segoe UI"/>
          <w:color w:val="000000"/>
          <w:sz w:val="22"/>
          <w:szCs w:val="22"/>
          <w:lang w:val="es-ES"/>
        </w:rPr>
        <w:t xml:space="preserve"> </w:t>
      </w:r>
      <w:r w:rsidRPr="00204434">
        <w:rPr>
          <w:rFonts w:cstheme="minorHAnsi"/>
          <w:b/>
          <w:bCs/>
          <w:sz w:val="22"/>
          <w:szCs w:val="22"/>
          <w:lang w:val="es-ES"/>
        </w:rPr>
        <w:t>21 de agosto de 2024.</w:t>
      </w:r>
    </w:p>
    <w:p w14:paraId="0DC3D90D" w14:textId="77777777" w:rsidR="000615E7" w:rsidRPr="00204434" w:rsidRDefault="000615E7">
      <w:pPr>
        <w:tabs>
          <w:tab w:val="clear" w:pos="794"/>
          <w:tab w:val="clear" w:pos="1191"/>
          <w:tab w:val="clear" w:pos="1588"/>
          <w:tab w:val="clear" w:pos="1985"/>
        </w:tabs>
        <w:overflowPunct/>
        <w:autoSpaceDE/>
        <w:autoSpaceDN/>
        <w:adjustRightInd/>
        <w:spacing w:before="0"/>
        <w:textAlignment w:val="auto"/>
        <w:rPr>
          <w:bCs/>
          <w:sz w:val="22"/>
          <w:szCs w:val="22"/>
          <w:lang w:val="es-ES"/>
        </w:rPr>
      </w:pPr>
      <w:r w:rsidRPr="00204434">
        <w:rPr>
          <w:bCs/>
          <w:sz w:val="22"/>
          <w:szCs w:val="22"/>
          <w:lang w:val="es-ES"/>
        </w:rPr>
        <w:br w:type="page"/>
      </w:r>
    </w:p>
    <w:p w14:paraId="391B4864" w14:textId="48700D87" w:rsidR="007B6316" w:rsidRPr="00204434" w:rsidRDefault="000615E7" w:rsidP="000615E7">
      <w:pPr>
        <w:rPr>
          <w:sz w:val="22"/>
          <w:szCs w:val="22"/>
          <w:lang w:val="es-ES"/>
        </w:rPr>
      </w:pPr>
      <w:r w:rsidRPr="00204434">
        <w:rPr>
          <w:bCs/>
          <w:sz w:val="22"/>
          <w:szCs w:val="22"/>
          <w:lang w:val="es-ES"/>
        </w:rPr>
        <w:lastRenderedPageBreak/>
        <w:t>4</w:t>
      </w:r>
      <w:r w:rsidRPr="00204434">
        <w:rPr>
          <w:sz w:val="22"/>
          <w:szCs w:val="22"/>
          <w:lang w:val="es-ES"/>
        </w:rPr>
        <w:tab/>
      </w:r>
      <w:proofErr w:type="gramStart"/>
      <w:r w:rsidRPr="00204434">
        <w:rPr>
          <w:sz w:val="22"/>
          <w:szCs w:val="22"/>
          <w:lang w:val="es-ES"/>
        </w:rPr>
        <w:t>Si</w:t>
      </w:r>
      <w:proofErr w:type="gramEnd"/>
      <w:r w:rsidRPr="00204434">
        <w:rPr>
          <w:sz w:val="22"/>
          <w:szCs w:val="22"/>
          <w:lang w:val="es-ES"/>
        </w:rPr>
        <w:t xml:space="preserve"> al menos el 70% de las respuestas de los Estados Miembros es favorable a que se considere la aprobación de este proyecto de Recomendación, se dedicará una sesión plenaria a la aplicación del procedimiento de aprobación. Los Estados Miembros que no otorguen autoridad para proceder deben informar al </w:t>
      </w:r>
      <w:proofErr w:type="gramStart"/>
      <w:r w:rsidRPr="00204434">
        <w:rPr>
          <w:sz w:val="22"/>
          <w:szCs w:val="22"/>
          <w:lang w:val="es-ES"/>
        </w:rPr>
        <w:t>Director</w:t>
      </w:r>
      <w:proofErr w:type="gramEnd"/>
      <w:r w:rsidRPr="00204434">
        <w:rPr>
          <w:sz w:val="22"/>
          <w:szCs w:val="22"/>
          <w:lang w:val="es-ES"/>
        </w:rPr>
        <w:t xml:space="preserve"> de la TSB de los motivos de su decisión e indicar los posibles cambios que harían posible el avance de los trabajos.</w:t>
      </w:r>
    </w:p>
    <w:p w14:paraId="66B4F566" w14:textId="19DFFDB3" w:rsidR="007B6316" w:rsidRPr="00204434" w:rsidRDefault="007B6316" w:rsidP="007B6316">
      <w:pPr>
        <w:rPr>
          <w:sz w:val="22"/>
          <w:szCs w:val="22"/>
          <w:lang w:val="es-ES"/>
        </w:rPr>
      </w:pPr>
      <w:r w:rsidRPr="00204434">
        <w:rPr>
          <w:sz w:val="22"/>
          <w:szCs w:val="22"/>
          <w:lang w:val="es-ES"/>
        </w:rPr>
        <w:t>Atentamente,</w:t>
      </w:r>
    </w:p>
    <w:p w14:paraId="2E3442A4" w14:textId="41148A07" w:rsidR="007B6316" w:rsidRPr="00204434" w:rsidRDefault="00F166F3" w:rsidP="00204434">
      <w:pPr>
        <w:spacing w:before="840"/>
        <w:rPr>
          <w:sz w:val="22"/>
          <w:szCs w:val="22"/>
          <w:lang w:val="es-ES"/>
        </w:rPr>
      </w:pPr>
      <w:r>
        <w:rPr>
          <w:rFonts w:cstheme="minorHAnsi"/>
          <w:noProof/>
          <w:sz w:val="22"/>
          <w:szCs w:val="22"/>
          <w:lang w:val="es-ES"/>
        </w:rPr>
        <w:drawing>
          <wp:anchor distT="0" distB="0" distL="114300" distR="114300" simplePos="0" relativeHeight="251658240" behindDoc="1" locked="0" layoutInCell="1" allowOverlap="1" wp14:anchorId="0321CB7C" wp14:editId="40B642A4">
            <wp:simplePos x="0" y="0"/>
            <wp:positionH relativeFrom="column">
              <wp:posOffset>-2540</wp:posOffset>
            </wp:positionH>
            <wp:positionV relativeFrom="paragraph">
              <wp:posOffset>97155</wp:posOffset>
            </wp:positionV>
            <wp:extent cx="742950" cy="334611"/>
            <wp:effectExtent l="0" t="0" r="0" b="8890"/>
            <wp:wrapNone/>
            <wp:docPr id="281259162"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59162" name="Picture 2"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42950" cy="334611"/>
                    </a:xfrm>
                    <a:prstGeom prst="rect">
                      <a:avLst/>
                    </a:prstGeom>
                  </pic:spPr>
                </pic:pic>
              </a:graphicData>
            </a:graphic>
            <wp14:sizeRelH relativeFrom="margin">
              <wp14:pctWidth>0</wp14:pctWidth>
            </wp14:sizeRelH>
            <wp14:sizeRelV relativeFrom="margin">
              <wp14:pctHeight>0</wp14:pctHeight>
            </wp14:sizeRelV>
          </wp:anchor>
        </w:drawing>
      </w:r>
      <w:r w:rsidR="001350B9" w:rsidRPr="00204434">
        <w:rPr>
          <w:rFonts w:cstheme="minorHAnsi"/>
          <w:sz w:val="22"/>
          <w:szCs w:val="22"/>
          <w:lang w:val="es-ES"/>
        </w:rPr>
        <w:t>Seizo Onoe</w:t>
      </w:r>
      <w:r w:rsidR="007B6316" w:rsidRPr="00204434">
        <w:rPr>
          <w:sz w:val="22"/>
          <w:szCs w:val="22"/>
          <w:lang w:val="es-ES"/>
        </w:rPr>
        <w:br/>
      </w:r>
      <w:proofErr w:type="gramStart"/>
      <w:r w:rsidR="007B6316" w:rsidRPr="00204434">
        <w:rPr>
          <w:sz w:val="22"/>
          <w:szCs w:val="22"/>
          <w:lang w:val="es-ES"/>
        </w:rPr>
        <w:t>Director</w:t>
      </w:r>
      <w:proofErr w:type="gramEnd"/>
      <w:r w:rsidR="007B6316" w:rsidRPr="00204434">
        <w:rPr>
          <w:sz w:val="22"/>
          <w:szCs w:val="22"/>
          <w:lang w:val="es-ES"/>
        </w:rPr>
        <w:t xml:space="preserve"> de la Oficina de </w:t>
      </w:r>
      <w:r w:rsidR="007B6316" w:rsidRPr="00204434">
        <w:rPr>
          <w:sz w:val="22"/>
          <w:szCs w:val="22"/>
          <w:lang w:val="es-ES"/>
        </w:rPr>
        <w:br/>
        <w:t>Normalización de las Telecomunicaciones</w:t>
      </w:r>
    </w:p>
    <w:p w14:paraId="25ED6BFD" w14:textId="56A4E28E" w:rsidR="000615E7" w:rsidRPr="00204434" w:rsidRDefault="000615E7" w:rsidP="00204434">
      <w:pPr>
        <w:spacing w:before="720"/>
        <w:ind w:right="91"/>
        <w:rPr>
          <w:sz w:val="22"/>
          <w:szCs w:val="22"/>
          <w:lang w:val="es-ES"/>
        </w:rPr>
      </w:pPr>
      <w:r w:rsidRPr="00204434">
        <w:rPr>
          <w:b/>
          <w:bCs/>
          <w:sz w:val="22"/>
          <w:szCs w:val="22"/>
          <w:lang w:val="es-ES"/>
        </w:rPr>
        <w:t>Anexos:</w:t>
      </w:r>
      <w:r w:rsidRPr="00204434">
        <w:rPr>
          <w:sz w:val="22"/>
          <w:szCs w:val="22"/>
          <w:lang w:val="es-ES"/>
        </w:rPr>
        <w:t xml:space="preserve"> 2</w:t>
      </w:r>
    </w:p>
    <w:p w14:paraId="6288EF36" w14:textId="43A0F2AE" w:rsidR="000615E7" w:rsidRPr="00134F0A" w:rsidRDefault="000615E7">
      <w:pPr>
        <w:tabs>
          <w:tab w:val="clear" w:pos="794"/>
          <w:tab w:val="clear" w:pos="1191"/>
          <w:tab w:val="clear" w:pos="1588"/>
          <w:tab w:val="clear" w:pos="1985"/>
        </w:tabs>
        <w:overflowPunct/>
        <w:autoSpaceDE/>
        <w:autoSpaceDN/>
        <w:adjustRightInd/>
        <w:spacing w:before="0"/>
        <w:textAlignment w:val="auto"/>
        <w:rPr>
          <w:lang w:val="es-ES"/>
        </w:rPr>
      </w:pPr>
      <w:r w:rsidRPr="00134F0A">
        <w:rPr>
          <w:lang w:val="es-ES"/>
        </w:rPr>
        <w:br w:type="page"/>
      </w:r>
    </w:p>
    <w:p w14:paraId="2C8220D0" w14:textId="77777777" w:rsidR="000615E7" w:rsidRPr="00134F0A" w:rsidRDefault="000615E7" w:rsidP="000615E7">
      <w:pPr>
        <w:pStyle w:val="Annextitle0"/>
        <w:rPr>
          <w:lang w:val="es-ES"/>
        </w:rPr>
      </w:pPr>
      <w:r w:rsidRPr="00134F0A">
        <w:rPr>
          <w:lang w:val="es-ES"/>
        </w:rPr>
        <w:lastRenderedPageBreak/>
        <w:t>Anexo 1</w:t>
      </w:r>
    </w:p>
    <w:p w14:paraId="173192BF" w14:textId="309EC880" w:rsidR="000615E7" w:rsidRPr="00134F0A" w:rsidRDefault="000615E7" w:rsidP="000615E7">
      <w:pPr>
        <w:pStyle w:val="Annextitle0"/>
        <w:spacing w:before="120"/>
        <w:rPr>
          <w:lang w:val="es-ES"/>
        </w:rPr>
      </w:pPr>
      <w:r w:rsidRPr="00134F0A">
        <w:rPr>
          <w:lang w:val="es-ES"/>
        </w:rPr>
        <w:t xml:space="preserve">Resumen y ubicación de los proyectos de nueva Recomendación determinada </w:t>
      </w:r>
      <w:r w:rsidRPr="00134F0A">
        <w:rPr>
          <w:lang w:val="es-ES"/>
        </w:rPr>
        <w:br/>
        <w:t xml:space="preserve">UIT-T </w:t>
      </w:r>
      <w:r w:rsidRPr="00134F0A">
        <w:rPr>
          <w:rFonts w:cstheme="minorHAnsi"/>
          <w:szCs w:val="22"/>
          <w:lang w:val="es-ES"/>
        </w:rPr>
        <w:t>X.</w:t>
      </w:r>
      <w:r w:rsidRPr="00134F0A">
        <w:rPr>
          <w:lang w:val="es-ES"/>
        </w:rPr>
        <w:t>1237 (X.tsfpp), X.1283 (X.gpwd), X.1353 (X.ztd-iot), X.1354 (X.sc-iot), X.1384 (X.itssec-5), X.1471 (X.websec-7), X.1819 (X.5Gsec-netec)</w:t>
      </w:r>
      <w:r w:rsidRPr="00134F0A">
        <w:rPr>
          <w:lang w:val="es-ES"/>
        </w:rPr>
        <w:br/>
        <w:t>y X.1820 (X.5Gsec-srocvs)</w:t>
      </w:r>
    </w:p>
    <w:p w14:paraId="63D7724A" w14:textId="52152FBF" w:rsidR="000615E7" w:rsidRPr="00134F0A" w:rsidRDefault="000615E7" w:rsidP="000615E7">
      <w:pPr>
        <w:pStyle w:val="Heading1"/>
        <w:rPr>
          <w:szCs w:val="24"/>
          <w:lang w:val="es-ES"/>
        </w:rPr>
      </w:pPr>
      <w:r w:rsidRPr="00134F0A">
        <w:rPr>
          <w:szCs w:val="24"/>
          <w:lang w:val="es-ES"/>
        </w:rPr>
        <w:t>1</w:t>
      </w:r>
      <w:r w:rsidRPr="00134F0A">
        <w:rPr>
          <w:szCs w:val="24"/>
          <w:lang w:val="es-ES"/>
        </w:rPr>
        <w:tab/>
        <w:t>Proyecto de nueva Recomendación UIT-T X.1237 (X.tsfpp) [</w:t>
      </w:r>
      <w:hyperlink r:id="rId13" w:history="1">
        <w:r w:rsidRPr="00134F0A">
          <w:rPr>
            <w:rStyle w:val="Hyperlink"/>
            <w:bCs/>
            <w:szCs w:val="24"/>
            <w:lang w:val="es-ES"/>
          </w:rPr>
          <w:t>R62</w:t>
        </w:r>
      </w:hyperlink>
      <w:r w:rsidRPr="00134F0A">
        <w:rPr>
          <w:szCs w:val="24"/>
          <w:lang w:val="es-ES"/>
        </w:rPr>
        <w:t>]</w:t>
      </w:r>
    </w:p>
    <w:p w14:paraId="5B4876F8" w14:textId="77777777" w:rsidR="000615E7" w:rsidRPr="00134F0A" w:rsidRDefault="000615E7" w:rsidP="000615E7">
      <w:pPr>
        <w:rPr>
          <w:rFonts w:cstheme="minorHAnsi"/>
          <w:szCs w:val="24"/>
          <w:lang w:val="es-ES"/>
        </w:rPr>
      </w:pPr>
      <w:r w:rsidRPr="00134F0A">
        <w:rPr>
          <w:rFonts w:cstheme="minorHAnsi"/>
          <w:szCs w:val="24"/>
          <w:lang w:val="es-ES"/>
        </w:rPr>
        <w:t>Requisitos de seguridad para la protección de la información de identificación personal en el marco de la lucha contra el spam en la mensajería móvil</w:t>
      </w:r>
    </w:p>
    <w:p w14:paraId="0608EC20" w14:textId="77777777" w:rsidR="000615E7" w:rsidRPr="00134F0A" w:rsidRDefault="000615E7" w:rsidP="000615E7">
      <w:pPr>
        <w:pStyle w:val="Headingb0"/>
        <w:rPr>
          <w:lang w:val="es-ES"/>
        </w:rPr>
      </w:pPr>
      <w:r w:rsidRPr="00134F0A">
        <w:rPr>
          <w:lang w:val="es-ES"/>
        </w:rPr>
        <w:t>Resumen</w:t>
      </w:r>
    </w:p>
    <w:p w14:paraId="1F574DE9" w14:textId="087FF2AA" w:rsidR="000615E7" w:rsidRPr="00134F0A" w:rsidRDefault="000615E7" w:rsidP="000615E7">
      <w:pPr>
        <w:rPr>
          <w:rFonts w:cstheme="minorHAnsi"/>
          <w:szCs w:val="24"/>
          <w:lang w:val="es-ES"/>
        </w:rPr>
      </w:pPr>
      <w:bookmarkStart w:id="6" w:name="lt_pId073"/>
      <w:r w:rsidRPr="00134F0A">
        <w:rPr>
          <w:rFonts w:cstheme="minorHAnsi"/>
          <w:szCs w:val="24"/>
          <w:lang w:val="es-ES"/>
        </w:rPr>
        <w:t>Hoy en día, el contenido spam, guiado por el interés comercial (publicidad), se infiltra en todos los medios para llegar hasta nosotros. Operadores, desarrolladores de software y organizaciones de diversa índole están estudiando distintos tipos de tecnologías, plataformas, servicios y aplicaciones para luchar contra el spam. No obstante, si no se tiene en cuenta la protección de la información de identificación personal (IIP) en el diseño y la aplicación de estos enfoques, su funcionalidad y eficacia podrían verse mermadas</w:t>
      </w:r>
      <w:bookmarkEnd w:id="6"/>
      <w:r w:rsidRPr="00134F0A">
        <w:rPr>
          <w:rFonts w:ascii="Times New Roman" w:hAnsi="Times New Roman"/>
          <w:szCs w:val="24"/>
          <w:lang w:val="es-ES"/>
        </w:rPr>
        <w:t>.</w:t>
      </w:r>
    </w:p>
    <w:p w14:paraId="7354A5A7" w14:textId="77777777" w:rsidR="000615E7" w:rsidRPr="00134F0A" w:rsidRDefault="000615E7" w:rsidP="000615E7">
      <w:pPr>
        <w:rPr>
          <w:rFonts w:cstheme="minorHAnsi"/>
          <w:szCs w:val="24"/>
          <w:lang w:val="es-ES"/>
        </w:rPr>
      </w:pPr>
      <w:bookmarkStart w:id="7" w:name="lt_pId078"/>
      <w:r w:rsidRPr="00134F0A">
        <w:rPr>
          <w:rFonts w:cstheme="minorHAnsi"/>
          <w:szCs w:val="24"/>
          <w:lang w:val="es-ES"/>
        </w:rPr>
        <w:t>La presente Recomendación tiene en cuenta la protección de la IIP en el diseño y la aplicación de soluciones para contrarrestar el spam en la mensajería móvil. Proporciona una visión general de los procesos de lucha contra el spam en la mensajería móvil y propone requisitos de seguridad para contrarrestar este fenómeno. Además, presenta las funciones de las entidades y los procedimientos de gestión.</w:t>
      </w:r>
      <w:bookmarkEnd w:id="7"/>
    </w:p>
    <w:p w14:paraId="1163F8D9" w14:textId="4A0F4C1E" w:rsidR="000615E7" w:rsidRPr="00134F0A" w:rsidRDefault="000615E7" w:rsidP="00C83B23">
      <w:pPr>
        <w:pStyle w:val="Heading1"/>
        <w:rPr>
          <w:lang w:val="es-ES"/>
        </w:rPr>
      </w:pPr>
      <w:r w:rsidRPr="00134F0A">
        <w:rPr>
          <w:lang w:val="es-ES"/>
        </w:rPr>
        <w:t>2</w:t>
      </w:r>
      <w:r w:rsidRPr="00134F0A">
        <w:rPr>
          <w:lang w:val="es-ES"/>
        </w:rPr>
        <w:tab/>
        <w:t>Proyecto de nueva Recomendación UIT-T X.1283 (X.gpwd) [</w:t>
      </w:r>
      <w:hyperlink r:id="rId14" w:history="1">
        <w:r w:rsidRPr="00134F0A">
          <w:rPr>
            <w:rStyle w:val="Hyperlink"/>
            <w:szCs w:val="24"/>
            <w:lang w:val="es-ES"/>
          </w:rPr>
          <w:t>R66</w:t>
        </w:r>
      </w:hyperlink>
      <w:r w:rsidRPr="00134F0A">
        <w:rPr>
          <w:lang w:val="es-ES"/>
        </w:rPr>
        <w:t>]</w:t>
      </w:r>
    </w:p>
    <w:p w14:paraId="434E5601" w14:textId="77777777" w:rsidR="000615E7" w:rsidRPr="00134F0A" w:rsidRDefault="000615E7" w:rsidP="000615E7">
      <w:pPr>
        <w:rPr>
          <w:szCs w:val="24"/>
          <w:lang w:val="es-ES"/>
        </w:rPr>
      </w:pPr>
      <w:r w:rsidRPr="00134F0A">
        <w:rPr>
          <w:szCs w:val="24"/>
          <w:lang w:val="es-ES"/>
        </w:rPr>
        <w:t>Análisis de amenazas y directrices para la seguridad de soluciones de autenticación con contraseñas o sin ellas</w:t>
      </w:r>
    </w:p>
    <w:p w14:paraId="2F462E8B" w14:textId="77777777" w:rsidR="000615E7" w:rsidRPr="00134F0A" w:rsidRDefault="000615E7" w:rsidP="00C83B23">
      <w:pPr>
        <w:pStyle w:val="Headingb0"/>
        <w:rPr>
          <w:lang w:val="es-ES"/>
        </w:rPr>
      </w:pPr>
      <w:r w:rsidRPr="00134F0A">
        <w:rPr>
          <w:lang w:val="es-ES"/>
        </w:rPr>
        <w:t>Resumen</w:t>
      </w:r>
    </w:p>
    <w:p w14:paraId="32745D98" w14:textId="77777777" w:rsidR="000615E7" w:rsidRPr="00134F0A" w:rsidRDefault="000615E7" w:rsidP="00C83B23">
      <w:pPr>
        <w:rPr>
          <w:rFonts w:cstheme="minorHAnsi"/>
          <w:szCs w:val="24"/>
          <w:lang w:val="es-ES"/>
        </w:rPr>
      </w:pPr>
      <w:r w:rsidRPr="00134F0A">
        <w:rPr>
          <w:rFonts w:cstheme="minorHAnsi"/>
          <w:szCs w:val="24"/>
          <w:lang w:val="es-ES"/>
        </w:rPr>
        <w:t>En la esfera de la seguridad se han logrado amplios avances para sustituir la autenticación mediante contraseñas por otras soluciones basadas en autenticación sin contraseñas. Lamentablemente, muchas de las soluciones propuestas adolecen de las mismas limitaciones que las actuales soluciones basadas en contraseñas. Dichas soluciones son vulnerables, en particular, frente a ataques mediante intermediarios o por suplantación de identidad.</w:t>
      </w:r>
    </w:p>
    <w:p w14:paraId="3537548E" w14:textId="77777777" w:rsidR="000615E7" w:rsidRPr="00134F0A" w:rsidRDefault="000615E7" w:rsidP="00C83B23">
      <w:pPr>
        <w:rPr>
          <w:rFonts w:cstheme="minorHAnsi"/>
          <w:szCs w:val="24"/>
          <w:lang w:val="es-ES"/>
        </w:rPr>
      </w:pPr>
      <w:r w:rsidRPr="00134F0A">
        <w:rPr>
          <w:rFonts w:cstheme="minorHAnsi"/>
          <w:szCs w:val="24"/>
          <w:lang w:val="es-ES"/>
        </w:rPr>
        <w:t>En la Recomendación UIT-T X.1283 (X.gpwd) se analiza la seguridad de soluciones de autenticación basadas en la compartición de datos secretos, así como las amenazas asociadas a las mismas. Se evalúan pormenorizadamente los riesgos de seguridad de sistemas de contraseñas y de soluciones incipientes que no se basan en la utilización de contraseñas.</w:t>
      </w:r>
    </w:p>
    <w:p w14:paraId="26B3983D" w14:textId="0F274DCB" w:rsidR="000615E7" w:rsidRPr="00134F0A" w:rsidRDefault="000615E7" w:rsidP="00C83B23">
      <w:pPr>
        <w:rPr>
          <w:rFonts w:cstheme="minorHAnsi"/>
          <w:szCs w:val="24"/>
          <w:lang w:val="es-ES"/>
        </w:rPr>
      </w:pPr>
      <w:r w:rsidRPr="00134F0A">
        <w:rPr>
          <w:rFonts w:cstheme="minorHAnsi"/>
          <w:szCs w:val="24"/>
          <w:lang w:val="es-ES"/>
        </w:rPr>
        <w:t>En la presente Recomendación se abordan amenazas de índole diversa y se formulan directrices y prácticas idóneas para la protección de usuarios y cuentas con arreglo a esos métodos. Ello puede ser útil para facilitar la utilización de soluciones actuales a medida que se implantan métodos de autenticación más eficaces basados en infraestructuras de clave pública (en particular, UIT</w:t>
      </w:r>
      <w:r w:rsidR="00C83B23" w:rsidRPr="00134F0A">
        <w:rPr>
          <w:rFonts w:cstheme="minorHAnsi"/>
          <w:szCs w:val="24"/>
          <w:lang w:val="es-ES"/>
        </w:rPr>
        <w:noBreakHyphen/>
      </w:r>
      <w:r w:rsidRPr="00134F0A">
        <w:rPr>
          <w:rFonts w:cstheme="minorHAnsi"/>
          <w:szCs w:val="24"/>
          <w:lang w:val="es-ES"/>
        </w:rPr>
        <w:t>T</w:t>
      </w:r>
      <w:r w:rsidR="00C83B23" w:rsidRPr="00134F0A">
        <w:rPr>
          <w:rFonts w:cstheme="minorHAnsi"/>
          <w:szCs w:val="24"/>
          <w:lang w:val="es-ES"/>
        </w:rPr>
        <w:t> </w:t>
      </w:r>
      <w:r w:rsidRPr="00134F0A">
        <w:rPr>
          <w:rFonts w:cstheme="minorHAnsi"/>
          <w:szCs w:val="24"/>
          <w:lang w:val="es-ES"/>
        </w:rPr>
        <w:t xml:space="preserve">X.1277 y UIT-T X.1278). </w:t>
      </w:r>
    </w:p>
    <w:p w14:paraId="52E42F08" w14:textId="2BA165EF" w:rsidR="000615E7" w:rsidRPr="00134F0A" w:rsidRDefault="000615E7" w:rsidP="00C83B23">
      <w:pPr>
        <w:pStyle w:val="Heading1"/>
        <w:rPr>
          <w:lang w:val="es-ES"/>
        </w:rPr>
      </w:pPr>
      <w:r w:rsidRPr="00134F0A">
        <w:rPr>
          <w:lang w:val="es-ES"/>
        </w:rPr>
        <w:lastRenderedPageBreak/>
        <w:t>3</w:t>
      </w:r>
      <w:r w:rsidRPr="00134F0A">
        <w:rPr>
          <w:lang w:val="es-ES"/>
        </w:rPr>
        <w:tab/>
        <w:t>Proyecto de nueva Recomendación UIT-T X.1353 (X.ztd-iot) [</w:t>
      </w:r>
      <w:hyperlink r:id="rId15" w:history="1">
        <w:r w:rsidRPr="00134F0A">
          <w:rPr>
            <w:rStyle w:val="Hyperlink"/>
            <w:szCs w:val="24"/>
            <w:lang w:val="es-ES"/>
          </w:rPr>
          <w:t>R63</w:t>
        </w:r>
      </w:hyperlink>
      <w:r w:rsidRPr="00134F0A">
        <w:rPr>
          <w:lang w:val="es-ES"/>
        </w:rPr>
        <w:t>]</w:t>
      </w:r>
    </w:p>
    <w:p w14:paraId="16ED1BB4" w14:textId="77777777" w:rsidR="000615E7" w:rsidRPr="00134F0A" w:rsidRDefault="000615E7" w:rsidP="000615E7">
      <w:pPr>
        <w:rPr>
          <w:rFonts w:cstheme="minorHAnsi"/>
          <w:szCs w:val="24"/>
          <w:lang w:val="es-ES"/>
        </w:rPr>
      </w:pPr>
      <w:bookmarkStart w:id="8" w:name="_Hlk113457282"/>
      <w:r w:rsidRPr="00134F0A">
        <w:rPr>
          <w:rFonts w:cstheme="minorHAnsi"/>
          <w:szCs w:val="24"/>
          <w:lang w:val="es-ES"/>
        </w:rPr>
        <w:t>Metodología de seguridad basada en cadenas de bloques para instalaciones sin intervención de IoT masiva</w:t>
      </w:r>
    </w:p>
    <w:p w14:paraId="214C7B0B" w14:textId="77777777" w:rsidR="000615E7" w:rsidRPr="00134F0A" w:rsidRDefault="000615E7" w:rsidP="00C83B23">
      <w:pPr>
        <w:pStyle w:val="Headingb0"/>
        <w:rPr>
          <w:lang w:val="es-ES"/>
        </w:rPr>
      </w:pPr>
      <w:r w:rsidRPr="00134F0A">
        <w:rPr>
          <w:lang w:val="es-ES"/>
        </w:rPr>
        <w:t>Resumen</w:t>
      </w:r>
    </w:p>
    <w:bookmarkEnd w:id="8"/>
    <w:p w14:paraId="0E1926BF" w14:textId="1F53D894" w:rsidR="000615E7" w:rsidRPr="00134F0A" w:rsidRDefault="000615E7" w:rsidP="000615E7">
      <w:pPr>
        <w:rPr>
          <w:rFonts w:cstheme="minorHAnsi"/>
          <w:szCs w:val="24"/>
          <w:lang w:val="es-ES"/>
        </w:rPr>
      </w:pPr>
      <w:r w:rsidRPr="00134F0A">
        <w:rPr>
          <w:rFonts w:cstheme="minorHAnsi"/>
          <w:szCs w:val="24"/>
          <w:lang w:val="es-ES"/>
        </w:rPr>
        <w:t xml:space="preserve">La Internet de las cosas masiva (mIoT) es una importante aplicación de las futuras redes de comunicaciones. A la vista de numerosos casos de uso previstos de mIoT, resulta difícil para los fabricantes preinstalar sus dispositivos IoT prefabricados con información específica del operador móvil y/o información específica del servicio (por ejemplo, identidades y claves), ya que los fabricantes pueden desconocer dónde se desplegarán y se activarán finalmente sus dispositivos. El enfoque actual se basa en una configuración manual realizada por los clientes, que es aceptable para aplicaciones de IoT a pequeña escala. Sin embargo, en el caso de dispositivos mIoT, dicho enfoque es inaceptable debido a que la configuración manual lleva mucho tiempo, es poco rentable y engorrosa. Por lo tanto, la mIoT requiere la provisión automática de credenciales sin la participación del usuario, conocida como </w:t>
      </w:r>
      <w:r w:rsidR="00C83B23" w:rsidRPr="00134F0A">
        <w:rPr>
          <w:rFonts w:cstheme="minorHAnsi"/>
          <w:szCs w:val="24"/>
          <w:lang w:val="es-ES"/>
        </w:rPr>
        <w:t>"</w:t>
      </w:r>
      <w:r w:rsidRPr="00134F0A">
        <w:rPr>
          <w:rFonts w:cstheme="minorHAnsi"/>
          <w:szCs w:val="24"/>
          <w:lang w:val="es-ES"/>
        </w:rPr>
        <w:t>sin intervención</w:t>
      </w:r>
      <w:r w:rsidR="00C83B23" w:rsidRPr="00134F0A">
        <w:rPr>
          <w:rFonts w:cstheme="minorHAnsi"/>
          <w:szCs w:val="24"/>
          <w:lang w:val="es-ES"/>
        </w:rPr>
        <w:t>"</w:t>
      </w:r>
      <w:r w:rsidRPr="00134F0A">
        <w:rPr>
          <w:rFonts w:cstheme="minorHAnsi"/>
          <w:szCs w:val="24"/>
          <w:lang w:val="es-ES"/>
        </w:rPr>
        <w:t xml:space="preserve">. </w:t>
      </w:r>
    </w:p>
    <w:p w14:paraId="75F02761" w14:textId="77777777" w:rsidR="000615E7" w:rsidRPr="00134F0A" w:rsidRDefault="000615E7" w:rsidP="000615E7">
      <w:pPr>
        <w:rPr>
          <w:rFonts w:cstheme="minorHAnsi"/>
          <w:szCs w:val="24"/>
          <w:lang w:val="es-ES"/>
        </w:rPr>
      </w:pPr>
      <w:r w:rsidRPr="00134F0A">
        <w:rPr>
          <w:rFonts w:cstheme="minorHAnsi"/>
          <w:szCs w:val="24"/>
          <w:lang w:val="es-ES"/>
        </w:rPr>
        <w:t>La presente Recomendación proporciona una metodología de seguridad para el diseño de sistemas descentralizados de gestión de identidades que permitan futuras tecnologías basadas en cadenas de bloques de IoT masiva. Este es un enfoque factible y prometedor para lograr la instalación sin intervención para la futura IoT masiva. La instalación sin intervención permitirá a los dispositivos IoT encontrar automáticamente su operador de red móvil y su proveedor de servicios, y conectarse automáticamente a la red y al servicio. Esto facilitará en gran medida la futura instalación de dispositivos mIoT en ámbitos verticales. El contenido de esta Recomendación abarca la arquitectura de seguridad, las consideraciones sobre la seguridad y los procedimientos de seguridad conexos (como las acreditaciones de dispositivos, la autenticación y la provisión de credenciales), que son necesarios para crear la plataforma para instalaciones sin intervención para la Internet de las cosas masiva (mIoT).</w:t>
      </w:r>
    </w:p>
    <w:p w14:paraId="1923A4B5" w14:textId="75FB0139" w:rsidR="000615E7" w:rsidRPr="00134F0A" w:rsidRDefault="000615E7" w:rsidP="00C83B23">
      <w:pPr>
        <w:pStyle w:val="Heading1"/>
        <w:rPr>
          <w:lang w:val="es-ES"/>
        </w:rPr>
      </w:pPr>
      <w:r w:rsidRPr="00134F0A">
        <w:rPr>
          <w:lang w:val="es-ES"/>
        </w:rPr>
        <w:lastRenderedPageBreak/>
        <w:t>4</w:t>
      </w:r>
      <w:r w:rsidRPr="00134F0A">
        <w:rPr>
          <w:lang w:val="es-ES"/>
        </w:rPr>
        <w:tab/>
        <w:t>Proyecto de nueva Recomendación UIT-T X.1354 (X.sc-iot) [</w:t>
      </w:r>
      <w:hyperlink r:id="rId16" w:history="1">
        <w:r w:rsidRPr="00134F0A">
          <w:rPr>
            <w:rStyle w:val="Hyperlink"/>
            <w:szCs w:val="24"/>
            <w:lang w:val="es-ES"/>
          </w:rPr>
          <w:t>R64</w:t>
        </w:r>
      </w:hyperlink>
      <w:r w:rsidRPr="00134F0A">
        <w:rPr>
          <w:lang w:val="es-ES"/>
        </w:rPr>
        <w:t>]</w:t>
      </w:r>
    </w:p>
    <w:p w14:paraId="07727FF6" w14:textId="77777777" w:rsidR="000615E7" w:rsidRPr="00134F0A" w:rsidRDefault="000615E7" w:rsidP="000615E7">
      <w:pPr>
        <w:keepNext/>
        <w:keepLines/>
        <w:rPr>
          <w:szCs w:val="24"/>
          <w:lang w:val="es-ES"/>
        </w:rPr>
      </w:pPr>
      <w:r w:rsidRPr="00134F0A">
        <w:rPr>
          <w:szCs w:val="24"/>
          <w:lang w:val="es-ES"/>
        </w:rPr>
        <w:t>Controles de seguridad para sistemas IoT</w:t>
      </w:r>
    </w:p>
    <w:p w14:paraId="4EA3A96D" w14:textId="77777777" w:rsidR="000615E7" w:rsidRPr="00134F0A" w:rsidRDefault="000615E7" w:rsidP="00C83B23">
      <w:pPr>
        <w:pStyle w:val="headingb"/>
        <w:rPr>
          <w:lang w:val="es-ES"/>
        </w:rPr>
      </w:pPr>
      <w:r w:rsidRPr="00134F0A">
        <w:rPr>
          <w:lang w:val="es-ES"/>
        </w:rPr>
        <w:t>Resumen</w:t>
      </w:r>
    </w:p>
    <w:p w14:paraId="77A7A91D" w14:textId="77777777" w:rsidR="000615E7" w:rsidRPr="00134F0A" w:rsidRDefault="000615E7" w:rsidP="000615E7">
      <w:pPr>
        <w:keepNext/>
        <w:keepLines/>
        <w:rPr>
          <w:rFonts w:eastAsia="SimSun" w:cstheme="minorHAnsi"/>
          <w:szCs w:val="24"/>
          <w:lang w:val="es-ES"/>
        </w:rPr>
      </w:pPr>
      <w:r w:rsidRPr="00134F0A">
        <w:rPr>
          <w:rFonts w:eastAsia="SimSun" w:cstheme="minorHAnsi"/>
          <w:szCs w:val="24"/>
          <w:lang w:val="es-ES"/>
        </w:rPr>
        <w:t>La Recomendación UIT-T X.1354 (X.sc-iot) contiene directrices prácticas de seguridad para tres partes interesadas en los sistemas de Internet de las cosas (IoT), a saber, el proveedor, el desarrollador y el usuario del servicio, y describe asimismo el concepto, los riesgos y los controles de seguridad de estos sistemas.</w:t>
      </w:r>
    </w:p>
    <w:p w14:paraId="760FBAAA" w14:textId="77777777" w:rsidR="000615E7" w:rsidRPr="00134F0A" w:rsidRDefault="000615E7" w:rsidP="000615E7">
      <w:pPr>
        <w:keepNext/>
        <w:keepLines/>
        <w:rPr>
          <w:rFonts w:eastAsia="SimSun" w:cstheme="minorHAnsi"/>
          <w:szCs w:val="24"/>
          <w:lang w:val="es-ES"/>
        </w:rPr>
      </w:pPr>
      <w:r w:rsidRPr="00134F0A">
        <w:rPr>
          <w:rFonts w:eastAsia="SimSun" w:cstheme="minorHAnsi"/>
          <w:szCs w:val="24"/>
          <w:lang w:val="es-ES"/>
        </w:rPr>
        <w:t xml:space="preserve">Los sistemas IoT presentan retos particulares en lo que respecta a la seguridad de la información debido a que están muy distribuidos y engloban a numerosas y diversas entidades. Siendo tan grande la superficie de ataque, la aplicación y el mantenimiento de controles de seguridad adecuados en todo el sistema suponen un reto considerable para el sistema de gestión de la seguridad de la información. </w:t>
      </w:r>
    </w:p>
    <w:p w14:paraId="5478F2C9" w14:textId="568BD92A" w:rsidR="000615E7" w:rsidRPr="00134F0A" w:rsidRDefault="000615E7" w:rsidP="00C83B23">
      <w:pPr>
        <w:pStyle w:val="Heading1"/>
        <w:rPr>
          <w:lang w:val="es-ES"/>
        </w:rPr>
      </w:pPr>
      <w:r w:rsidRPr="00134F0A">
        <w:rPr>
          <w:lang w:val="es-ES"/>
        </w:rPr>
        <w:t>5</w:t>
      </w:r>
      <w:r w:rsidRPr="00134F0A">
        <w:rPr>
          <w:lang w:val="es-ES"/>
        </w:rPr>
        <w:tab/>
        <w:t>Proyecto de nueva Recomendación UIT-T X.1384 (X.itssec-5) [</w:t>
      </w:r>
      <w:hyperlink r:id="rId17" w:history="1">
        <w:r w:rsidRPr="00134F0A">
          <w:rPr>
            <w:rStyle w:val="Hyperlink"/>
            <w:szCs w:val="24"/>
            <w:lang w:val="es-ES"/>
          </w:rPr>
          <w:t>R67</w:t>
        </w:r>
      </w:hyperlink>
      <w:r w:rsidRPr="00134F0A">
        <w:rPr>
          <w:lang w:val="es-ES"/>
        </w:rPr>
        <w:t>]</w:t>
      </w:r>
    </w:p>
    <w:p w14:paraId="3F06D991" w14:textId="77777777" w:rsidR="000615E7" w:rsidRPr="00134F0A" w:rsidRDefault="000615E7" w:rsidP="000615E7">
      <w:pPr>
        <w:keepNext/>
        <w:keepLines/>
        <w:rPr>
          <w:szCs w:val="24"/>
          <w:lang w:val="es-ES"/>
        </w:rPr>
      </w:pPr>
      <w:r w:rsidRPr="00134F0A">
        <w:rPr>
          <w:szCs w:val="24"/>
          <w:lang w:val="es-ES"/>
        </w:rPr>
        <w:t>Requisitos y directrices de seguridad para la computación periférica vehicular</w:t>
      </w:r>
    </w:p>
    <w:p w14:paraId="04D573A2" w14:textId="77777777" w:rsidR="000615E7" w:rsidRPr="00134F0A" w:rsidRDefault="000615E7" w:rsidP="00C83B23">
      <w:pPr>
        <w:pStyle w:val="Headingb0"/>
        <w:rPr>
          <w:lang w:val="es-ES"/>
        </w:rPr>
      </w:pPr>
      <w:r w:rsidRPr="00134F0A">
        <w:rPr>
          <w:lang w:val="es-ES"/>
        </w:rPr>
        <w:t>Resumen</w:t>
      </w:r>
    </w:p>
    <w:p w14:paraId="0BC1CD2B" w14:textId="77777777" w:rsidR="000615E7" w:rsidRPr="00134F0A" w:rsidRDefault="000615E7" w:rsidP="00C83B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rPr>
          <w:rFonts w:eastAsia="MS Mincho" w:cstheme="minorHAnsi"/>
          <w:szCs w:val="24"/>
          <w:lang w:val="es-ES"/>
        </w:rPr>
      </w:pPr>
      <w:bookmarkStart w:id="9" w:name="lt_pId040"/>
      <w:bookmarkStart w:id="10" w:name="_Hlk161407730"/>
      <w:r w:rsidRPr="00134F0A">
        <w:rPr>
          <w:rFonts w:eastAsia="MS Mincho" w:cstheme="minorHAnsi"/>
          <w:szCs w:val="24"/>
          <w:lang w:val="es-ES"/>
        </w:rPr>
        <w:t>La Recomendación UIT-T X.1384 (antes X.itssec-5) proporciona requisitos y directrices de seguridad para la computación periférica vehicular (CPV). La CPV se refiere a un paradigma informático que despliega capacidad de procesamiento en la periferia de la red para distribuir recursos informáticos en una nube central en entorno STI. La CPV también proporciona servicios de almacenamiento y aplicaciones más localizados a los usuarios de la carretera, lo que permite lograr menores retrasos de latencia, tiempos de respuesta más rápidos, conocimiento de ubicación, alta disponibilidad y calidad de servicio para aplicaciones de transmisión en tiempo real, ya que el procesamiento de datos se realiza más cerca del vehículo.</w:t>
      </w:r>
      <w:bookmarkStart w:id="11" w:name="lt_pId041"/>
      <w:bookmarkStart w:id="12" w:name="lt_pId042"/>
      <w:bookmarkEnd w:id="9"/>
      <w:bookmarkEnd w:id="11"/>
      <w:bookmarkEnd w:id="12"/>
    </w:p>
    <w:p w14:paraId="24E8B0C2" w14:textId="77777777" w:rsidR="000615E7" w:rsidRPr="00134F0A" w:rsidRDefault="000615E7" w:rsidP="00C83B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rPr>
          <w:rFonts w:eastAsia="MS Mincho" w:cstheme="minorHAnsi"/>
          <w:szCs w:val="24"/>
          <w:lang w:val="es-ES"/>
        </w:rPr>
      </w:pPr>
      <w:bookmarkStart w:id="13" w:name="lt_pId043"/>
      <w:r w:rsidRPr="00134F0A">
        <w:rPr>
          <w:rFonts w:eastAsia="MS Mincho" w:cstheme="minorHAnsi"/>
          <w:szCs w:val="24"/>
          <w:lang w:val="es-ES"/>
        </w:rPr>
        <w:t>La CPV enfrenta muchos desafíos y problemas de seguridad, ya que requiere un tiempo de respuesta de servicio más rápido a los usuarios finales. En esta Recomendación se analizan las amenazas y vulnerabilidades identificadas en la CPV y se establecen requisitos de seguridad para el mismo. Además, también proporciona casos de uso para los servicios de CPV.</w:t>
      </w:r>
      <w:bookmarkStart w:id="14" w:name="lt_pId044"/>
      <w:bookmarkStart w:id="15" w:name="lt_pId045"/>
      <w:bookmarkEnd w:id="13"/>
      <w:bookmarkEnd w:id="14"/>
      <w:bookmarkEnd w:id="15"/>
    </w:p>
    <w:bookmarkEnd w:id="10"/>
    <w:p w14:paraId="0DD1B68E" w14:textId="648DAB58" w:rsidR="000615E7" w:rsidRPr="00134F0A" w:rsidRDefault="000615E7" w:rsidP="00C83B23">
      <w:pPr>
        <w:pStyle w:val="Heading1"/>
        <w:rPr>
          <w:lang w:val="es-ES"/>
        </w:rPr>
      </w:pPr>
      <w:r w:rsidRPr="00134F0A">
        <w:rPr>
          <w:lang w:val="es-ES"/>
        </w:rPr>
        <w:t>6</w:t>
      </w:r>
      <w:r w:rsidRPr="00134F0A">
        <w:rPr>
          <w:lang w:val="es-ES"/>
        </w:rPr>
        <w:tab/>
        <w:t>Proyecto de nueva Recomendación UIT-T X.1471 (X.websec-7) [</w:t>
      </w:r>
      <w:hyperlink r:id="rId18" w:history="1">
        <w:r w:rsidRPr="00134F0A">
          <w:rPr>
            <w:rStyle w:val="Hyperlink"/>
            <w:szCs w:val="24"/>
            <w:lang w:val="es-ES"/>
          </w:rPr>
          <w:t>R65</w:t>
        </w:r>
      </w:hyperlink>
      <w:r w:rsidRPr="00134F0A">
        <w:rPr>
          <w:lang w:val="es-ES"/>
        </w:rPr>
        <w:t>]</w:t>
      </w:r>
    </w:p>
    <w:p w14:paraId="41552247" w14:textId="77777777" w:rsidR="000615E7" w:rsidRPr="00134F0A" w:rsidRDefault="000615E7" w:rsidP="000615E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jc w:val="both"/>
        <w:rPr>
          <w:rFonts w:eastAsia="MS Mincho" w:cstheme="minorHAnsi"/>
          <w:szCs w:val="24"/>
          <w:lang w:val="es-ES"/>
        </w:rPr>
      </w:pPr>
      <w:r w:rsidRPr="00134F0A">
        <w:rPr>
          <w:rFonts w:eastAsia="MS Mincho" w:cstheme="minorHAnsi"/>
          <w:szCs w:val="24"/>
          <w:lang w:val="es-ES"/>
        </w:rPr>
        <w:t>Supervisión de referencia de servicios de análisis en línea</w:t>
      </w:r>
    </w:p>
    <w:p w14:paraId="7A10DC93" w14:textId="77777777" w:rsidR="000615E7" w:rsidRPr="00134F0A" w:rsidRDefault="000615E7" w:rsidP="00C83B23">
      <w:pPr>
        <w:pStyle w:val="Headingb0"/>
        <w:rPr>
          <w:lang w:val="es-ES"/>
        </w:rPr>
      </w:pPr>
      <w:r w:rsidRPr="00134F0A">
        <w:rPr>
          <w:lang w:val="es-ES"/>
        </w:rPr>
        <w:t>Resumen</w:t>
      </w:r>
    </w:p>
    <w:p w14:paraId="73EAEAFC" w14:textId="77777777" w:rsidR="000615E7" w:rsidRPr="00134F0A" w:rsidRDefault="000615E7" w:rsidP="00C83B23">
      <w:pPr>
        <w:rPr>
          <w:rFonts w:eastAsia="MS Mincho"/>
          <w:b/>
          <w:lang w:val="es-ES"/>
        </w:rPr>
      </w:pPr>
      <w:r w:rsidRPr="00134F0A">
        <w:rPr>
          <w:rFonts w:eastAsia="MS Mincho"/>
          <w:lang w:val="es-ES"/>
        </w:rPr>
        <w:t>El servicio de análisis de macrodatos se basa en datos no estructurados y no definidos, como datos sobre el comportamiento de los usuarios o sobre la adquisición, el pago, la ubicación y el consumo de diferentes contenidos de Internet. Puede aportar conocimientos nuevos que no se habían descubierto previamente y predice los estados futuros. Sin embargo, cabe la posibilidad de que se haga un uso malicioso de algunos datos no autorizados durante el proceso de análisis.</w:t>
      </w:r>
    </w:p>
    <w:p w14:paraId="1645C1DB" w14:textId="77777777" w:rsidR="000615E7" w:rsidRPr="00134F0A" w:rsidRDefault="000615E7" w:rsidP="000615E7">
      <w:pPr>
        <w:pStyle w:val="Heading1"/>
        <w:ind w:left="0" w:firstLine="0"/>
        <w:rPr>
          <w:rFonts w:eastAsia="MS Mincho" w:cstheme="minorHAnsi"/>
          <w:b w:val="0"/>
          <w:szCs w:val="24"/>
          <w:lang w:val="es-ES"/>
        </w:rPr>
      </w:pPr>
      <w:r w:rsidRPr="00134F0A">
        <w:rPr>
          <w:rFonts w:eastAsia="MS Mincho" w:cstheme="minorHAnsi"/>
          <w:b w:val="0"/>
          <w:szCs w:val="24"/>
          <w:lang w:val="es-ES"/>
        </w:rPr>
        <w:lastRenderedPageBreak/>
        <w:t>En esta Recomendación se describe la supervisión de referencia aplicable en el análisis y las operaciones de macrodatos a fin de detectar el uso de datos no autorizados. Además, se analizan las amenazas y los problemas de seguridad del análisis de macrodatos y se describen las consideraciones de seguridad que podrían mitigar estas amenazas y contrarrestar los problemas de seguridad mediante mecanismos de control de acceso. Se facilita una metodología de supervisión de referencia basada en el control de acceso para determinar qué capacidades de seguridad se requieren para mitigar las amenazas de seguridad y contrarrestar los problemas de seguridad en el análisis de macrodatos.</w:t>
      </w:r>
    </w:p>
    <w:p w14:paraId="0D2AAF3A" w14:textId="73935AC9" w:rsidR="000615E7" w:rsidRPr="00134F0A" w:rsidRDefault="000615E7" w:rsidP="00C83B23">
      <w:pPr>
        <w:pStyle w:val="Heading1"/>
        <w:rPr>
          <w:lang w:val="es-ES"/>
        </w:rPr>
      </w:pPr>
      <w:r w:rsidRPr="00134F0A">
        <w:rPr>
          <w:lang w:val="es-ES"/>
        </w:rPr>
        <w:t>7</w:t>
      </w:r>
      <w:r w:rsidRPr="00134F0A">
        <w:rPr>
          <w:lang w:val="es-ES"/>
        </w:rPr>
        <w:tab/>
        <w:t>Proyecto de nueva Recomendación UIT-T X.1819 (X.5Gsec-netec) [</w:t>
      </w:r>
      <w:hyperlink r:id="rId19" w:history="1">
        <w:r w:rsidRPr="00134F0A">
          <w:rPr>
            <w:rStyle w:val="Hyperlink"/>
            <w:szCs w:val="24"/>
            <w:lang w:val="es-ES"/>
          </w:rPr>
          <w:t>R60</w:t>
        </w:r>
      </w:hyperlink>
      <w:r w:rsidRPr="00134F0A">
        <w:rPr>
          <w:lang w:val="es-ES"/>
        </w:rPr>
        <w:t>]</w:t>
      </w:r>
    </w:p>
    <w:p w14:paraId="3990EE2E" w14:textId="77777777" w:rsidR="000615E7" w:rsidRPr="00134F0A" w:rsidRDefault="000615E7" w:rsidP="000615E7">
      <w:pPr>
        <w:rPr>
          <w:szCs w:val="24"/>
          <w:lang w:val="es-ES"/>
        </w:rPr>
      </w:pPr>
      <w:r w:rsidRPr="00134F0A">
        <w:rPr>
          <w:szCs w:val="24"/>
          <w:lang w:val="es-ES"/>
        </w:rPr>
        <w:t>Funciones de seguridad de la capa de red para computación periférica IMT-2020/5G</w:t>
      </w:r>
    </w:p>
    <w:p w14:paraId="080E37B3" w14:textId="77777777" w:rsidR="000615E7" w:rsidRPr="00134F0A" w:rsidRDefault="000615E7" w:rsidP="00C83B23">
      <w:pPr>
        <w:pStyle w:val="Headingb0"/>
        <w:rPr>
          <w:lang w:val="es-ES"/>
        </w:rPr>
      </w:pPr>
      <w:r w:rsidRPr="00134F0A">
        <w:rPr>
          <w:lang w:val="es-ES"/>
        </w:rPr>
        <w:t>Resumen</w:t>
      </w:r>
    </w:p>
    <w:p w14:paraId="247B9177" w14:textId="28775AAB" w:rsidR="000615E7" w:rsidRPr="00134F0A" w:rsidRDefault="000615E7" w:rsidP="00C83B23">
      <w:pPr>
        <w:rPr>
          <w:rFonts w:eastAsia="SimSun" w:cstheme="minorHAnsi"/>
          <w:szCs w:val="24"/>
          <w:highlight w:val="yellow"/>
          <w:lang w:val="es-ES" w:eastAsia="zh-CN"/>
        </w:rPr>
      </w:pPr>
      <w:r w:rsidRPr="00134F0A">
        <w:rPr>
          <w:rFonts w:eastAsia="SimSun" w:cstheme="minorHAnsi"/>
          <w:szCs w:val="24"/>
          <w:lang w:val="es-ES" w:eastAsia="zh-CN"/>
        </w:rPr>
        <w:t>La computación periférica para redes IMT-2020/5G (5G EC) desempeñará un papel clave en servicios de baja latencia y servicios de descarga de tráfico en las próximas generaciones de redes</w:t>
      </w:r>
      <w:r w:rsidR="00C83B23" w:rsidRPr="00134F0A">
        <w:rPr>
          <w:rFonts w:eastAsia="SimSun" w:cstheme="minorHAnsi"/>
          <w:szCs w:val="24"/>
          <w:lang w:val="es-ES" w:eastAsia="zh-CN"/>
        </w:rPr>
        <w:t> </w:t>
      </w:r>
      <w:r w:rsidRPr="00134F0A">
        <w:rPr>
          <w:rFonts w:eastAsia="SimSun" w:cstheme="minorHAnsi"/>
          <w:szCs w:val="24"/>
          <w:lang w:val="es-ES" w:eastAsia="zh-CN"/>
        </w:rPr>
        <w:t>IMT. Existen varios factores destacados que podrían dar lugar a un aumento de la complejidad y de los riesgos de seguridad de la capa de red que soporta las 5G EC, o plantear nuevos retos de seguridad en la red. Dichos factores incluyen arquitecturas de red flexibles IMT</w:t>
      </w:r>
      <w:r w:rsidR="00C83B23" w:rsidRPr="00134F0A">
        <w:rPr>
          <w:rFonts w:eastAsia="SimSun" w:cstheme="minorHAnsi"/>
          <w:szCs w:val="24"/>
          <w:lang w:val="es-ES" w:eastAsia="zh-CN"/>
        </w:rPr>
        <w:noBreakHyphen/>
      </w:r>
      <w:r w:rsidRPr="00134F0A">
        <w:rPr>
          <w:rFonts w:eastAsia="SimSun" w:cstheme="minorHAnsi"/>
          <w:szCs w:val="24"/>
          <w:lang w:val="es-ES" w:eastAsia="zh-CN"/>
        </w:rPr>
        <w:t>2020/5G, estructuras de despliegue de EC variables y la existencia de diversos escenarios de aplicación y de varios tipos de redes privadas y de acceso de clientes, entre otros. Los límites entre las redes de telecomunicaciones y las redes privadas serían menos claros, y su exposición sería mayor. En consecuencia, cabe especificar los requisitos y las medidas de seguridad de la capa de red, incluidas las redes de telecomunicaciones y las redes privadas.</w:t>
      </w:r>
    </w:p>
    <w:p w14:paraId="338847FD" w14:textId="0E972838" w:rsidR="000615E7" w:rsidRPr="00134F0A" w:rsidRDefault="000615E7" w:rsidP="00C83B23">
      <w:pPr>
        <w:pStyle w:val="Heading1"/>
        <w:rPr>
          <w:lang w:val="es-ES"/>
        </w:rPr>
      </w:pPr>
      <w:r w:rsidRPr="00134F0A">
        <w:rPr>
          <w:lang w:val="es-ES"/>
        </w:rPr>
        <w:t>8</w:t>
      </w:r>
      <w:r w:rsidRPr="00134F0A">
        <w:rPr>
          <w:lang w:val="es-ES"/>
        </w:rPr>
        <w:tab/>
        <w:t>Proyecto de nueva Recomendación UIT-T X.1820 (X.5Gsec-srocvs) [</w:t>
      </w:r>
      <w:hyperlink r:id="rId20" w:history="1">
        <w:r w:rsidRPr="00134F0A">
          <w:rPr>
            <w:rStyle w:val="Hyperlink"/>
            <w:szCs w:val="24"/>
            <w:lang w:val="es-ES"/>
          </w:rPr>
          <w:t>R61</w:t>
        </w:r>
      </w:hyperlink>
      <w:r w:rsidRPr="00134F0A">
        <w:rPr>
          <w:lang w:val="es-ES"/>
        </w:rPr>
        <w:t>]</w:t>
      </w:r>
    </w:p>
    <w:p w14:paraId="0E3E92E0" w14:textId="77777777" w:rsidR="000615E7" w:rsidRPr="00134F0A" w:rsidRDefault="000615E7" w:rsidP="000615E7">
      <w:pPr>
        <w:rPr>
          <w:szCs w:val="24"/>
          <w:lang w:val="es-ES"/>
        </w:rPr>
      </w:pPr>
      <w:r w:rsidRPr="00134F0A">
        <w:rPr>
          <w:szCs w:val="24"/>
          <w:lang w:val="es-ES"/>
        </w:rPr>
        <w:t>Requisitos de seguridad para la explotación de la red medular IMT-2020/5G en apoyo de los servicios verticales</w:t>
      </w:r>
    </w:p>
    <w:p w14:paraId="11954650" w14:textId="77777777" w:rsidR="000615E7" w:rsidRPr="00134F0A" w:rsidRDefault="000615E7" w:rsidP="00C83B23">
      <w:pPr>
        <w:pStyle w:val="Headingb0"/>
        <w:rPr>
          <w:lang w:val="es-ES"/>
        </w:rPr>
      </w:pPr>
      <w:r w:rsidRPr="00134F0A">
        <w:rPr>
          <w:lang w:val="es-ES"/>
        </w:rPr>
        <w:t>Resumen</w:t>
      </w:r>
    </w:p>
    <w:p w14:paraId="26B7219D" w14:textId="77777777" w:rsidR="000615E7" w:rsidRPr="00134F0A" w:rsidRDefault="000615E7" w:rsidP="00C83B23">
      <w:pPr>
        <w:rPr>
          <w:rFonts w:eastAsia="SimSun" w:cstheme="minorHAnsi"/>
          <w:szCs w:val="24"/>
          <w:lang w:val="es-ES" w:eastAsia="zh-CN"/>
        </w:rPr>
      </w:pPr>
      <w:r w:rsidRPr="00134F0A">
        <w:rPr>
          <w:rFonts w:eastAsia="SimSun" w:cstheme="minorHAnsi"/>
          <w:szCs w:val="24"/>
          <w:lang w:val="es-ES" w:eastAsia="zh-CN"/>
        </w:rPr>
        <w:t>Con el desarrollo del sistema IMT</w:t>
      </w:r>
      <w:r w:rsidRPr="00134F0A">
        <w:rPr>
          <w:rFonts w:eastAsia="SimSun" w:cstheme="minorHAnsi"/>
          <w:szCs w:val="24"/>
          <w:lang w:val="es-ES" w:eastAsia="zh-CN"/>
        </w:rPr>
        <w:noBreakHyphen/>
        <w:t>2020/5G, los servicios verticales han adquirido una importancia clave como escenarios de la IMT</w:t>
      </w:r>
      <w:r w:rsidRPr="00134F0A">
        <w:rPr>
          <w:rFonts w:eastAsia="SimSun" w:cstheme="minorHAnsi"/>
          <w:szCs w:val="24"/>
          <w:lang w:val="es-ES" w:eastAsia="zh-CN"/>
        </w:rPr>
        <w:noBreakHyphen/>
        <w:t>2020/5G. En el caso de los servicios verticales para fábricas inteligentes y ciudades inteligentes que utilizan una red IMT</w:t>
      </w:r>
      <w:r w:rsidRPr="00134F0A">
        <w:rPr>
          <w:rFonts w:eastAsia="SimSun" w:cstheme="minorHAnsi"/>
          <w:szCs w:val="24"/>
          <w:lang w:val="es-ES" w:eastAsia="zh-CN"/>
        </w:rPr>
        <w:noBreakHyphen/>
        <w:t>2020/5G, muchos dispositivos de usuario utilizan servicios verticales con comunicaciones masivas tipo máquina y comunicaciones ultrafiables y de ultrabaja latencia (URLLC).</w:t>
      </w:r>
    </w:p>
    <w:p w14:paraId="5A914080" w14:textId="77777777" w:rsidR="000615E7" w:rsidRPr="00134F0A" w:rsidRDefault="000615E7" w:rsidP="00C83B23">
      <w:pPr>
        <w:rPr>
          <w:rFonts w:eastAsia="SimSun" w:cstheme="minorHAnsi"/>
          <w:szCs w:val="24"/>
          <w:lang w:val="es-ES" w:eastAsia="zh-CN"/>
        </w:rPr>
      </w:pPr>
      <w:r w:rsidRPr="00134F0A">
        <w:rPr>
          <w:rFonts w:eastAsia="SimSun" w:cstheme="minorHAnsi"/>
          <w:szCs w:val="24"/>
          <w:lang w:val="es-ES" w:eastAsia="zh-CN"/>
        </w:rPr>
        <w:t>Como apoyo a los casos de uso verticales que requieren URLLC, cabe la posibilidad de desplegar algunas funciones de la red medular IMT</w:t>
      </w:r>
      <w:r w:rsidRPr="00134F0A">
        <w:rPr>
          <w:rFonts w:eastAsia="SimSun" w:cstheme="minorHAnsi"/>
          <w:szCs w:val="24"/>
          <w:lang w:val="es-ES" w:eastAsia="zh-CN"/>
        </w:rPr>
        <w:noBreakHyphen/>
        <w:t>2020/5G en emplazamientos locales más cercanos a los usuarios verticales, mientras otras funciones de la red medular IMT</w:t>
      </w:r>
      <w:r w:rsidRPr="00134F0A">
        <w:rPr>
          <w:rFonts w:eastAsia="SimSun" w:cstheme="minorHAnsi"/>
          <w:szCs w:val="24"/>
          <w:lang w:val="es-ES" w:eastAsia="zh-CN"/>
        </w:rPr>
        <w:noBreakHyphen/>
        <w:t>2020/5G continúan desplegadas en un emplazamiento central. A diferencia de la red medular IMT</w:t>
      </w:r>
      <w:r w:rsidRPr="00134F0A">
        <w:rPr>
          <w:rFonts w:eastAsia="SimSun" w:cstheme="minorHAnsi"/>
          <w:szCs w:val="24"/>
          <w:lang w:val="es-ES" w:eastAsia="zh-CN"/>
        </w:rPr>
        <w:noBreakHyphen/>
        <w:t>2020/5G desplegada como conjunto, las redes medulares IMT</w:t>
      </w:r>
      <w:r w:rsidRPr="00134F0A">
        <w:rPr>
          <w:rFonts w:eastAsia="SimSun" w:cstheme="minorHAnsi"/>
          <w:szCs w:val="24"/>
          <w:lang w:val="es-ES" w:eastAsia="zh-CN"/>
        </w:rPr>
        <w:noBreakHyphen/>
        <w:t xml:space="preserve">2020/5G que funcionan en esa configuración pueden enfrentarse a amenazas de seguridad específicas. </w:t>
      </w:r>
    </w:p>
    <w:p w14:paraId="11645EBF" w14:textId="77777777" w:rsidR="000615E7" w:rsidRPr="00134F0A" w:rsidRDefault="000615E7" w:rsidP="00C83B23">
      <w:pPr>
        <w:rPr>
          <w:rFonts w:eastAsia="SimSun" w:cstheme="minorHAnsi"/>
          <w:szCs w:val="24"/>
          <w:lang w:val="es-ES" w:eastAsia="zh-CN"/>
        </w:rPr>
      </w:pPr>
      <w:r w:rsidRPr="00134F0A">
        <w:rPr>
          <w:rFonts w:eastAsia="SimSun" w:cstheme="minorHAnsi"/>
          <w:szCs w:val="24"/>
          <w:lang w:val="es-ES" w:eastAsia="zh-CN"/>
        </w:rPr>
        <w:t>A fin de garantizar la seguridad durante la explotación de la red medular IMT</w:t>
      </w:r>
      <w:r w:rsidRPr="00134F0A">
        <w:rPr>
          <w:rFonts w:eastAsia="SimSun" w:cstheme="minorHAnsi"/>
          <w:szCs w:val="24"/>
          <w:lang w:val="es-ES" w:eastAsia="zh-CN"/>
        </w:rPr>
        <w:noBreakHyphen/>
        <w:t>2020/5G en apoyo de los servicios verticales, es preciso analizar las amenazas de seguridad específicas y definir los requisitos de seguridad pertinentes.</w:t>
      </w:r>
    </w:p>
    <w:p w14:paraId="52937C9C" w14:textId="09D3E423" w:rsidR="000615E7" w:rsidRPr="00134F0A" w:rsidRDefault="000615E7" w:rsidP="00C83B23">
      <w:pPr>
        <w:rPr>
          <w:rFonts w:eastAsia="SimSun" w:cstheme="minorHAnsi"/>
          <w:szCs w:val="24"/>
          <w:lang w:val="es-ES" w:eastAsia="zh-CN"/>
        </w:rPr>
      </w:pPr>
      <w:r w:rsidRPr="00134F0A">
        <w:rPr>
          <w:rFonts w:eastAsia="SimSun" w:cstheme="minorHAnsi"/>
          <w:szCs w:val="24"/>
          <w:lang w:val="es-ES" w:eastAsia="zh-CN"/>
        </w:rPr>
        <w:t>En esta Recomendación se analizan las amenazas de seguridad de datos, las amenazas de seguridad de red y las amenazas de seguridad física que son específicas de la red medular IMT</w:t>
      </w:r>
      <w:r w:rsidR="00C83B23" w:rsidRPr="00134F0A">
        <w:rPr>
          <w:rFonts w:eastAsia="SimSun" w:cstheme="minorHAnsi"/>
          <w:szCs w:val="24"/>
          <w:lang w:val="es-ES" w:eastAsia="zh-CN"/>
        </w:rPr>
        <w:noBreakHyphen/>
      </w:r>
      <w:r w:rsidRPr="00134F0A">
        <w:rPr>
          <w:rFonts w:eastAsia="SimSun" w:cstheme="minorHAnsi"/>
          <w:szCs w:val="24"/>
          <w:lang w:val="es-ES" w:eastAsia="zh-CN"/>
        </w:rPr>
        <w:t xml:space="preserve">2020/5G, la cual se encuentra desplegada tanto en un emplazamiento central como en </w:t>
      </w:r>
      <w:r w:rsidRPr="00134F0A">
        <w:rPr>
          <w:rFonts w:eastAsia="SimSun" w:cstheme="minorHAnsi"/>
          <w:szCs w:val="24"/>
          <w:lang w:val="es-ES" w:eastAsia="zh-CN"/>
        </w:rPr>
        <w:lastRenderedPageBreak/>
        <w:t>emplazamientos locales en apoyo de los servicios verticales. Además, se especifican los requisitos de seguridad aplicables.</w:t>
      </w:r>
    </w:p>
    <w:p w14:paraId="7F20417D" w14:textId="77777777" w:rsidR="000615E7" w:rsidRPr="00134F0A" w:rsidRDefault="000615E7" w:rsidP="000615E7">
      <w:pPr>
        <w:textAlignment w:val="auto"/>
        <w:rPr>
          <w:rFonts w:cstheme="minorHAnsi"/>
          <w:szCs w:val="24"/>
          <w:lang w:val="es-ES"/>
        </w:rPr>
      </w:pPr>
      <w:r w:rsidRPr="00134F0A">
        <w:rPr>
          <w:rFonts w:cstheme="minorHAnsi"/>
          <w:szCs w:val="24"/>
          <w:lang w:val="es-ES"/>
        </w:rPr>
        <w:t>Este proyecto de texto determinado incluye referencias normativas que requieren una justificación UIT-T A.5, la cual puede encontrarse en SG17-</w:t>
      </w:r>
      <w:hyperlink r:id="rId21" w:history="1">
        <w:r w:rsidRPr="00134F0A">
          <w:rPr>
            <w:rStyle w:val="Hyperlink"/>
            <w:rFonts w:cstheme="minorHAnsi"/>
            <w:szCs w:val="24"/>
            <w:lang w:val="es-ES"/>
          </w:rPr>
          <w:t>TD1739</w:t>
        </w:r>
      </w:hyperlink>
      <w:r w:rsidRPr="00134F0A">
        <w:rPr>
          <w:rFonts w:cstheme="minorHAnsi"/>
          <w:szCs w:val="24"/>
          <w:lang w:val="es-ES"/>
        </w:rPr>
        <w:t>.</w:t>
      </w:r>
    </w:p>
    <w:p w14:paraId="137D49EE" w14:textId="77777777" w:rsidR="000615E7" w:rsidRPr="00134F0A" w:rsidRDefault="000615E7" w:rsidP="000615E7">
      <w:pPr>
        <w:pStyle w:val="Annextitle0"/>
        <w:spacing w:before="120" w:after="120"/>
        <w:rPr>
          <w:lang w:val="es-ES"/>
        </w:rPr>
      </w:pPr>
      <w:r w:rsidRPr="00134F0A">
        <w:rPr>
          <w:highlight w:val="cyan"/>
          <w:lang w:val="es-ES"/>
        </w:rPr>
        <w:br w:type="page"/>
      </w:r>
      <w:r w:rsidRPr="00134F0A">
        <w:rPr>
          <w:lang w:val="es-ES"/>
        </w:rPr>
        <w:lastRenderedPageBreak/>
        <w:t>Anexo 2</w:t>
      </w:r>
    </w:p>
    <w:p w14:paraId="4889EA21" w14:textId="77777777" w:rsidR="000615E7" w:rsidRPr="00134F0A" w:rsidRDefault="000615E7" w:rsidP="000615E7">
      <w:pPr>
        <w:pStyle w:val="Annextitle0"/>
        <w:spacing w:before="120" w:after="360"/>
        <w:rPr>
          <w:rFonts w:cstheme="minorHAnsi"/>
          <w:szCs w:val="22"/>
          <w:lang w:val="es-ES"/>
        </w:rPr>
      </w:pPr>
      <w:r w:rsidRPr="00134F0A">
        <w:rPr>
          <w:lang w:val="es-ES"/>
        </w:rPr>
        <w:t>Asunto: Respuesta de Estado Miembro a la Circular TSB 195:</w:t>
      </w:r>
      <w:r w:rsidRPr="00134F0A">
        <w:rPr>
          <w:lang w:val="es-ES"/>
        </w:rPr>
        <w:br/>
      </w:r>
      <w:r w:rsidRPr="00134F0A">
        <w:rPr>
          <w:rFonts w:cstheme="minorHAnsi"/>
          <w:szCs w:val="22"/>
          <w:lang w:val="es-ES"/>
        </w:rPr>
        <w:t>Consulta sobre los proyectos de nuevas Recomendaciones determinadas UIT-T X.1237 (X.tsfpp), X.1283 (X.gpwd), X.1353 (X.ztd-iot), X.1354 (X.sc-iot), X.1384 (X.itssec-5), X.1471 (X.websec-7), X.1819 (X.5Gsec-netec) y X.1820 (X.5Gsec-srocvs)</w:t>
      </w:r>
    </w:p>
    <w:tbl>
      <w:tblPr>
        <w:tblW w:w="9957" w:type="dxa"/>
        <w:tblInd w:w="-176" w:type="dxa"/>
        <w:tblLayout w:type="fixed"/>
        <w:tblLook w:val="04A0" w:firstRow="1" w:lastRow="0" w:firstColumn="1" w:lastColumn="0" w:noHBand="0" w:noVBand="1"/>
      </w:tblPr>
      <w:tblGrid>
        <w:gridCol w:w="1277"/>
        <w:gridCol w:w="3827"/>
        <w:gridCol w:w="1417"/>
        <w:gridCol w:w="3436"/>
      </w:tblGrid>
      <w:tr w:rsidR="000615E7" w:rsidRPr="00134F0A" w14:paraId="3A634339" w14:textId="77777777" w:rsidTr="00E05D3F">
        <w:tc>
          <w:tcPr>
            <w:tcW w:w="1277" w:type="dxa"/>
            <w:shd w:val="clear" w:color="auto" w:fill="auto"/>
          </w:tcPr>
          <w:p w14:paraId="6DE7D671" w14:textId="77777777" w:rsidR="000615E7" w:rsidRPr="00134F0A" w:rsidRDefault="000615E7" w:rsidP="00E05D3F">
            <w:pPr>
              <w:rPr>
                <w:szCs w:val="24"/>
                <w:lang w:val="es-ES"/>
              </w:rPr>
            </w:pPr>
            <w:r w:rsidRPr="00134F0A">
              <w:rPr>
                <w:b/>
                <w:bCs/>
                <w:szCs w:val="24"/>
                <w:lang w:val="es-ES"/>
              </w:rPr>
              <w:t>A</w:t>
            </w:r>
            <w:r w:rsidRPr="00134F0A">
              <w:rPr>
                <w:szCs w:val="24"/>
                <w:lang w:val="es-ES"/>
              </w:rPr>
              <w:t>:</w:t>
            </w:r>
          </w:p>
        </w:tc>
        <w:tc>
          <w:tcPr>
            <w:tcW w:w="3827" w:type="dxa"/>
            <w:tcBorders>
              <w:right w:val="single" w:sz="8" w:space="0" w:color="auto"/>
            </w:tcBorders>
            <w:shd w:val="clear" w:color="auto" w:fill="auto"/>
          </w:tcPr>
          <w:p w14:paraId="721AA0D0" w14:textId="77777777" w:rsidR="000615E7" w:rsidRPr="00134F0A" w:rsidRDefault="000615E7" w:rsidP="00224738">
            <w:pPr>
              <w:rPr>
                <w:szCs w:val="24"/>
                <w:lang w:val="es-ES"/>
              </w:rPr>
            </w:pPr>
            <w:bookmarkStart w:id="16" w:name="lt_pId115"/>
            <w:r w:rsidRPr="00134F0A">
              <w:rPr>
                <w:lang w:val="es-ES"/>
              </w:rPr>
              <w:t xml:space="preserve">Director </w:t>
            </w:r>
            <w:bookmarkEnd w:id="16"/>
            <w:r w:rsidRPr="00134F0A">
              <w:rPr>
                <w:lang w:val="es-ES"/>
              </w:rPr>
              <w:t>de la Oficina de</w:t>
            </w:r>
            <w:r w:rsidRPr="00134F0A">
              <w:rPr>
                <w:szCs w:val="24"/>
                <w:lang w:val="es-ES"/>
              </w:rPr>
              <w:br/>
              <w:t>Normalización de las Telecomunicaciones,</w:t>
            </w:r>
          </w:p>
          <w:p w14:paraId="02983DD5" w14:textId="77777777" w:rsidR="000615E7" w:rsidRPr="00134F0A" w:rsidRDefault="000615E7" w:rsidP="00224738">
            <w:pPr>
              <w:spacing w:before="0"/>
              <w:rPr>
                <w:szCs w:val="24"/>
                <w:lang w:val="es-ES"/>
              </w:rPr>
            </w:pPr>
            <w:r w:rsidRPr="00134F0A">
              <w:rPr>
                <w:szCs w:val="24"/>
                <w:lang w:val="es-ES"/>
              </w:rPr>
              <w:t>Unión Internacional de Telecomunicaciones</w:t>
            </w:r>
          </w:p>
          <w:p w14:paraId="2588C802" w14:textId="77777777" w:rsidR="000615E7" w:rsidRPr="00134F0A" w:rsidRDefault="000615E7" w:rsidP="00224738">
            <w:pPr>
              <w:spacing w:before="0"/>
              <w:rPr>
                <w:szCs w:val="24"/>
                <w:lang w:val="es-ES"/>
              </w:rPr>
            </w:pPr>
            <w:r w:rsidRPr="00134F0A">
              <w:rPr>
                <w:szCs w:val="24"/>
                <w:lang w:val="es-ES"/>
              </w:rPr>
              <w:t>Place des Nations</w:t>
            </w:r>
          </w:p>
          <w:p w14:paraId="0B6DADFA" w14:textId="77777777" w:rsidR="000615E7" w:rsidRPr="00134F0A" w:rsidRDefault="000615E7" w:rsidP="00224738">
            <w:pPr>
              <w:spacing w:before="0"/>
              <w:rPr>
                <w:szCs w:val="24"/>
                <w:lang w:val="es-ES"/>
              </w:rPr>
            </w:pPr>
            <w:r w:rsidRPr="00134F0A">
              <w:rPr>
                <w:szCs w:val="24"/>
                <w:lang w:val="es-ES"/>
              </w:rPr>
              <w:t>CH 1211 Ginebra 20, Suiza</w:t>
            </w:r>
          </w:p>
        </w:tc>
        <w:tc>
          <w:tcPr>
            <w:tcW w:w="1417" w:type="dxa"/>
            <w:tcBorders>
              <w:left w:val="single" w:sz="8" w:space="0" w:color="auto"/>
            </w:tcBorders>
            <w:shd w:val="clear" w:color="auto" w:fill="auto"/>
          </w:tcPr>
          <w:p w14:paraId="09B8119C" w14:textId="77777777" w:rsidR="000615E7" w:rsidRPr="00134F0A" w:rsidRDefault="000615E7" w:rsidP="00E05D3F">
            <w:pPr>
              <w:rPr>
                <w:szCs w:val="24"/>
                <w:lang w:val="es-ES"/>
              </w:rPr>
            </w:pPr>
            <w:r w:rsidRPr="00134F0A">
              <w:rPr>
                <w:b/>
                <w:bCs/>
                <w:szCs w:val="24"/>
                <w:lang w:val="es-ES"/>
              </w:rPr>
              <w:t>De</w:t>
            </w:r>
            <w:r w:rsidRPr="00134F0A">
              <w:rPr>
                <w:szCs w:val="24"/>
                <w:lang w:val="es-ES"/>
              </w:rPr>
              <w:t>:</w:t>
            </w:r>
          </w:p>
        </w:tc>
        <w:tc>
          <w:tcPr>
            <w:tcW w:w="3436" w:type="dxa"/>
            <w:shd w:val="clear" w:color="auto" w:fill="auto"/>
          </w:tcPr>
          <w:p w14:paraId="75885394" w14:textId="77777777" w:rsidR="000615E7" w:rsidRPr="00134F0A" w:rsidRDefault="000615E7" w:rsidP="00224738">
            <w:pPr>
              <w:rPr>
                <w:szCs w:val="24"/>
                <w:highlight w:val="green"/>
                <w:lang w:val="es-ES"/>
              </w:rPr>
            </w:pPr>
            <w:r w:rsidRPr="00134F0A">
              <w:rPr>
                <w:szCs w:val="24"/>
                <w:highlight w:val="green"/>
                <w:lang w:val="es-ES"/>
              </w:rPr>
              <w:t>[Nombre]</w:t>
            </w:r>
          </w:p>
          <w:p w14:paraId="09FB40AA" w14:textId="77777777" w:rsidR="000615E7" w:rsidRPr="00134F0A" w:rsidRDefault="000615E7" w:rsidP="00224738">
            <w:pPr>
              <w:spacing w:before="0"/>
              <w:rPr>
                <w:szCs w:val="24"/>
                <w:highlight w:val="green"/>
                <w:lang w:val="es-ES"/>
              </w:rPr>
            </w:pPr>
            <w:r w:rsidRPr="00134F0A">
              <w:rPr>
                <w:szCs w:val="24"/>
                <w:highlight w:val="green"/>
                <w:lang w:val="es-ES"/>
              </w:rPr>
              <w:t>[Cargo oficial /título]</w:t>
            </w:r>
          </w:p>
          <w:p w14:paraId="06EC82D1" w14:textId="77777777" w:rsidR="000615E7" w:rsidRPr="00134F0A" w:rsidRDefault="000615E7" w:rsidP="00224738">
            <w:pPr>
              <w:spacing w:before="0"/>
              <w:rPr>
                <w:szCs w:val="24"/>
                <w:lang w:val="es-ES"/>
              </w:rPr>
            </w:pPr>
            <w:r w:rsidRPr="00134F0A">
              <w:rPr>
                <w:szCs w:val="24"/>
                <w:highlight w:val="green"/>
                <w:lang w:val="es-ES"/>
              </w:rPr>
              <w:t>[Dirección]</w:t>
            </w:r>
          </w:p>
        </w:tc>
      </w:tr>
      <w:tr w:rsidR="000615E7" w:rsidRPr="00134F0A" w14:paraId="424553E4" w14:textId="77777777" w:rsidTr="00E05D3F">
        <w:tc>
          <w:tcPr>
            <w:tcW w:w="1277" w:type="dxa"/>
            <w:shd w:val="clear" w:color="auto" w:fill="auto"/>
          </w:tcPr>
          <w:p w14:paraId="0D16BD7F" w14:textId="77777777" w:rsidR="000615E7" w:rsidRPr="00134F0A" w:rsidRDefault="000615E7" w:rsidP="00E05D3F">
            <w:pPr>
              <w:spacing w:before="0"/>
              <w:rPr>
                <w:szCs w:val="24"/>
                <w:lang w:val="es-ES"/>
              </w:rPr>
            </w:pPr>
            <w:r w:rsidRPr="00134F0A">
              <w:rPr>
                <w:b/>
                <w:bCs/>
                <w:szCs w:val="24"/>
                <w:lang w:val="es-ES"/>
              </w:rPr>
              <w:t>Fax</w:t>
            </w:r>
            <w:r w:rsidRPr="00134F0A">
              <w:rPr>
                <w:szCs w:val="24"/>
                <w:lang w:val="es-ES"/>
              </w:rPr>
              <w:t>:</w:t>
            </w:r>
          </w:p>
          <w:p w14:paraId="3C70782B" w14:textId="77777777" w:rsidR="000615E7" w:rsidRPr="00134F0A" w:rsidRDefault="000615E7" w:rsidP="00E05D3F">
            <w:pPr>
              <w:spacing w:before="0"/>
              <w:rPr>
                <w:szCs w:val="24"/>
                <w:lang w:val="es-ES"/>
              </w:rPr>
            </w:pPr>
            <w:r w:rsidRPr="00134F0A">
              <w:rPr>
                <w:b/>
                <w:bCs/>
                <w:szCs w:val="24"/>
                <w:lang w:val="es-ES"/>
              </w:rPr>
              <w:t>Correo-e</w:t>
            </w:r>
            <w:r w:rsidRPr="00134F0A">
              <w:rPr>
                <w:szCs w:val="24"/>
                <w:lang w:val="es-ES"/>
              </w:rPr>
              <w:t>:</w:t>
            </w:r>
          </w:p>
        </w:tc>
        <w:tc>
          <w:tcPr>
            <w:tcW w:w="3827" w:type="dxa"/>
            <w:tcBorders>
              <w:right w:val="single" w:sz="8" w:space="0" w:color="auto"/>
            </w:tcBorders>
            <w:shd w:val="clear" w:color="auto" w:fill="auto"/>
          </w:tcPr>
          <w:p w14:paraId="41BEEAF4" w14:textId="77777777" w:rsidR="000615E7" w:rsidRPr="00134F0A" w:rsidRDefault="000615E7" w:rsidP="00224738">
            <w:pPr>
              <w:spacing w:before="0"/>
              <w:rPr>
                <w:szCs w:val="24"/>
                <w:lang w:val="es-ES"/>
              </w:rPr>
            </w:pPr>
            <w:r w:rsidRPr="00134F0A">
              <w:rPr>
                <w:szCs w:val="24"/>
                <w:lang w:val="es-ES"/>
              </w:rPr>
              <w:t>+41-22-730-5853</w:t>
            </w:r>
          </w:p>
          <w:p w14:paraId="54486A9B" w14:textId="77777777" w:rsidR="000615E7" w:rsidRPr="00134F0A" w:rsidRDefault="00F166F3" w:rsidP="00224738">
            <w:pPr>
              <w:spacing w:before="0"/>
              <w:rPr>
                <w:szCs w:val="24"/>
                <w:lang w:val="es-ES"/>
              </w:rPr>
            </w:pPr>
            <w:hyperlink r:id="rId22" w:history="1">
              <w:r w:rsidR="000615E7" w:rsidRPr="00134F0A">
                <w:rPr>
                  <w:rStyle w:val="Hyperlink"/>
                  <w:szCs w:val="24"/>
                  <w:lang w:val="es-ES"/>
                </w:rPr>
                <w:t>tsbdir@itu.int</w:t>
              </w:r>
            </w:hyperlink>
            <w:r w:rsidR="000615E7" w:rsidRPr="00134F0A">
              <w:rPr>
                <w:szCs w:val="24"/>
                <w:lang w:val="es-ES"/>
              </w:rPr>
              <w:t xml:space="preserve"> </w:t>
            </w:r>
          </w:p>
        </w:tc>
        <w:tc>
          <w:tcPr>
            <w:tcW w:w="1417" w:type="dxa"/>
            <w:tcBorders>
              <w:left w:val="single" w:sz="8" w:space="0" w:color="auto"/>
            </w:tcBorders>
            <w:shd w:val="clear" w:color="auto" w:fill="auto"/>
          </w:tcPr>
          <w:p w14:paraId="792E9F96" w14:textId="77777777" w:rsidR="000615E7" w:rsidRPr="00134F0A" w:rsidRDefault="000615E7" w:rsidP="00E05D3F">
            <w:pPr>
              <w:spacing w:before="0"/>
              <w:rPr>
                <w:szCs w:val="24"/>
                <w:lang w:val="es-ES"/>
              </w:rPr>
            </w:pPr>
            <w:r w:rsidRPr="00134F0A">
              <w:rPr>
                <w:b/>
                <w:bCs/>
                <w:szCs w:val="24"/>
                <w:lang w:val="es-ES"/>
              </w:rPr>
              <w:t>Fax</w:t>
            </w:r>
            <w:r w:rsidRPr="00134F0A">
              <w:rPr>
                <w:szCs w:val="24"/>
                <w:lang w:val="es-ES"/>
              </w:rPr>
              <w:t>:</w:t>
            </w:r>
          </w:p>
          <w:p w14:paraId="0CAD312F" w14:textId="77777777" w:rsidR="000615E7" w:rsidRPr="00134F0A" w:rsidRDefault="000615E7" w:rsidP="00E05D3F">
            <w:pPr>
              <w:spacing w:before="0"/>
              <w:rPr>
                <w:szCs w:val="24"/>
                <w:lang w:val="es-ES"/>
              </w:rPr>
            </w:pPr>
            <w:r w:rsidRPr="00134F0A">
              <w:rPr>
                <w:b/>
                <w:bCs/>
                <w:szCs w:val="24"/>
                <w:lang w:val="es-ES"/>
              </w:rPr>
              <w:t>Correo-e</w:t>
            </w:r>
            <w:r w:rsidRPr="00134F0A">
              <w:rPr>
                <w:szCs w:val="24"/>
                <w:lang w:val="es-ES"/>
              </w:rPr>
              <w:t>:</w:t>
            </w:r>
          </w:p>
        </w:tc>
        <w:tc>
          <w:tcPr>
            <w:tcW w:w="3436" w:type="dxa"/>
            <w:shd w:val="clear" w:color="auto" w:fill="auto"/>
          </w:tcPr>
          <w:p w14:paraId="6B449CEE" w14:textId="77777777" w:rsidR="000615E7" w:rsidRPr="00134F0A" w:rsidRDefault="000615E7" w:rsidP="00224738">
            <w:pPr>
              <w:spacing w:before="0"/>
              <w:rPr>
                <w:szCs w:val="24"/>
                <w:lang w:val="es-ES"/>
              </w:rPr>
            </w:pPr>
          </w:p>
        </w:tc>
      </w:tr>
      <w:tr w:rsidR="000615E7" w:rsidRPr="00134F0A" w14:paraId="27C4DF5F" w14:textId="77777777" w:rsidTr="00E05D3F">
        <w:tc>
          <w:tcPr>
            <w:tcW w:w="1277" w:type="dxa"/>
            <w:shd w:val="clear" w:color="auto" w:fill="auto"/>
          </w:tcPr>
          <w:p w14:paraId="78B02E5D" w14:textId="77777777" w:rsidR="000615E7" w:rsidRPr="00134F0A" w:rsidRDefault="000615E7" w:rsidP="00224738">
            <w:pPr>
              <w:spacing w:before="0"/>
              <w:jc w:val="right"/>
              <w:rPr>
                <w:szCs w:val="24"/>
                <w:lang w:val="es-ES"/>
              </w:rPr>
            </w:pPr>
          </w:p>
        </w:tc>
        <w:tc>
          <w:tcPr>
            <w:tcW w:w="3827" w:type="dxa"/>
            <w:tcBorders>
              <w:right w:val="single" w:sz="8" w:space="0" w:color="auto"/>
            </w:tcBorders>
            <w:shd w:val="clear" w:color="auto" w:fill="auto"/>
          </w:tcPr>
          <w:p w14:paraId="19EF8C24" w14:textId="77777777" w:rsidR="000615E7" w:rsidRPr="00134F0A" w:rsidRDefault="000615E7" w:rsidP="00224738">
            <w:pPr>
              <w:spacing w:before="0"/>
              <w:rPr>
                <w:szCs w:val="24"/>
                <w:lang w:val="es-ES"/>
              </w:rPr>
            </w:pPr>
          </w:p>
        </w:tc>
        <w:tc>
          <w:tcPr>
            <w:tcW w:w="1417" w:type="dxa"/>
            <w:tcBorders>
              <w:left w:val="single" w:sz="8" w:space="0" w:color="auto"/>
            </w:tcBorders>
            <w:shd w:val="clear" w:color="auto" w:fill="auto"/>
          </w:tcPr>
          <w:p w14:paraId="15DFF95A" w14:textId="77777777" w:rsidR="000615E7" w:rsidRPr="00134F0A" w:rsidRDefault="000615E7" w:rsidP="00E05D3F">
            <w:pPr>
              <w:spacing w:before="0"/>
              <w:rPr>
                <w:szCs w:val="24"/>
                <w:lang w:val="es-ES"/>
              </w:rPr>
            </w:pPr>
            <w:r w:rsidRPr="00134F0A">
              <w:rPr>
                <w:b/>
                <w:bCs/>
                <w:szCs w:val="24"/>
                <w:lang w:val="es-ES"/>
              </w:rPr>
              <w:t>Fecha</w:t>
            </w:r>
            <w:r w:rsidRPr="00134F0A">
              <w:rPr>
                <w:szCs w:val="24"/>
                <w:lang w:val="es-ES"/>
              </w:rPr>
              <w:t>:</w:t>
            </w:r>
          </w:p>
        </w:tc>
        <w:tc>
          <w:tcPr>
            <w:tcW w:w="3436" w:type="dxa"/>
            <w:shd w:val="clear" w:color="auto" w:fill="auto"/>
          </w:tcPr>
          <w:p w14:paraId="4C6DB4FB" w14:textId="74A1AD42" w:rsidR="000615E7" w:rsidRPr="00134F0A" w:rsidRDefault="000615E7" w:rsidP="00224738">
            <w:pPr>
              <w:spacing w:before="0"/>
              <w:rPr>
                <w:szCs w:val="24"/>
                <w:lang w:val="es-ES"/>
              </w:rPr>
            </w:pPr>
            <w:r w:rsidRPr="00134F0A">
              <w:rPr>
                <w:szCs w:val="24"/>
                <w:highlight w:val="green"/>
                <w:lang w:val="es-ES"/>
              </w:rPr>
              <w:t>[Lu</w:t>
            </w:r>
            <w:r w:rsidR="00E05D3F" w:rsidRPr="00134F0A">
              <w:rPr>
                <w:szCs w:val="24"/>
                <w:highlight w:val="green"/>
                <w:lang w:val="es-ES"/>
              </w:rPr>
              <w:t>g</w:t>
            </w:r>
            <w:r w:rsidRPr="00134F0A">
              <w:rPr>
                <w:szCs w:val="24"/>
                <w:highlight w:val="green"/>
                <w:lang w:val="es-ES"/>
              </w:rPr>
              <w:t>ar,] [Fecha]</w:t>
            </w:r>
          </w:p>
        </w:tc>
      </w:tr>
    </w:tbl>
    <w:p w14:paraId="46B9FF5A" w14:textId="77777777" w:rsidR="000615E7" w:rsidRPr="00134F0A" w:rsidRDefault="000615E7" w:rsidP="000615E7">
      <w:pPr>
        <w:spacing w:before="360"/>
        <w:rPr>
          <w:szCs w:val="24"/>
          <w:lang w:val="es-ES"/>
        </w:rPr>
      </w:pPr>
      <w:r w:rsidRPr="00134F0A">
        <w:rPr>
          <w:szCs w:val="24"/>
          <w:lang w:val="es-ES"/>
        </w:rPr>
        <w:t>Muy Señora mía/Muy Señor mío:</w:t>
      </w:r>
    </w:p>
    <w:p w14:paraId="6885F03E" w14:textId="77777777" w:rsidR="000615E7" w:rsidRPr="00134F0A" w:rsidRDefault="000615E7" w:rsidP="00E05D3F">
      <w:pPr>
        <w:spacing w:before="360" w:after="120"/>
        <w:rPr>
          <w:szCs w:val="24"/>
          <w:lang w:val="es-ES"/>
        </w:rPr>
      </w:pPr>
      <w:r w:rsidRPr="00134F0A">
        <w:rPr>
          <w:szCs w:val="24"/>
          <w:lang w:val="es-ES"/>
        </w:rPr>
        <w:t>En lo que respecta a la consulta a los Estados Miembros sobre los proyectos determinados que se enumeran en la Circular 195 de la TSB, deseo informarle de la opinión de esta Administración, que se refleja en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7373"/>
      </w:tblGrid>
      <w:tr w:rsidR="000615E7" w:rsidRPr="00134F0A" w14:paraId="0AB24A36" w14:textId="77777777" w:rsidTr="00224738">
        <w:trPr>
          <w:cantSplit/>
          <w:tblHeader/>
        </w:trPr>
        <w:tc>
          <w:tcPr>
            <w:tcW w:w="2263" w:type="dxa"/>
            <w:shd w:val="clear" w:color="auto" w:fill="auto"/>
            <w:vAlign w:val="center"/>
          </w:tcPr>
          <w:p w14:paraId="755E5E7A" w14:textId="77777777" w:rsidR="000615E7" w:rsidRPr="00134F0A" w:rsidRDefault="000615E7" w:rsidP="00224738">
            <w:pPr>
              <w:spacing w:after="120"/>
              <w:jc w:val="center"/>
              <w:rPr>
                <w:b/>
                <w:bCs/>
                <w:szCs w:val="24"/>
                <w:lang w:val="es-ES"/>
              </w:rPr>
            </w:pPr>
          </w:p>
        </w:tc>
        <w:tc>
          <w:tcPr>
            <w:tcW w:w="7456" w:type="dxa"/>
            <w:shd w:val="clear" w:color="auto" w:fill="auto"/>
            <w:vAlign w:val="center"/>
          </w:tcPr>
          <w:p w14:paraId="405B5400" w14:textId="77777777" w:rsidR="000615E7" w:rsidRPr="00134F0A" w:rsidRDefault="000615E7" w:rsidP="00224738">
            <w:pPr>
              <w:tabs>
                <w:tab w:val="clear" w:pos="794"/>
                <w:tab w:val="clear" w:pos="1191"/>
                <w:tab w:val="clear" w:pos="1588"/>
                <w:tab w:val="clear" w:pos="1985"/>
              </w:tabs>
              <w:spacing w:after="120"/>
              <w:ind w:left="939" w:hanging="459"/>
              <w:jc w:val="center"/>
              <w:rPr>
                <w:b/>
                <w:bCs/>
                <w:szCs w:val="24"/>
                <w:lang w:val="es-ES"/>
              </w:rPr>
            </w:pPr>
            <w:bookmarkStart w:id="17" w:name="lt_pId134"/>
            <w:r w:rsidRPr="00134F0A">
              <w:rPr>
                <w:lang w:val="es-ES"/>
              </w:rPr>
              <w:t>Seleccione una de las dos casillas</w:t>
            </w:r>
            <w:bookmarkEnd w:id="17"/>
            <w:r w:rsidRPr="00134F0A">
              <w:rPr>
                <w:lang w:val="es-ES"/>
              </w:rPr>
              <w:t xml:space="preserve"> para cada texto</w:t>
            </w:r>
          </w:p>
        </w:tc>
      </w:tr>
      <w:tr w:rsidR="000615E7" w:rsidRPr="00134F0A" w14:paraId="7626A999" w14:textId="77777777" w:rsidTr="00224738">
        <w:trPr>
          <w:cantSplit/>
          <w:trHeight w:val="748"/>
        </w:trPr>
        <w:tc>
          <w:tcPr>
            <w:tcW w:w="2263" w:type="dxa"/>
            <w:vMerge w:val="restart"/>
            <w:shd w:val="clear" w:color="auto" w:fill="auto"/>
            <w:vAlign w:val="center"/>
          </w:tcPr>
          <w:p w14:paraId="74D5B4A8" w14:textId="77777777" w:rsidR="000615E7" w:rsidRPr="00134F0A" w:rsidRDefault="000615E7" w:rsidP="00224738">
            <w:pPr>
              <w:spacing w:before="60" w:after="60"/>
              <w:jc w:val="center"/>
              <w:rPr>
                <w:b/>
                <w:bCs/>
                <w:szCs w:val="24"/>
                <w:lang w:val="es-ES"/>
              </w:rPr>
            </w:pPr>
            <w:r w:rsidRPr="00134F0A">
              <w:rPr>
                <w:b/>
                <w:bCs/>
                <w:szCs w:val="24"/>
                <w:lang w:val="es-ES"/>
              </w:rPr>
              <w:t>Proyecto de nueva Recomendación UIT-T X.1237 (X.tsfpp)</w:t>
            </w:r>
          </w:p>
        </w:tc>
        <w:tc>
          <w:tcPr>
            <w:tcW w:w="7456" w:type="dxa"/>
            <w:shd w:val="clear" w:color="auto" w:fill="auto"/>
            <w:vAlign w:val="center"/>
          </w:tcPr>
          <w:p w14:paraId="45809654" w14:textId="77777777" w:rsidR="000615E7" w:rsidRPr="00134F0A" w:rsidRDefault="000615E7" w:rsidP="00224738">
            <w:pPr>
              <w:pStyle w:val="Tabletext0"/>
              <w:tabs>
                <w:tab w:val="clear" w:pos="284"/>
                <w:tab w:val="left" w:pos="600"/>
              </w:tabs>
              <w:ind w:left="567" w:hanging="567"/>
              <w:rPr>
                <w:lang w:val="es-ES"/>
              </w:rPr>
            </w:pPr>
            <w:r w:rsidRPr="00134F0A">
              <w:rPr>
                <w:szCs w:val="22"/>
                <w:lang w:val="es-ES"/>
              </w:rPr>
              <w:fldChar w:fldCharType="begin">
                <w:ffData>
                  <w:name w:val="Check1"/>
                  <w:enabled/>
                  <w:calcOnExit w:val="0"/>
                  <w:checkBox>
                    <w:sizeAuto/>
                    <w:default w:val="0"/>
                  </w:checkBox>
                </w:ffData>
              </w:fldChar>
            </w:r>
            <w:r w:rsidRPr="00134F0A">
              <w:rPr>
                <w:szCs w:val="22"/>
                <w:lang w:val="es-ES"/>
              </w:rPr>
              <w:instrText xml:space="preserve"> FORMCHECKBOX </w:instrText>
            </w:r>
            <w:r w:rsidR="00F166F3">
              <w:rPr>
                <w:szCs w:val="22"/>
                <w:lang w:val="es-ES"/>
              </w:rPr>
            </w:r>
            <w:r w:rsidR="00F166F3">
              <w:rPr>
                <w:szCs w:val="22"/>
                <w:lang w:val="es-ES"/>
              </w:rPr>
              <w:fldChar w:fldCharType="separate"/>
            </w:r>
            <w:r w:rsidRPr="00134F0A">
              <w:rPr>
                <w:szCs w:val="22"/>
                <w:lang w:val="es-ES"/>
              </w:rPr>
              <w:fldChar w:fldCharType="end"/>
            </w:r>
            <w:r w:rsidRPr="00134F0A">
              <w:rPr>
                <w:sz w:val="20"/>
                <w:lang w:val="es-ES"/>
              </w:rPr>
              <w:tab/>
            </w:r>
            <w:r w:rsidRPr="00134F0A">
              <w:rPr>
                <w:b/>
                <w:bCs/>
                <w:lang w:val="es-ES"/>
              </w:rPr>
              <w:t xml:space="preserve">Otorga autoridad </w:t>
            </w:r>
            <w:r w:rsidRPr="00134F0A">
              <w:rPr>
                <w:lang w:val="es-ES"/>
              </w:rPr>
              <w:t xml:space="preserve">a la Comisión de Estudio 17 a fin de examinar este texto para aprobación (en cuyo caso seleccionará una de las dos opciones </w:t>
            </w:r>
            <w:r w:rsidRPr="00134F0A">
              <w:rPr>
                <w:sz w:val="18"/>
                <w:szCs w:val="18"/>
                <w:lang w:val="es-ES"/>
              </w:rPr>
              <w:t>⃝</w:t>
            </w:r>
            <w:r w:rsidRPr="00134F0A">
              <w:rPr>
                <w:lang w:val="es-ES"/>
              </w:rPr>
              <w:t>):</w:t>
            </w:r>
          </w:p>
          <w:p w14:paraId="7113F3BF" w14:textId="77777777" w:rsidR="000615E7" w:rsidRPr="00134F0A" w:rsidRDefault="000615E7" w:rsidP="00224738">
            <w:pPr>
              <w:pStyle w:val="Tabletext0"/>
              <w:tabs>
                <w:tab w:val="clear" w:pos="851"/>
                <w:tab w:val="left" w:pos="884"/>
              </w:tabs>
              <w:ind w:left="567"/>
              <w:rPr>
                <w:lang w:val="es-ES"/>
              </w:rPr>
            </w:pPr>
            <w:r w:rsidRPr="00134F0A">
              <w:rPr>
                <w:sz w:val="18"/>
                <w:szCs w:val="18"/>
                <w:lang w:val="es-ES"/>
              </w:rPr>
              <w:t>⃝</w:t>
            </w:r>
            <w:r w:rsidRPr="00134F0A">
              <w:rPr>
                <w:sz w:val="18"/>
                <w:szCs w:val="18"/>
                <w:lang w:val="es-ES"/>
              </w:rPr>
              <w:tab/>
            </w:r>
            <w:r w:rsidRPr="00134F0A">
              <w:rPr>
                <w:lang w:val="es-ES"/>
              </w:rPr>
              <w:t>Sin comentarios o cambios sugeridos</w:t>
            </w:r>
          </w:p>
          <w:p w14:paraId="257AE16C" w14:textId="77777777" w:rsidR="000615E7" w:rsidRPr="00134F0A" w:rsidRDefault="000615E7" w:rsidP="00224738">
            <w:pPr>
              <w:tabs>
                <w:tab w:val="clear" w:pos="794"/>
                <w:tab w:val="clear" w:pos="1191"/>
                <w:tab w:val="clear" w:pos="1588"/>
                <w:tab w:val="clear" w:pos="1985"/>
              </w:tabs>
              <w:spacing w:before="0"/>
              <w:ind w:left="939" w:hanging="459"/>
              <w:rPr>
                <w:szCs w:val="24"/>
                <w:lang w:val="es-ES"/>
              </w:rPr>
            </w:pPr>
            <w:r w:rsidRPr="00134F0A">
              <w:rPr>
                <w:sz w:val="18"/>
                <w:szCs w:val="18"/>
                <w:lang w:val="es-ES"/>
              </w:rPr>
              <w:t>⃝</w:t>
            </w:r>
            <w:r w:rsidRPr="00134F0A">
              <w:rPr>
                <w:sz w:val="18"/>
                <w:szCs w:val="18"/>
                <w:lang w:val="es-ES"/>
              </w:rPr>
              <w:tab/>
            </w:r>
            <w:r w:rsidRPr="00134F0A">
              <w:rPr>
                <w:lang w:val="es-ES"/>
              </w:rPr>
              <w:t>Se adjuntan los</w:t>
            </w:r>
            <w:r w:rsidRPr="00134F0A">
              <w:rPr>
                <w:sz w:val="18"/>
                <w:szCs w:val="18"/>
                <w:lang w:val="es-ES"/>
              </w:rPr>
              <w:t xml:space="preserve"> </w:t>
            </w:r>
            <w:r w:rsidRPr="00134F0A">
              <w:rPr>
                <w:lang w:val="es-ES"/>
              </w:rPr>
              <w:t>comentarios o cambios sugeridos</w:t>
            </w:r>
          </w:p>
        </w:tc>
      </w:tr>
      <w:tr w:rsidR="000615E7" w:rsidRPr="00134F0A" w14:paraId="3015A4AA" w14:textId="77777777" w:rsidTr="00224738">
        <w:trPr>
          <w:cantSplit/>
          <w:trHeight w:val="747"/>
        </w:trPr>
        <w:tc>
          <w:tcPr>
            <w:tcW w:w="2263" w:type="dxa"/>
            <w:vMerge/>
            <w:shd w:val="clear" w:color="auto" w:fill="auto"/>
            <w:vAlign w:val="center"/>
          </w:tcPr>
          <w:p w14:paraId="444549B8" w14:textId="77777777" w:rsidR="000615E7" w:rsidRPr="00134F0A" w:rsidRDefault="000615E7" w:rsidP="00224738">
            <w:pPr>
              <w:spacing w:before="60" w:after="60"/>
              <w:jc w:val="center"/>
              <w:rPr>
                <w:b/>
                <w:bCs/>
                <w:szCs w:val="24"/>
                <w:lang w:val="es-ES"/>
              </w:rPr>
            </w:pPr>
          </w:p>
        </w:tc>
        <w:tc>
          <w:tcPr>
            <w:tcW w:w="7456" w:type="dxa"/>
            <w:shd w:val="clear" w:color="auto" w:fill="auto"/>
            <w:vAlign w:val="center"/>
          </w:tcPr>
          <w:p w14:paraId="3129EA7E" w14:textId="77777777" w:rsidR="000615E7" w:rsidRPr="00134F0A" w:rsidRDefault="000615E7" w:rsidP="00224738">
            <w:pPr>
              <w:tabs>
                <w:tab w:val="clear" w:pos="794"/>
                <w:tab w:val="clear" w:pos="1191"/>
                <w:tab w:val="clear" w:pos="1588"/>
                <w:tab w:val="clear" w:pos="1985"/>
                <w:tab w:val="left" w:pos="250"/>
              </w:tabs>
              <w:spacing w:before="60" w:after="60"/>
              <w:ind w:left="459" w:hanging="459"/>
              <w:rPr>
                <w:sz w:val="20"/>
                <w:lang w:val="es-ES"/>
              </w:rPr>
            </w:pPr>
            <w:r w:rsidRPr="00134F0A">
              <w:rPr>
                <w:sz w:val="22"/>
                <w:szCs w:val="22"/>
                <w:lang w:val="es-ES"/>
              </w:rPr>
              <w:fldChar w:fldCharType="begin">
                <w:ffData>
                  <w:name w:val="Check1"/>
                  <w:enabled/>
                  <w:calcOnExit w:val="0"/>
                  <w:checkBox>
                    <w:sizeAuto/>
                    <w:default w:val="0"/>
                  </w:checkBox>
                </w:ffData>
              </w:fldChar>
            </w:r>
            <w:r w:rsidRPr="00134F0A">
              <w:rPr>
                <w:sz w:val="22"/>
                <w:szCs w:val="22"/>
                <w:lang w:val="es-ES"/>
              </w:rPr>
              <w:instrText xml:space="preserve"> FORMCHECKBOX </w:instrText>
            </w:r>
            <w:r w:rsidR="00F166F3">
              <w:rPr>
                <w:sz w:val="22"/>
                <w:szCs w:val="22"/>
                <w:lang w:val="es-ES"/>
              </w:rPr>
            </w:r>
            <w:r w:rsidR="00F166F3">
              <w:rPr>
                <w:sz w:val="22"/>
                <w:szCs w:val="22"/>
                <w:lang w:val="es-ES"/>
              </w:rPr>
              <w:fldChar w:fldCharType="separate"/>
            </w:r>
            <w:r w:rsidRPr="00134F0A">
              <w:rPr>
                <w:sz w:val="22"/>
                <w:szCs w:val="22"/>
                <w:lang w:val="es-ES"/>
              </w:rPr>
              <w:fldChar w:fldCharType="end"/>
            </w:r>
            <w:r w:rsidRPr="00134F0A">
              <w:rPr>
                <w:sz w:val="22"/>
                <w:szCs w:val="22"/>
                <w:lang w:val="es-ES"/>
              </w:rPr>
              <w:tab/>
            </w:r>
            <w:r w:rsidRPr="00134F0A">
              <w:rPr>
                <w:b/>
                <w:bCs/>
                <w:lang w:val="es-ES"/>
              </w:rPr>
              <w:t xml:space="preserve">No otorga autoridad </w:t>
            </w:r>
            <w:r w:rsidRPr="00134F0A">
              <w:rPr>
                <w:lang w:val="es-ES"/>
              </w:rPr>
              <w:t>a la Comisión de Estudio 17 a fin de examinar este texto para aprobación (se adjuntan los motivos en que se fundamenta esta opinión y las modificaciones que podrían permitir el proseguimiento de los trabajos)</w:t>
            </w:r>
          </w:p>
        </w:tc>
      </w:tr>
      <w:tr w:rsidR="000615E7" w:rsidRPr="00134F0A" w14:paraId="696CC381" w14:textId="77777777" w:rsidTr="00224738">
        <w:trPr>
          <w:cantSplit/>
          <w:trHeight w:val="747"/>
        </w:trPr>
        <w:tc>
          <w:tcPr>
            <w:tcW w:w="2263" w:type="dxa"/>
            <w:vMerge w:val="restart"/>
            <w:shd w:val="clear" w:color="auto" w:fill="auto"/>
            <w:vAlign w:val="center"/>
          </w:tcPr>
          <w:p w14:paraId="495ACCC6" w14:textId="77777777" w:rsidR="000615E7" w:rsidRPr="00134F0A" w:rsidRDefault="000615E7" w:rsidP="00224738">
            <w:pPr>
              <w:spacing w:before="60" w:after="60"/>
              <w:jc w:val="center"/>
              <w:rPr>
                <w:b/>
                <w:bCs/>
                <w:szCs w:val="24"/>
                <w:lang w:val="es-ES"/>
              </w:rPr>
            </w:pPr>
            <w:r w:rsidRPr="00134F0A">
              <w:rPr>
                <w:b/>
                <w:bCs/>
                <w:szCs w:val="24"/>
                <w:lang w:val="es-ES"/>
              </w:rPr>
              <w:t>Proyecto de nueva Recomendación UIT-T X.1283 (X.gpwd)</w:t>
            </w:r>
          </w:p>
        </w:tc>
        <w:tc>
          <w:tcPr>
            <w:tcW w:w="7456" w:type="dxa"/>
            <w:shd w:val="clear" w:color="auto" w:fill="auto"/>
            <w:vAlign w:val="center"/>
          </w:tcPr>
          <w:p w14:paraId="3B6E988E" w14:textId="77777777" w:rsidR="000615E7" w:rsidRPr="00134F0A" w:rsidRDefault="000615E7" w:rsidP="00224738">
            <w:pPr>
              <w:pStyle w:val="Tabletext0"/>
              <w:tabs>
                <w:tab w:val="clear" w:pos="284"/>
                <w:tab w:val="left" w:pos="600"/>
              </w:tabs>
              <w:ind w:left="567" w:hanging="567"/>
              <w:rPr>
                <w:lang w:val="es-ES"/>
              </w:rPr>
            </w:pPr>
            <w:r w:rsidRPr="00134F0A">
              <w:rPr>
                <w:szCs w:val="22"/>
                <w:lang w:val="es-ES"/>
              </w:rPr>
              <w:fldChar w:fldCharType="begin">
                <w:ffData>
                  <w:name w:val="Check1"/>
                  <w:enabled/>
                  <w:calcOnExit w:val="0"/>
                  <w:checkBox>
                    <w:sizeAuto/>
                    <w:default w:val="0"/>
                  </w:checkBox>
                </w:ffData>
              </w:fldChar>
            </w:r>
            <w:r w:rsidRPr="00134F0A">
              <w:rPr>
                <w:szCs w:val="22"/>
                <w:lang w:val="es-ES"/>
              </w:rPr>
              <w:instrText xml:space="preserve"> FORMCHECKBOX </w:instrText>
            </w:r>
            <w:r w:rsidR="00F166F3">
              <w:rPr>
                <w:szCs w:val="22"/>
                <w:lang w:val="es-ES"/>
              </w:rPr>
            </w:r>
            <w:r w:rsidR="00F166F3">
              <w:rPr>
                <w:szCs w:val="22"/>
                <w:lang w:val="es-ES"/>
              </w:rPr>
              <w:fldChar w:fldCharType="separate"/>
            </w:r>
            <w:r w:rsidRPr="00134F0A">
              <w:rPr>
                <w:szCs w:val="22"/>
                <w:lang w:val="es-ES"/>
              </w:rPr>
              <w:fldChar w:fldCharType="end"/>
            </w:r>
            <w:r w:rsidRPr="00134F0A">
              <w:rPr>
                <w:sz w:val="20"/>
                <w:lang w:val="es-ES"/>
              </w:rPr>
              <w:tab/>
            </w:r>
            <w:r w:rsidRPr="00134F0A">
              <w:rPr>
                <w:b/>
                <w:bCs/>
                <w:lang w:val="es-ES"/>
              </w:rPr>
              <w:t xml:space="preserve">Otorga autoridad </w:t>
            </w:r>
            <w:r w:rsidRPr="00134F0A">
              <w:rPr>
                <w:lang w:val="es-ES"/>
              </w:rPr>
              <w:t xml:space="preserve">a la Comisión de Estudio 17 a fin de examinar este texto para aprobación (en cuyo caso seleccionará una de las dos opciones </w:t>
            </w:r>
            <w:r w:rsidRPr="00134F0A">
              <w:rPr>
                <w:sz w:val="18"/>
                <w:szCs w:val="18"/>
                <w:lang w:val="es-ES"/>
              </w:rPr>
              <w:t>⃝</w:t>
            </w:r>
            <w:r w:rsidRPr="00134F0A">
              <w:rPr>
                <w:lang w:val="es-ES"/>
              </w:rPr>
              <w:t>):</w:t>
            </w:r>
          </w:p>
          <w:p w14:paraId="1CDF4426" w14:textId="77777777" w:rsidR="000615E7" w:rsidRPr="00134F0A" w:rsidRDefault="000615E7" w:rsidP="00224738">
            <w:pPr>
              <w:pStyle w:val="Tabletext0"/>
              <w:tabs>
                <w:tab w:val="clear" w:pos="851"/>
                <w:tab w:val="left" w:pos="884"/>
              </w:tabs>
              <w:ind w:left="567"/>
              <w:rPr>
                <w:lang w:val="es-ES"/>
              </w:rPr>
            </w:pPr>
            <w:r w:rsidRPr="00134F0A">
              <w:rPr>
                <w:sz w:val="18"/>
                <w:szCs w:val="18"/>
                <w:lang w:val="es-ES"/>
              </w:rPr>
              <w:t>⃝</w:t>
            </w:r>
            <w:r w:rsidRPr="00134F0A">
              <w:rPr>
                <w:sz w:val="18"/>
                <w:szCs w:val="18"/>
                <w:lang w:val="es-ES"/>
              </w:rPr>
              <w:tab/>
            </w:r>
            <w:r w:rsidRPr="00134F0A">
              <w:rPr>
                <w:lang w:val="es-ES"/>
              </w:rPr>
              <w:t>Sin comentarios o cambios sugeridos</w:t>
            </w:r>
          </w:p>
          <w:p w14:paraId="3C462100" w14:textId="77777777" w:rsidR="000615E7" w:rsidRPr="00134F0A" w:rsidRDefault="000615E7" w:rsidP="00224738">
            <w:pPr>
              <w:tabs>
                <w:tab w:val="clear" w:pos="794"/>
                <w:tab w:val="clear" w:pos="1191"/>
                <w:tab w:val="clear" w:pos="1588"/>
                <w:tab w:val="clear" w:pos="1985"/>
                <w:tab w:val="left" w:pos="250"/>
              </w:tabs>
              <w:spacing w:before="0"/>
              <w:ind w:left="939" w:hanging="459"/>
              <w:rPr>
                <w:sz w:val="22"/>
                <w:szCs w:val="22"/>
                <w:lang w:val="es-ES"/>
              </w:rPr>
            </w:pPr>
            <w:r w:rsidRPr="00134F0A">
              <w:rPr>
                <w:sz w:val="18"/>
                <w:szCs w:val="18"/>
                <w:lang w:val="es-ES"/>
              </w:rPr>
              <w:t>⃝</w:t>
            </w:r>
            <w:r w:rsidRPr="00134F0A">
              <w:rPr>
                <w:sz w:val="18"/>
                <w:szCs w:val="18"/>
                <w:lang w:val="es-ES"/>
              </w:rPr>
              <w:tab/>
            </w:r>
            <w:r w:rsidRPr="00134F0A">
              <w:rPr>
                <w:lang w:val="es-ES"/>
              </w:rPr>
              <w:t>Se adjuntan los</w:t>
            </w:r>
            <w:r w:rsidRPr="00134F0A">
              <w:rPr>
                <w:sz w:val="18"/>
                <w:szCs w:val="18"/>
                <w:lang w:val="es-ES"/>
              </w:rPr>
              <w:t xml:space="preserve"> </w:t>
            </w:r>
            <w:r w:rsidRPr="00134F0A">
              <w:rPr>
                <w:lang w:val="es-ES"/>
              </w:rPr>
              <w:t>comentarios o cambios sugeridos</w:t>
            </w:r>
          </w:p>
        </w:tc>
      </w:tr>
      <w:tr w:rsidR="000615E7" w:rsidRPr="00134F0A" w14:paraId="4171917C" w14:textId="77777777" w:rsidTr="00224738">
        <w:trPr>
          <w:cantSplit/>
          <w:trHeight w:val="747"/>
        </w:trPr>
        <w:tc>
          <w:tcPr>
            <w:tcW w:w="2263" w:type="dxa"/>
            <w:vMerge/>
            <w:shd w:val="clear" w:color="auto" w:fill="auto"/>
            <w:vAlign w:val="center"/>
          </w:tcPr>
          <w:p w14:paraId="0C952926" w14:textId="77777777" w:rsidR="000615E7" w:rsidRPr="00134F0A" w:rsidRDefault="000615E7" w:rsidP="00224738">
            <w:pPr>
              <w:spacing w:before="60" w:after="60"/>
              <w:jc w:val="center"/>
              <w:rPr>
                <w:b/>
                <w:bCs/>
                <w:szCs w:val="24"/>
                <w:lang w:val="es-ES"/>
              </w:rPr>
            </w:pPr>
          </w:p>
        </w:tc>
        <w:tc>
          <w:tcPr>
            <w:tcW w:w="7456" w:type="dxa"/>
            <w:shd w:val="clear" w:color="auto" w:fill="auto"/>
            <w:vAlign w:val="center"/>
          </w:tcPr>
          <w:p w14:paraId="51583EE4" w14:textId="77777777" w:rsidR="000615E7" w:rsidRPr="00134F0A" w:rsidRDefault="000615E7" w:rsidP="00224738">
            <w:pPr>
              <w:tabs>
                <w:tab w:val="clear" w:pos="794"/>
                <w:tab w:val="clear" w:pos="1191"/>
                <w:tab w:val="clear" w:pos="1588"/>
                <w:tab w:val="clear" w:pos="1985"/>
                <w:tab w:val="left" w:pos="250"/>
              </w:tabs>
              <w:spacing w:before="60" w:after="60"/>
              <w:ind w:left="459" w:hanging="459"/>
              <w:rPr>
                <w:sz w:val="22"/>
                <w:szCs w:val="22"/>
                <w:lang w:val="es-ES"/>
              </w:rPr>
            </w:pPr>
            <w:r w:rsidRPr="00134F0A">
              <w:rPr>
                <w:sz w:val="22"/>
                <w:szCs w:val="22"/>
                <w:lang w:val="es-ES"/>
              </w:rPr>
              <w:fldChar w:fldCharType="begin">
                <w:ffData>
                  <w:name w:val="Check1"/>
                  <w:enabled/>
                  <w:calcOnExit w:val="0"/>
                  <w:checkBox>
                    <w:sizeAuto/>
                    <w:default w:val="0"/>
                  </w:checkBox>
                </w:ffData>
              </w:fldChar>
            </w:r>
            <w:r w:rsidRPr="00134F0A">
              <w:rPr>
                <w:sz w:val="22"/>
                <w:szCs w:val="22"/>
                <w:lang w:val="es-ES"/>
              </w:rPr>
              <w:instrText xml:space="preserve"> FORMCHECKBOX </w:instrText>
            </w:r>
            <w:r w:rsidR="00F166F3">
              <w:rPr>
                <w:sz w:val="22"/>
                <w:szCs w:val="22"/>
                <w:lang w:val="es-ES"/>
              </w:rPr>
            </w:r>
            <w:r w:rsidR="00F166F3">
              <w:rPr>
                <w:sz w:val="22"/>
                <w:szCs w:val="22"/>
                <w:lang w:val="es-ES"/>
              </w:rPr>
              <w:fldChar w:fldCharType="separate"/>
            </w:r>
            <w:r w:rsidRPr="00134F0A">
              <w:rPr>
                <w:sz w:val="22"/>
                <w:szCs w:val="22"/>
                <w:lang w:val="es-ES"/>
              </w:rPr>
              <w:fldChar w:fldCharType="end"/>
            </w:r>
            <w:r w:rsidRPr="00134F0A">
              <w:rPr>
                <w:sz w:val="22"/>
                <w:szCs w:val="22"/>
                <w:lang w:val="es-ES"/>
              </w:rPr>
              <w:tab/>
            </w:r>
            <w:r w:rsidRPr="00134F0A">
              <w:rPr>
                <w:b/>
                <w:bCs/>
                <w:lang w:val="es-ES"/>
              </w:rPr>
              <w:t xml:space="preserve">No otorga autoridad </w:t>
            </w:r>
            <w:r w:rsidRPr="00134F0A">
              <w:rPr>
                <w:lang w:val="es-ES"/>
              </w:rPr>
              <w:t>a la Comisión de Estudio 17 a fin de examinar este texto para aprobación (se adjuntan los motivos en que se fundamenta esta opinión y las modificaciones que podrían permitir el proseguimiento de los trabajos)</w:t>
            </w:r>
          </w:p>
        </w:tc>
      </w:tr>
      <w:tr w:rsidR="000615E7" w:rsidRPr="00134F0A" w14:paraId="3CE2B1CD" w14:textId="77777777" w:rsidTr="00224738">
        <w:trPr>
          <w:cantSplit/>
          <w:trHeight w:val="747"/>
        </w:trPr>
        <w:tc>
          <w:tcPr>
            <w:tcW w:w="2263" w:type="dxa"/>
            <w:vMerge w:val="restart"/>
            <w:shd w:val="clear" w:color="auto" w:fill="auto"/>
            <w:vAlign w:val="center"/>
          </w:tcPr>
          <w:p w14:paraId="3CE72806" w14:textId="77777777" w:rsidR="000615E7" w:rsidRPr="00134F0A" w:rsidRDefault="000615E7" w:rsidP="00224738">
            <w:pPr>
              <w:keepNext/>
              <w:keepLines/>
              <w:spacing w:before="60" w:after="60"/>
              <w:jc w:val="center"/>
              <w:rPr>
                <w:b/>
                <w:bCs/>
                <w:szCs w:val="24"/>
                <w:lang w:val="es-ES"/>
              </w:rPr>
            </w:pPr>
            <w:r w:rsidRPr="00134F0A">
              <w:rPr>
                <w:b/>
                <w:bCs/>
                <w:szCs w:val="24"/>
                <w:lang w:val="es-ES"/>
              </w:rPr>
              <w:lastRenderedPageBreak/>
              <w:t>Proyecto de nueva Recomendación UIT-T</w:t>
            </w:r>
            <w:r w:rsidRPr="00134F0A">
              <w:rPr>
                <w:lang w:val="es-ES"/>
              </w:rPr>
              <w:t xml:space="preserve"> </w:t>
            </w:r>
            <w:r w:rsidRPr="00134F0A">
              <w:rPr>
                <w:b/>
                <w:bCs/>
                <w:szCs w:val="24"/>
                <w:lang w:val="es-ES"/>
              </w:rPr>
              <w:t>X.1353</w:t>
            </w:r>
            <w:r w:rsidRPr="00134F0A">
              <w:rPr>
                <w:b/>
                <w:bCs/>
                <w:szCs w:val="24"/>
                <w:lang w:val="es-ES"/>
              </w:rPr>
              <w:br/>
              <w:t>(X.ztd-iot)</w:t>
            </w:r>
          </w:p>
        </w:tc>
        <w:tc>
          <w:tcPr>
            <w:tcW w:w="7456" w:type="dxa"/>
            <w:shd w:val="clear" w:color="auto" w:fill="auto"/>
            <w:vAlign w:val="center"/>
          </w:tcPr>
          <w:p w14:paraId="0AF75031" w14:textId="77777777" w:rsidR="000615E7" w:rsidRPr="00134F0A" w:rsidRDefault="000615E7" w:rsidP="00224738">
            <w:pPr>
              <w:pStyle w:val="Tabletext0"/>
              <w:tabs>
                <w:tab w:val="clear" w:pos="284"/>
                <w:tab w:val="left" w:pos="600"/>
              </w:tabs>
              <w:ind w:left="567" w:hanging="567"/>
              <w:rPr>
                <w:lang w:val="es-ES"/>
              </w:rPr>
            </w:pPr>
            <w:r w:rsidRPr="00134F0A">
              <w:rPr>
                <w:szCs w:val="22"/>
                <w:lang w:val="es-ES"/>
              </w:rPr>
              <w:fldChar w:fldCharType="begin">
                <w:ffData>
                  <w:name w:val="Check1"/>
                  <w:enabled/>
                  <w:calcOnExit w:val="0"/>
                  <w:checkBox>
                    <w:sizeAuto/>
                    <w:default w:val="0"/>
                  </w:checkBox>
                </w:ffData>
              </w:fldChar>
            </w:r>
            <w:r w:rsidRPr="00134F0A">
              <w:rPr>
                <w:szCs w:val="22"/>
                <w:lang w:val="es-ES"/>
              </w:rPr>
              <w:instrText xml:space="preserve"> FORMCHECKBOX </w:instrText>
            </w:r>
            <w:r w:rsidR="00F166F3">
              <w:rPr>
                <w:szCs w:val="22"/>
                <w:lang w:val="es-ES"/>
              </w:rPr>
            </w:r>
            <w:r w:rsidR="00F166F3">
              <w:rPr>
                <w:szCs w:val="22"/>
                <w:lang w:val="es-ES"/>
              </w:rPr>
              <w:fldChar w:fldCharType="separate"/>
            </w:r>
            <w:r w:rsidRPr="00134F0A">
              <w:rPr>
                <w:szCs w:val="22"/>
                <w:lang w:val="es-ES"/>
              </w:rPr>
              <w:fldChar w:fldCharType="end"/>
            </w:r>
            <w:r w:rsidRPr="00134F0A">
              <w:rPr>
                <w:sz w:val="20"/>
                <w:lang w:val="es-ES"/>
              </w:rPr>
              <w:tab/>
            </w:r>
            <w:r w:rsidRPr="00134F0A">
              <w:rPr>
                <w:b/>
                <w:bCs/>
                <w:lang w:val="es-ES"/>
              </w:rPr>
              <w:t xml:space="preserve">Otorga autoridad </w:t>
            </w:r>
            <w:r w:rsidRPr="00134F0A">
              <w:rPr>
                <w:lang w:val="es-ES"/>
              </w:rPr>
              <w:t xml:space="preserve">a la Comisión de Estudio 17 a fin de examinar este texto para aprobación (en cuyo caso seleccionará una de las dos opciones </w:t>
            </w:r>
            <w:r w:rsidRPr="00134F0A">
              <w:rPr>
                <w:sz w:val="18"/>
                <w:szCs w:val="18"/>
                <w:lang w:val="es-ES"/>
              </w:rPr>
              <w:t>⃝</w:t>
            </w:r>
            <w:r w:rsidRPr="00134F0A">
              <w:rPr>
                <w:lang w:val="es-ES"/>
              </w:rPr>
              <w:t>):</w:t>
            </w:r>
          </w:p>
          <w:p w14:paraId="4CCC0B64" w14:textId="77777777" w:rsidR="000615E7" w:rsidRPr="00134F0A" w:rsidRDefault="000615E7" w:rsidP="00224738">
            <w:pPr>
              <w:pStyle w:val="Tabletext0"/>
              <w:tabs>
                <w:tab w:val="clear" w:pos="851"/>
                <w:tab w:val="left" w:pos="884"/>
              </w:tabs>
              <w:ind w:left="567"/>
              <w:rPr>
                <w:lang w:val="es-ES"/>
              </w:rPr>
            </w:pPr>
            <w:r w:rsidRPr="00134F0A">
              <w:rPr>
                <w:sz w:val="18"/>
                <w:szCs w:val="18"/>
                <w:lang w:val="es-ES"/>
              </w:rPr>
              <w:t>⃝</w:t>
            </w:r>
            <w:r w:rsidRPr="00134F0A">
              <w:rPr>
                <w:sz w:val="18"/>
                <w:szCs w:val="18"/>
                <w:lang w:val="es-ES"/>
              </w:rPr>
              <w:tab/>
            </w:r>
            <w:r w:rsidRPr="00134F0A">
              <w:rPr>
                <w:lang w:val="es-ES"/>
              </w:rPr>
              <w:t>Sin comentarios o cambios sugeridos</w:t>
            </w:r>
          </w:p>
          <w:p w14:paraId="4ADDDFE2" w14:textId="77777777" w:rsidR="000615E7" w:rsidRPr="00134F0A" w:rsidRDefault="000615E7" w:rsidP="00224738">
            <w:pPr>
              <w:keepNext/>
              <w:keepLines/>
              <w:tabs>
                <w:tab w:val="clear" w:pos="794"/>
                <w:tab w:val="clear" w:pos="1191"/>
                <w:tab w:val="clear" w:pos="1588"/>
                <w:tab w:val="clear" w:pos="1985"/>
                <w:tab w:val="left" w:pos="250"/>
              </w:tabs>
              <w:spacing w:before="0"/>
              <w:ind w:left="939" w:hanging="459"/>
              <w:rPr>
                <w:sz w:val="22"/>
                <w:szCs w:val="22"/>
                <w:lang w:val="es-ES"/>
              </w:rPr>
            </w:pPr>
            <w:r w:rsidRPr="00134F0A">
              <w:rPr>
                <w:sz w:val="18"/>
                <w:szCs w:val="18"/>
                <w:lang w:val="es-ES"/>
              </w:rPr>
              <w:t>⃝</w:t>
            </w:r>
            <w:r w:rsidRPr="00134F0A">
              <w:rPr>
                <w:sz w:val="18"/>
                <w:szCs w:val="18"/>
                <w:lang w:val="es-ES"/>
              </w:rPr>
              <w:tab/>
            </w:r>
            <w:r w:rsidRPr="00134F0A">
              <w:rPr>
                <w:lang w:val="es-ES"/>
              </w:rPr>
              <w:t>Se adjuntan los</w:t>
            </w:r>
            <w:r w:rsidRPr="00134F0A">
              <w:rPr>
                <w:sz w:val="18"/>
                <w:szCs w:val="18"/>
                <w:lang w:val="es-ES"/>
              </w:rPr>
              <w:t xml:space="preserve"> </w:t>
            </w:r>
            <w:r w:rsidRPr="00134F0A">
              <w:rPr>
                <w:lang w:val="es-ES"/>
              </w:rPr>
              <w:t>comentarios o cambios sugeridos</w:t>
            </w:r>
          </w:p>
        </w:tc>
      </w:tr>
      <w:tr w:rsidR="000615E7" w:rsidRPr="00134F0A" w14:paraId="76EBF191" w14:textId="77777777" w:rsidTr="00224738">
        <w:trPr>
          <w:cantSplit/>
          <w:trHeight w:val="747"/>
        </w:trPr>
        <w:tc>
          <w:tcPr>
            <w:tcW w:w="2263" w:type="dxa"/>
            <w:vMerge/>
            <w:shd w:val="clear" w:color="auto" w:fill="auto"/>
            <w:vAlign w:val="center"/>
          </w:tcPr>
          <w:p w14:paraId="5FCBD100" w14:textId="77777777" w:rsidR="000615E7" w:rsidRPr="00134F0A" w:rsidRDefault="000615E7" w:rsidP="00224738">
            <w:pPr>
              <w:keepNext/>
              <w:keepLines/>
              <w:spacing w:before="60" w:after="60"/>
              <w:jc w:val="center"/>
              <w:rPr>
                <w:b/>
                <w:bCs/>
                <w:szCs w:val="24"/>
                <w:lang w:val="es-ES"/>
              </w:rPr>
            </w:pPr>
          </w:p>
        </w:tc>
        <w:tc>
          <w:tcPr>
            <w:tcW w:w="7456" w:type="dxa"/>
            <w:shd w:val="clear" w:color="auto" w:fill="auto"/>
            <w:vAlign w:val="center"/>
          </w:tcPr>
          <w:p w14:paraId="291DCA70" w14:textId="77777777" w:rsidR="000615E7" w:rsidRPr="00134F0A" w:rsidRDefault="000615E7" w:rsidP="00224738">
            <w:pPr>
              <w:keepNext/>
              <w:keepLines/>
              <w:tabs>
                <w:tab w:val="clear" w:pos="794"/>
                <w:tab w:val="clear" w:pos="1191"/>
                <w:tab w:val="clear" w:pos="1588"/>
                <w:tab w:val="clear" w:pos="1985"/>
                <w:tab w:val="left" w:pos="250"/>
              </w:tabs>
              <w:spacing w:before="60" w:after="60"/>
              <w:ind w:left="459" w:hanging="459"/>
              <w:rPr>
                <w:sz w:val="22"/>
                <w:szCs w:val="22"/>
                <w:lang w:val="es-ES"/>
              </w:rPr>
            </w:pPr>
            <w:r w:rsidRPr="00134F0A">
              <w:rPr>
                <w:sz w:val="22"/>
                <w:szCs w:val="22"/>
                <w:lang w:val="es-ES"/>
              </w:rPr>
              <w:fldChar w:fldCharType="begin">
                <w:ffData>
                  <w:name w:val="Check1"/>
                  <w:enabled/>
                  <w:calcOnExit w:val="0"/>
                  <w:checkBox>
                    <w:sizeAuto/>
                    <w:default w:val="0"/>
                  </w:checkBox>
                </w:ffData>
              </w:fldChar>
            </w:r>
            <w:r w:rsidRPr="00134F0A">
              <w:rPr>
                <w:sz w:val="22"/>
                <w:szCs w:val="22"/>
                <w:lang w:val="es-ES"/>
              </w:rPr>
              <w:instrText xml:space="preserve"> FORMCHECKBOX </w:instrText>
            </w:r>
            <w:r w:rsidR="00F166F3">
              <w:rPr>
                <w:sz w:val="22"/>
                <w:szCs w:val="22"/>
                <w:lang w:val="es-ES"/>
              </w:rPr>
            </w:r>
            <w:r w:rsidR="00F166F3">
              <w:rPr>
                <w:sz w:val="22"/>
                <w:szCs w:val="22"/>
                <w:lang w:val="es-ES"/>
              </w:rPr>
              <w:fldChar w:fldCharType="separate"/>
            </w:r>
            <w:r w:rsidRPr="00134F0A">
              <w:rPr>
                <w:sz w:val="22"/>
                <w:szCs w:val="22"/>
                <w:lang w:val="es-ES"/>
              </w:rPr>
              <w:fldChar w:fldCharType="end"/>
            </w:r>
            <w:r w:rsidRPr="00134F0A">
              <w:rPr>
                <w:sz w:val="22"/>
                <w:szCs w:val="22"/>
                <w:lang w:val="es-ES"/>
              </w:rPr>
              <w:tab/>
            </w:r>
            <w:r w:rsidRPr="00134F0A">
              <w:rPr>
                <w:b/>
                <w:bCs/>
                <w:lang w:val="es-ES"/>
              </w:rPr>
              <w:t xml:space="preserve">No otorga autoridad </w:t>
            </w:r>
            <w:r w:rsidRPr="00134F0A">
              <w:rPr>
                <w:lang w:val="es-ES"/>
              </w:rPr>
              <w:t>a la Comisión de Estudio 17 a fin de examinar este texto para aprobación (se adjuntan los motivos en que se fundamenta esta opinión y las modificaciones que podrían permitir el proseguimiento de los trabajos)</w:t>
            </w:r>
          </w:p>
        </w:tc>
      </w:tr>
      <w:tr w:rsidR="000615E7" w:rsidRPr="00134F0A" w14:paraId="1A2D7ADC" w14:textId="77777777" w:rsidTr="00224738">
        <w:trPr>
          <w:cantSplit/>
          <w:trHeight w:val="357"/>
        </w:trPr>
        <w:tc>
          <w:tcPr>
            <w:tcW w:w="2263" w:type="dxa"/>
            <w:vMerge w:val="restart"/>
            <w:shd w:val="clear" w:color="auto" w:fill="auto"/>
            <w:vAlign w:val="center"/>
          </w:tcPr>
          <w:p w14:paraId="549F416F" w14:textId="77777777" w:rsidR="000615E7" w:rsidRPr="00134F0A" w:rsidRDefault="000615E7" w:rsidP="00224738">
            <w:pPr>
              <w:keepNext/>
              <w:keepLines/>
              <w:spacing w:before="60" w:after="60"/>
              <w:jc w:val="center"/>
              <w:rPr>
                <w:b/>
                <w:bCs/>
                <w:szCs w:val="24"/>
                <w:lang w:val="es-ES"/>
              </w:rPr>
            </w:pPr>
            <w:r w:rsidRPr="00134F0A">
              <w:rPr>
                <w:b/>
                <w:bCs/>
                <w:szCs w:val="24"/>
                <w:lang w:val="es-ES"/>
              </w:rPr>
              <w:t>Proyecto de nueva Recomendación UIT-T X.1354</w:t>
            </w:r>
            <w:r w:rsidRPr="00134F0A">
              <w:rPr>
                <w:b/>
                <w:bCs/>
                <w:szCs w:val="24"/>
                <w:lang w:val="es-ES"/>
              </w:rPr>
              <w:br/>
              <w:t>(X.sc-iot)</w:t>
            </w:r>
          </w:p>
        </w:tc>
        <w:tc>
          <w:tcPr>
            <w:tcW w:w="7456" w:type="dxa"/>
            <w:shd w:val="clear" w:color="auto" w:fill="auto"/>
            <w:vAlign w:val="center"/>
          </w:tcPr>
          <w:p w14:paraId="7C9E1F9B" w14:textId="77777777" w:rsidR="000615E7" w:rsidRPr="00134F0A" w:rsidRDefault="000615E7" w:rsidP="00224738">
            <w:pPr>
              <w:pStyle w:val="Tabletext0"/>
              <w:tabs>
                <w:tab w:val="clear" w:pos="284"/>
                <w:tab w:val="left" w:pos="600"/>
              </w:tabs>
              <w:ind w:left="567" w:hanging="567"/>
              <w:rPr>
                <w:lang w:val="es-ES"/>
              </w:rPr>
            </w:pPr>
            <w:r w:rsidRPr="00134F0A">
              <w:rPr>
                <w:szCs w:val="22"/>
                <w:lang w:val="es-ES"/>
              </w:rPr>
              <w:fldChar w:fldCharType="begin">
                <w:ffData>
                  <w:name w:val="Check1"/>
                  <w:enabled/>
                  <w:calcOnExit w:val="0"/>
                  <w:checkBox>
                    <w:sizeAuto/>
                    <w:default w:val="0"/>
                  </w:checkBox>
                </w:ffData>
              </w:fldChar>
            </w:r>
            <w:r w:rsidRPr="00134F0A">
              <w:rPr>
                <w:szCs w:val="22"/>
                <w:lang w:val="es-ES"/>
              </w:rPr>
              <w:instrText xml:space="preserve"> FORMCHECKBOX </w:instrText>
            </w:r>
            <w:r w:rsidR="00F166F3">
              <w:rPr>
                <w:szCs w:val="22"/>
                <w:lang w:val="es-ES"/>
              </w:rPr>
            </w:r>
            <w:r w:rsidR="00F166F3">
              <w:rPr>
                <w:szCs w:val="22"/>
                <w:lang w:val="es-ES"/>
              </w:rPr>
              <w:fldChar w:fldCharType="separate"/>
            </w:r>
            <w:r w:rsidRPr="00134F0A">
              <w:rPr>
                <w:szCs w:val="22"/>
                <w:lang w:val="es-ES"/>
              </w:rPr>
              <w:fldChar w:fldCharType="end"/>
            </w:r>
            <w:r w:rsidRPr="00134F0A">
              <w:rPr>
                <w:sz w:val="20"/>
                <w:lang w:val="es-ES"/>
              </w:rPr>
              <w:tab/>
            </w:r>
            <w:r w:rsidRPr="00134F0A">
              <w:rPr>
                <w:b/>
                <w:bCs/>
                <w:lang w:val="es-ES"/>
              </w:rPr>
              <w:t xml:space="preserve">Otorga autoridad </w:t>
            </w:r>
            <w:r w:rsidRPr="00134F0A">
              <w:rPr>
                <w:lang w:val="es-ES"/>
              </w:rPr>
              <w:t xml:space="preserve">a la Comisión de Estudio 17 a fin de examinar este texto para aprobación (en cuyo caso seleccionará una de las dos opciones </w:t>
            </w:r>
            <w:r w:rsidRPr="00134F0A">
              <w:rPr>
                <w:sz w:val="18"/>
                <w:szCs w:val="18"/>
                <w:lang w:val="es-ES"/>
              </w:rPr>
              <w:t>⃝</w:t>
            </w:r>
            <w:r w:rsidRPr="00134F0A">
              <w:rPr>
                <w:lang w:val="es-ES"/>
              </w:rPr>
              <w:t>):</w:t>
            </w:r>
          </w:p>
          <w:p w14:paraId="592F66CE" w14:textId="77777777" w:rsidR="000615E7" w:rsidRPr="00134F0A" w:rsidRDefault="000615E7" w:rsidP="00224738">
            <w:pPr>
              <w:pStyle w:val="Tabletext0"/>
              <w:tabs>
                <w:tab w:val="clear" w:pos="851"/>
                <w:tab w:val="left" w:pos="884"/>
              </w:tabs>
              <w:ind w:left="567"/>
              <w:rPr>
                <w:lang w:val="es-ES"/>
              </w:rPr>
            </w:pPr>
            <w:r w:rsidRPr="00134F0A">
              <w:rPr>
                <w:sz w:val="18"/>
                <w:szCs w:val="18"/>
                <w:lang w:val="es-ES"/>
              </w:rPr>
              <w:t>⃝</w:t>
            </w:r>
            <w:r w:rsidRPr="00134F0A">
              <w:rPr>
                <w:sz w:val="18"/>
                <w:szCs w:val="18"/>
                <w:lang w:val="es-ES"/>
              </w:rPr>
              <w:tab/>
            </w:r>
            <w:r w:rsidRPr="00134F0A">
              <w:rPr>
                <w:lang w:val="es-ES"/>
              </w:rPr>
              <w:t>Sin comentarios o cambios sugeridos</w:t>
            </w:r>
          </w:p>
          <w:p w14:paraId="0A87E373" w14:textId="77777777" w:rsidR="000615E7" w:rsidRPr="00134F0A" w:rsidRDefault="000615E7" w:rsidP="00224738">
            <w:pPr>
              <w:keepNext/>
              <w:keepLines/>
              <w:tabs>
                <w:tab w:val="clear" w:pos="794"/>
                <w:tab w:val="clear" w:pos="1191"/>
                <w:tab w:val="clear" w:pos="1588"/>
                <w:tab w:val="clear" w:pos="1985"/>
                <w:tab w:val="left" w:pos="250"/>
              </w:tabs>
              <w:spacing w:before="60" w:after="60"/>
              <w:ind w:left="459" w:hanging="459"/>
              <w:rPr>
                <w:sz w:val="22"/>
                <w:szCs w:val="22"/>
                <w:lang w:val="es-ES"/>
              </w:rPr>
            </w:pPr>
            <w:r w:rsidRPr="00134F0A">
              <w:rPr>
                <w:sz w:val="18"/>
                <w:szCs w:val="18"/>
                <w:lang w:val="es-ES"/>
              </w:rPr>
              <w:t>⃝</w:t>
            </w:r>
            <w:r w:rsidRPr="00134F0A">
              <w:rPr>
                <w:sz w:val="18"/>
                <w:szCs w:val="18"/>
                <w:lang w:val="es-ES"/>
              </w:rPr>
              <w:tab/>
            </w:r>
            <w:r w:rsidRPr="00134F0A">
              <w:rPr>
                <w:lang w:val="es-ES"/>
              </w:rPr>
              <w:t>Se adjuntan los</w:t>
            </w:r>
            <w:r w:rsidRPr="00134F0A">
              <w:rPr>
                <w:sz w:val="18"/>
                <w:szCs w:val="18"/>
                <w:lang w:val="es-ES"/>
              </w:rPr>
              <w:t xml:space="preserve"> </w:t>
            </w:r>
            <w:r w:rsidRPr="00134F0A">
              <w:rPr>
                <w:lang w:val="es-ES"/>
              </w:rPr>
              <w:t>comentarios o cambios sugeridos</w:t>
            </w:r>
          </w:p>
        </w:tc>
      </w:tr>
      <w:tr w:rsidR="000615E7" w:rsidRPr="00134F0A" w14:paraId="2F802AA2" w14:textId="77777777" w:rsidTr="00224738">
        <w:trPr>
          <w:cantSplit/>
          <w:trHeight w:val="380"/>
        </w:trPr>
        <w:tc>
          <w:tcPr>
            <w:tcW w:w="2263" w:type="dxa"/>
            <w:vMerge/>
            <w:shd w:val="clear" w:color="auto" w:fill="auto"/>
          </w:tcPr>
          <w:p w14:paraId="5DCF19B8" w14:textId="77777777" w:rsidR="000615E7" w:rsidRPr="00134F0A" w:rsidRDefault="000615E7" w:rsidP="00224738">
            <w:pPr>
              <w:keepNext/>
              <w:keepLines/>
              <w:spacing w:before="60" w:after="60"/>
              <w:jc w:val="center"/>
              <w:rPr>
                <w:b/>
                <w:bCs/>
                <w:szCs w:val="24"/>
                <w:lang w:val="es-ES"/>
              </w:rPr>
            </w:pPr>
          </w:p>
        </w:tc>
        <w:tc>
          <w:tcPr>
            <w:tcW w:w="7456" w:type="dxa"/>
            <w:shd w:val="clear" w:color="auto" w:fill="auto"/>
            <w:vAlign w:val="center"/>
          </w:tcPr>
          <w:p w14:paraId="6D1A92D7" w14:textId="77777777" w:rsidR="000615E7" w:rsidRPr="00134F0A" w:rsidRDefault="000615E7" w:rsidP="00224738">
            <w:pPr>
              <w:keepNext/>
              <w:keepLines/>
              <w:tabs>
                <w:tab w:val="clear" w:pos="794"/>
                <w:tab w:val="clear" w:pos="1191"/>
                <w:tab w:val="clear" w:pos="1588"/>
                <w:tab w:val="clear" w:pos="1985"/>
                <w:tab w:val="left" w:pos="250"/>
              </w:tabs>
              <w:spacing w:before="60" w:after="60"/>
              <w:ind w:left="459" w:hanging="459"/>
              <w:rPr>
                <w:sz w:val="22"/>
                <w:szCs w:val="22"/>
                <w:lang w:val="es-ES"/>
              </w:rPr>
            </w:pPr>
            <w:r w:rsidRPr="00134F0A">
              <w:rPr>
                <w:sz w:val="22"/>
                <w:szCs w:val="22"/>
                <w:lang w:val="es-ES"/>
              </w:rPr>
              <w:fldChar w:fldCharType="begin">
                <w:ffData>
                  <w:name w:val="Check1"/>
                  <w:enabled/>
                  <w:calcOnExit w:val="0"/>
                  <w:checkBox>
                    <w:sizeAuto/>
                    <w:default w:val="0"/>
                  </w:checkBox>
                </w:ffData>
              </w:fldChar>
            </w:r>
            <w:r w:rsidRPr="00134F0A">
              <w:rPr>
                <w:sz w:val="22"/>
                <w:szCs w:val="22"/>
                <w:lang w:val="es-ES"/>
              </w:rPr>
              <w:instrText xml:space="preserve"> FORMCHECKBOX </w:instrText>
            </w:r>
            <w:r w:rsidR="00F166F3">
              <w:rPr>
                <w:sz w:val="22"/>
                <w:szCs w:val="22"/>
                <w:lang w:val="es-ES"/>
              </w:rPr>
            </w:r>
            <w:r w:rsidR="00F166F3">
              <w:rPr>
                <w:sz w:val="22"/>
                <w:szCs w:val="22"/>
                <w:lang w:val="es-ES"/>
              </w:rPr>
              <w:fldChar w:fldCharType="separate"/>
            </w:r>
            <w:r w:rsidRPr="00134F0A">
              <w:rPr>
                <w:sz w:val="22"/>
                <w:szCs w:val="22"/>
                <w:lang w:val="es-ES"/>
              </w:rPr>
              <w:fldChar w:fldCharType="end"/>
            </w:r>
            <w:r w:rsidRPr="00134F0A">
              <w:rPr>
                <w:sz w:val="22"/>
                <w:szCs w:val="22"/>
                <w:lang w:val="es-ES"/>
              </w:rPr>
              <w:tab/>
            </w:r>
            <w:r w:rsidRPr="00134F0A">
              <w:rPr>
                <w:b/>
                <w:bCs/>
                <w:lang w:val="es-ES"/>
              </w:rPr>
              <w:t xml:space="preserve">No otorga autoridad </w:t>
            </w:r>
            <w:r w:rsidRPr="00134F0A">
              <w:rPr>
                <w:lang w:val="es-ES"/>
              </w:rPr>
              <w:t>a la Comisión de Estudio 17 a fin de examinar este texto para aprobación (se adjuntan los motivos en que se fundamenta esta opinión y las modificaciones que podrían permitir el proseguimiento de los trabajos)</w:t>
            </w:r>
          </w:p>
        </w:tc>
      </w:tr>
      <w:tr w:rsidR="000615E7" w:rsidRPr="00134F0A" w14:paraId="50E39D13" w14:textId="77777777" w:rsidTr="00224738">
        <w:trPr>
          <w:cantSplit/>
          <w:trHeight w:val="368"/>
        </w:trPr>
        <w:tc>
          <w:tcPr>
            <w:tcW w:w="2263" w:type="dxa"/>
            <w:vMerge w:val="restart"/>
            <w:shd w:val="clear" w:color="auto" w:fill="auto"/>
            <w:vAlign w:val="center"/>
          </w:tcPr>
          <w:p w14:paraId="62F04B50" w14:textId="77777777" w:rsidR="000615E7" w:rsidRPr="00134F0A" w:rsidRDefault="000615E7" w:rsidP="00224738">
            <w:pPr>
              <w:spacing w:before="60" w:after="60"/>
              <w:jc w:val="center"/>
              <w:rPr>
                <w:b/>
                <w:bCs/>
                <w:szCs w:val="24"/>
                <w:lang w:val="es-ES"/>
              </w:rPr>
            </w:pPr>
            <w:r w:rsidRPr="00134F0A">
              <w:rPr>
                <w:b/>
                <w:bCs/>
                <w:szCs w:val="24"/>
                <w:lang w:val="es-ES"/>
              </w:rPr>
              <w:t>Proyecto de nueva Recomendación UIT-T X.1384 (X.itssec-5)</w:t>
            </w:r>
          </w:p>
        </w:tc>
        <w:tc>
          <w:tcPr>
            <w:tcW w:w="7456" w:type="dxa"/>
            <w:shd w:val="clear" w:color="auto" w:fill="auto"/>
            <w:vAlign w:val="center"/>
          </w:tcPr>
          <w:p w14:paraId="37861A53" w14:textId="77777777" w:rsidR="000615E7" w:rsidRPr="00134F0A" w:rsidRDefault="000615E7" w:rsidP="00224738">
            <w:pPr>
              <w:pStyle w:val="Tabletext0"/>
              <w:tabs>
                <w:tab w:val="clear" w:pos="284"/>
                <w:tab w:val="left" w:pos="600"/>
              </w:tabs>
              <w:ind w:left="567" w:hanging="567"/>
              <w:rPr>
                <w:lang w:val="es-ES"/>
              </w:rPr>
            </w:pPr>
            <w:r w:rsidRPr="00134F0A">
              <w:rPr>
                <w:szCs w:val="22"/>
                <w:lang w:val="es-ES"/>
              </w:rPr>
              <w:fldChar w:fldCharType="begin">
                <w:ffData>
                  <w:name w:val="Check1"/>
                  <w:enabled/>
                  <w:calcOnExit w:val="0"/>
                  <w:checkBox>
                    <w:sizeAuto/>
                    <w:default w:val="0"/>
                  </w:checkBox>
                </w:ffData>
              </w:fldChar>
            </w:r>
            <w:r w:rsidRPr="00134F0A">
              <w:rPr>
                <w:szCs w:val="22"/>
                <w:lang w:val="es-ES"/>
              </w:rPr>
              <w:instrText xml:space="preserve"> FORMCHECKBOX </w:instrText>
            </w:r>
            <w:r w:rsidR="00F166F3">
              <w:rPr>
                <w:szCs w:val="22"/>
                <w:lang w:val="es-ES"/>
              </w:rPr>
            </w:r>
            <w:r w:rsidR="00F166F3">
              <w:rPr>
                <w:szCs w:val="22"/>
                <w:lang w:val="es-ES"/>
              </w:rPr>
              <w:fldChar w:fldCharType="separate"/>
            </w:r>
            <w:r w:rsidRPr="00134F0A">
              <w:rPr>
                <w:szCs w:val="22"/>
                <w:lang w:val="es-ES"/>
              </w:rPr>
              <w:fldChar w:fldCharType="end"/>
            </w:r>
            <w:r w:rsidRPr="00134F0A">
              <w:rPr>
                <w:sz w:val="20"/>
                <w:lang w:val="es-ES"/>
              </w:rPr>
              <w:tab/>
            </w:r>
            <w:r w:rsidRPr="00134F0A">
              <w:rPr>
                <w:b/>
                <w:bCs/>
                <w:lang w:val="es-ES"/>
              </w:rPr>
              <w:t xml:space="preserve">Otorga autoridad </w:t>
            </w:r>
            <w:r w:rsidRPr="00134F0A">
              <w:rPr>
                <w:lang w:val="es-ES"/>
              </w:rPr>
              <w:t xml:space="preserve">a la Comisión de Estudio 17 a fin de examinar este texto para aprobación (en cuyo caso seleccionará una de las dos opciones </w:t>
            </w:r>
            <w:r w:rsidRPr="00134F0A">
              <w:rPr>
                <w:sz w:val="18"/>
                <w:szCs w:val="18"/>
                <w:lang w:val="es-ES"/>
              </w:rPr>
              <w:t>⃝</w:t>
            </w:r>
            <w:r w:rsidRPr="00134F0A">
              <w:rPr>
                <w:lang w:val="es-ES"/>
              </w:rPr>
              <w:t>):</w:t>
            </w:r>
          </w:p>
          <w:p w14:paraId="2EACA8F6" w14:textId="77777777" w:rsidR="000615E7" w:rsidRPr="00134F0A" w:rsidRDefault="000615E7" w:rsidP="00224738">
            <w:pPr>
              <w:pStyle w:val="Tabletext0"/>
              <w:tabs>
                <w:tab w:val="clear" w:pos="851"/>
                <w:tab w:val="left" w:pos="884"/>
              </w:tabs>
              <w:ind w:left="567"/>
              <w:rPr>
                <w:lang w:val="es-ES"/>
              </w:rPr>
            </w:pPr>
            <w:r w:rsidRPr="00134F0A">
              <w:rPr>
                <w:sz w:val="18"/>
                <w:szCs w:val="18"/>
                <w:lang w:val="es-ES"/>
              </w:rPr>
              <w:t>⃝</w:t>
            </w:r>
            <w:r w:rsidRPr="00134F0A">
              <w:rPr>
                <w:sz w:val="18"/>
                <w:szCs w:val="18"/>
                <w:lang w:val="es-ES"/>
              </w:rPr>
              <w:tab/>
            </w:r>
            <w:r w:rsidRPr="00134F0A">
              <w:rPr>
                <w:lang w:val="es-ES"/>
              </w:rPr>
              <w:t>Sin comentarios o cambios sugeridos</w:t>
            </w:r>
          </w:p>
          <w:p w14:paraId="30DAB1CC" w14:textId="77777777" w:rsidR="000615E7" w:rsidRPr="00134F0A" w:rsidRDefault="000615E7" w:rsidP="00224738">
            <w:pPr>
              <w:tabs>
                <w:tab w:val="clear" w:pos="794"/>
                <w:tab w:val="clear" w:pos="1191"/>
                <w:tab w:val="clear" w:pos="1588"/>
                <w:tab w:val="clear" w:pos="1985"/>
                <w:tab w:val="left" w:pos="250"/>
              </w:tabs>
              <w:spacing w:before="60" w:after="60"/>
              <w:ind w:left="459" w:hanging="459"/>
              <w:rPr>
                <w:sz w:val="22"/>
                <w:szCs w:val="22"/>
                <w:lang w:val="es-ES"/>
              </w:rPr>
            </w:pPr>
            <w:r w:rsidRPr="00134F0A">
              <w:rPr>
                <w:sz w:val="18"/>
                <w:szCs w:val="18"/>
                <w:lang w:val="es-ES"/>
              </w:rPr>
              <w:t>⃝</w:t>
            </w:r>
            <w:r w:rsidRPr="00134F0A">
              <w:rPr>
                <w:sz w:val="18"/>
                <w:szCs w:val="18"/>
                <w:lang w:val="es-ES"/>
              </w:rPr>
              <w:tab/>
            </w:r>
            <w:r w:rsidRPr="00134F0A">
              <w:rPr>
                <w:lang w:val="es-ES"/>
              </w:rPr>
              <w:t>Se adjuntan los</w:t>
            </w:r>
            <w:r w:rsidRPr="00134F0A">
              <w:rPr>
                <w:sz w:val="18"/>
                <w:szCs w:val="18"/>
                <w:lang w:val="es-ES"/>
              </w:rPr>
              <w:t xml:space="preserve"> </w:t>
            </w:r>
            <w:r w:rsidRPr="00134F0A">
              <w:rPr>
                <w:lang w:val="es-ES"/>
              </w:rPr>
              <w:t>comentarios o cambios sugeridos</w:t>
            </w:r>
          </w:p>
        </w:tc>
      </w:tr>
      <w:tr w:rsidR="000615E7" w:rsidRPr="00134F0A" w14:paraId="5C8224EA" w14:textId="77777777" w:rsidTr="00224738">
        <w:trPr>
          <w:cantSplit/>
          <w:trHeight w:val="380"/>
        </w:trPr>
        <w:tc>
          <w:tcPr>
            <w:tcW w:w="2263" w:type="dxa"/>
            <w:vMerge/>
            <w:shd w:val="clear" w:color="auto" w:fill="auto"/>
          </w:tcPr>
          <w:p w14:paraId="470DC40F" w14:textId="77777777" w:rsidR="000615E7" w:rsidRPr="00134F0A" w:rsidRDefault="000615E7" w:rsidP="00224738">
            <w:pPr>
              <w:spacing w:before="60" w:after="60"/>
              <w:jc w:val="center"/>
              <w:rPr>
                <w:b/>
                <w:bCs/>
                <w:szCs w:val="24"/>
                <w:lang w:val="es-ES"/>
              </w:rPr>
            </w:pPr>
          </w:p>
        </w:tc>
        <w:tc>
          <w:tcPr>
            <w:tcW w:w="7456" w:type="dxa"/>
            <w:shd w:val="clear" w:color="auto" w:fill="auto"/>
            <w:vAlign w:val="center"/>
          </w:tcPr>
          <w:p w14:paraId="76274B56" w14:textId="77777777" w:rsidR="000615E7" w:rsidRPr="00134F0A" w:rsidRDefault="000615E7" w:rsidP="00224738">
            <w:pPr>
              <w:tabs>
                <w:tab w:val="clear" w:pos="794"/>
                <w:tab w:val="clear" w:pos="1191"/>
                <w:tab w:val="clear" w:pos="1588"/>
                <w:tab w:val="clear" w:pos="1985"/>
                <w:tab w:val="left" w:pos="250"/>
              </w:tabs>
              <w:spacing w:before="60" w:after="60"/>
              <w:ind w:left="459" w:hanging="459"/>
              <w:rPr>
                <w:sz w:val="22"/>
                <w:szCs w:val="22"/>
                <w:lang w:val="es-ES"/>
              </w:rPr>
            </w:pPr>
            <w:r w:rsidRPr="00134F0A">
              <w:rPr>
                <w:sz w:val="22"/>
                <w:szCs w:val="22"/>
                <w:lang w:val="es-ES"/>
              </w:rPr>
              <w:fldChar w:fldCharType="begin">
                <w:ffData>
                  <w:name w:val="Check1"/>
                  <w:enabled/>
                  <w:calcOnExit w:val="0"/>
                  <w:checkBox>
                    <w:sizeAuto/>
                    <w:default w:val="0"/>
                  </w:checkBox>
                </w:ffData>
              </w:fldChar>
            </w:r>
            <w:r w:rsidRPr="00134F0A">
              <w:rPr>
                <w:sz w:val="22"/>
                <w:szCs w:val="22"/>
                <w:lang w:val="es-ES"/>
              </w:rPr>
              <w:instrText xml:space="preserve"> FORMCHECKBOX </w:instrText>
            </w:r>
            <w:r w:rsidR="00F166F3">
              <w:rPr>
                <w:sz w:val="22"/>
                <w:szCs w:val="22"/>
                <w:lang w:val="es-ES"/>
              </w:rPr>
            </w:r>
            <w:r w:rsidR="00F166F3">
              <w:rPr>
                <w:sz w:val="22"/>
                <w:szCs w:val="22"/>
                <w:lang w:val="es-ES"/>
              </w:rPr>
              <w:fldChar w:fldCharType="separate"/>
            </w:r>
            <w:r w:rsidRPr="00134F0A">
              <w:rPr>
                <w:sz w:val="22"/>
                <w:szCs w:val="22"/>
                <w:lang w:val="es-ES"/>
              </w:rPr>
              <w:fldChar w:fldCharType="end"/>
            </w:r>
            <w:r w:rsidRPr="00134F0A">
              <w:rPr>
                <w:sz w:val="22"/>
                <w:szCs w:val="22"/>
                <w:lang w:val="es-ES"/>
              </w:rPr>
              <w:tab/>
            </w:r>
            <w:r w:rsidRPr="00134F0A">
              <w:rPr>
                <w:b/>
                <w:bCs/>
                <w:lang w:val="es-ES"/>
              </w:rPr>
              <w:t xml:space="preserve">No otorga autoridad </w:t>
            </w:r>
            <w:r w:rsidRPr="00134F0A">
              <w:rPr>
                <w:lang w:val="es-ES"/>
              </w:rPr>
              <w:t>a la Comisión de Estudio 17 a fin de examinar este texto para aprobación (se adjuntan los motivos en que se fundamenta esta opinión y las modificaciones que podrían permitir el proseguimiento de los trabajos)</w:t>
            </w:r>
          </w:p>
        </w:tc>
      </w:tr>
      <w:tr w:rsidR="000615E7" w:rsidRPr="00134F0A" w14:paraId="43CC3075" w14:textId="77777777" w:rsidTr="00224738">
        <w:trPr>
          <w:cantSplit/>
          <w:trHeight w:val="380"/>
        </w:trPr>
        <w:tc>
          <w:tcPr>
            <w:tcW w:w="2263" w:type="dxa"/>
            <w:vMerge w:val="restart"/>
            <w:shd w:val="clear" w:color="auto" w:fill="auto"/>
            <w:vAlign w:val="center"/>
          </w:tcPr>
          <w:p w14:paraId="07CF1CD2" w14:textId="77777777" w:rsidR="000615E7" w:rsidRPr="00134F0A" w:rsidRDefault="000615E7" w:rsidP="00224738">
            <w:pPr>
              <w:spacing w:before="60" w:after="60"/>
              <w:jc w:val="center"/>
              <w:rPr>
                <w:b/>
                <w:bCs/>
                <w:szCs w:val="24"/>
                <w:lang w:val="es-ES"/>
              </w:rPr>
            </w:pPr>
            <w:r w:rsidRPr="00134F0A">
              <w:rPr>
                <w:b/>
                <w:bCs/>
                <w:szCs w:val="24"/>
                <w:lang w:val="es-ES"/>
              </w:rPr>
              <w:t>Proyecto de nueva Recomendación UIT-T X.1471 (X.websec-7)</w:t>
            </w:r>
          </w:p>
        </w:tc>
        <w:tc>
          <w:tcPr>
            <w:tcW w:w="7456" w:type="dxa"/>
            <w:shd w:val="clear" w:color="auto" w:fill="auto"/>
            <w:vAlign w:val="center"/>
          </w:tcPr>
          <w:p w14:paraId="2F9168C6" w14:textId="77777777" w:rsidR="000615E7" w:rsidRPr="00134F0A" w:rsidRDefault="000615E7" w:rsidP="00224738">
            <w:pPr>
              <w:pStyle w:val="Tabletext0"/>
              <w:tabs>
                <w:tab w:val="clear" w:pos="284"/>
                <w:tab w:val="left" w:pos="600"/>
              </w:tabs>
              <w:ind w:left="567" w:hanging="567"/>
              <w:rPr>
                <w:lang w:val="es-ES"/>
              </w:rPr>
            </w:pPr>
            <w:r w:rsidRPr="00134F0A">
              <w:rPr>
                <w:szCs w:val="22"/>
                <w:lang w:val="es-ES"/>
              </w:rPr>
              <w:fldChar w:fldCharType="begin">
                <w:ffData>
                  <w:name w:val="Check1"/>
                  <w:enabled/>
                  <w:calcOnExit w:val="0"/>
                  <w:checkBox>
                    <w:sizeAuto/>
                    <w:default w:val="0"/>
                  </w:checkBox>
                </w:ffData>
              </w:fldChar>
            </w:r>
            <w:r w:rsidRPr="00134F0A">
              <w:rPr>
                <w:szCs w:val="22"/>
                <w:lang w:val="es-ES"/>
              </w:rPr>
              <w:instrText xml:space="preserve"> FORMCHECKBOX </w:instrText>
            </w:r>
            <w:r w:rsidR="00F166F3">
              <w:rPr>
                <w:szCs w:val="22"/>
                <w:lang w:val="es-ES"/>
              </w:rPr>
            </w:r>
            <w:r w:rsidR="00F166F3">
              <w:rPr>
                <w:szCs w:val="22"/>
                <w:lang w:val="es-ES"/>
              </w:rPr>
              <w:fldChar w:fldCharType="separate"/>
            </w:r>
            <w:r w:rsidRPr="00134F0A">
              <w:rPr>
                <w:szCs w:val="22"/>
                <w:lang w:val="es-ES"/>
              </w:rPr>
              <w:fldChar w:fldCharType="end"/>
            </w:r>
            <w:r w:rsidRPr="00134F0A">
              <w:rPr>
                <w:sz w:val="20"/>
                <w:lang w:val="es-ES"/>
              </w:rPr>
              <w:tab/>
            </w:r>
            <w:r w:rsidRPr="00134F0A">
              <w:rPr>
                <w:b/>
                <w:bCs/>
                <w:lang w:val="es-ES"/>
              </w:rPr>
              <w:t xml:space="preserve">Otorga autoridad </w:t>
            </w:r>
            <w:r w:rsidRPr="00134F0A">
              <w:rPr>
                <w:lang w:val="es-ES"/>
              </w:rPr>
              <w:t xml:space="preserve">a la Comisión de Estudio 17 a fin de examinar este texto para aprobación (en cuyo caso seleccionará una de las dos opciones </w:t>
            </w:r>
            <w:r w:rsidRPr="00134F0A">
              <w:rPr>
                <w:sz w:val="18"/>
                <w:szCs w:val="18"/>
                <w:lang w:val="es-ES"/>
              </w:rPr>
              <w:t>⃝</w:t>
            </w:r>
            <w:r w:rsidRPr="00134F0A">
              <w:rPr>
                <w:lang w:val="es-ES"/>
              </w:rPr>
              <w:t>):</w:t>
            </w:r>
          </w:p>
          <w:p w14:paraId="786D4E84" w14:textId="77777777" w:rsidR="000615E7" w:rsidRPr="00134F0A" w:rsidRDefault="000615E7" w:rsidP="00224738">
            <w:pPr>
              <w:pStyle w:val="Tabletext0"/>
              <w:tabs>
                <w:tab w:val="clear" w:pos="851"/>
                <w:tab w:val="left" w:pos="884"/>
              </w:tabs>
              <w:ind w:left="567"/>
              <w:rPr>
                <w:lang w:val="es-ES"/>
              </w:rPr>
            </w:pPr>
            <w:r w:rsidRPr="00134F0A">
              <w:rPr>
                <w:sz w:val="18"/>
                <w:szCs w:val="18"/>
                <w:lang w:val="es-ES"/>
              </w:rPr>
              <w:t>⃝</w:t>
            </w:r>
            <w:r w:rsidRPr="00134F0A">
              <w:rPr>
                <w:sz w:val="18"/>
                <w:szCs w:val="18"/>
                <w:lang w:val="es-ES"/>
              </w:rPr>
              <w:tab/>
            </w:r>
            <w:r w:rsidRPr="00134F0A">
              <w:rPr>
                <w:lang w:val="es-ES"/>
              </w:rPr>
              <w:t>Sin comentarios o cambios sugeridos</w:t>
            </w:r>
          </w:p>
          <w:p w14:paraId="146A0EF3" w14:textId="77777777" w:rsidR="000615E7" w:rsidRPr="00134F0A" w:rsidRDefault="000615E7" w:rsidP="00224738">
            <w:pPr>
              <w:tabs>
                <w:tab w:val="clear" w:pos="794"/>
                <w:tab w:val="clear" w:pos="1191"/>
                <w:tab w:val="clear" w:pos="1588"/>
                <w:tab w:val="clear" w:pos="1985"/>
                <w:tab w:val="left" w:pos="250"/>
              </w:tabs>
              <w:spacing w:before="60" w:after="60"/>
              <w:ind w:left="459" w:hanging="459"/>
              <w:rPr>
                <w:sz w:val="22"/>
                <w:szCs w:val="22"/>
                <w:lang w:val="es-ES"/>
              </w:rPr>
            </w:pPr>
            <w:r w:rsidRPr="00134F0A">
              <w:rPr>
                <w:sz w:val="18"/>
                <w:szCs w:val="18"/>
                <w:lang w:val="es-ES"/>
              </w:rPr>
              <w:t>⃝</w:t>
            </w:r>
            <w:r w:rsidRPr="00134F0A">
              <w:rPr>
                <w:sz w:val="18"/>
                <w:szCs w:val="18"/>
                <w:lang w:val="es-ES"/>
              </w:rPr>
              <w:tab/>
            </w:r>
            <w:r w:rsidRPr="00134F0A">
              <w:rPr>
                <w:lang w:val="es-ES"/>
              </w:rPr>
              <w:t>Se adjuntan los</w:t>
            </w:r>
            <w:r w:rsidRPr="00134F0A">
              <w:rPr>
                <w:sz w:val="18"/>
                <w:szCs w:val="18"/>
                <w:lang w:val="es-ES"/>
              </w:rPr>
              <w:t xml:space="preserve"> </w:t>
            </w:r>
            <w:r w:rsidRPr="00134F0A">
              <w:rPr>
                <w:lang w:val="es-ES"/>
              </w:rPr>
              <w:t>comentarios o cambios sugeridos</w:t>
            </w:r>
          </w:p>
        </w:tc>
      </w:tr>
      <w:tr w:rsidR="000615E7" w:rsidRPr="00134F0A" w14:paraId="548E3D72" w14:textId="77777777" w:rsidTr="00224738">
        <w:trPr>
          <w:cantSplit/>
          <w:trHeight w:val="357"/>
        </w:trPr>
        <w:tc>
          <w:tcPr>
            <w:tcW w:w="2263" w:type="dxa"/>
            <w:vMerge/>
            <w:shd w:val="clear" w:color="auto" w:fill="auto"/>
            <w:vAlign w:val="center"/>
          </w:tcPr>
          <w:p w14:paraId="0B6BCA7B" w14:textId="77777777" w:rsidR="000615E7" w:rsidRPr="00134F0A" w:rsidRDefault="000615E7" w:rsidP="00224738">
            <w:pPr>
              <w:spacing w:before="60" w:after="60"/>
              <w:jc w:val="center"/>
              <w:rPr>
                <w:b/>
                <w:bCs/>
                <w:szCs w:val="24"/>
                <w:lang w:val="es-ES"/>
              </w:rPr>
            </w:pPr>
          </w:p>
        </w:tc>
        <w:tc>
          <w:tcPr>
            <w:tcW w:w="7456" w:type="dxa"/>
            <w:shd w:val="clear" w:color="auto" w:fill="auto"/>
            <w:vAlign w:val="center"/>
          </w:tcPr>
          <w:p w14:paraId="41437938" w14:textId="77777777" w:rsidR="000615E7" w:rsidRPr="00134F0A" w:rsidRDefault="000615E7" w:rsidP="00224738">
            <w:pPr>
              <w:tabs>
                <w:tab w:val="clear" w:pos="794"/>
                <w:tab w:val="clear" w:pos="1191"/>
                <w:tab w:val="clear" w:pos="1588"/>
                <w:tab w:val="clear" w:pos="1985"/>
                <w:tab w:val="left" w:pos="250"/>
              </w:tabs>
              <w:spacing w:before="60" w:after="60"/>
              <w:ind w:left="459" w:hanging="459"/>
              <w:rPr>
                <w:sz w:val="22"/>
                <w:szCs w:val="22"/>
                <w:lang w:val="es-ES"/>
              </w:rPr>
            </w:pPr>
            <w:r w:rsidRPr="00134F0A">
              <w:rPr>
                <w:sz w:val="22"/>
                <w:szCs w:val="22"/>
                <w:lang w:val="es-ES"/>
              </w:rPr>
              <w:fldChar w:fldCharType="begin">
                <w:ffData>
                  <w:name w:val="Check1"/>
                  <w:enabled/>
                  <w:calcOnExit w:val="0"/>
                  <w:checkBox>
                    <w:sizeAuto/>
                    <w:default w:val="0"/>
                  </w:checkBox>
                </w:ffData>
              </w:fldChar>
            </w:r>
            <w:r w:rsidRPr="00134F0A">
              <w:rPr>
                <w:sz w:val="22"/>
                <w:szCs w:val="22"/>
                <w:lang w:val="es-ES"/>
              </w:rPr>
              <w:instrText xml:space="preserve"> FORMCHECKBOX </w:instrText>
            </w:r>
            <w:r w:rsidR="00F166F3">
              <w:rPr>
                <w:sz w:val="22"/>
                <w:szCs w:val="22"/>
                <w:lang w:val="es-ES"/>
              </w:rPr>
            </w:r>
            <w:r w:rsidR="00F166F3">
              <w:rPr>
                <w:sz w:val="22"/>
                <w:szCs w:val="22"/>
                <w:lang w:val="es-ES"/>
              </w:rPr>
              <w:fldChar w:fldCharType="separate"/>
            </w:r>
            <w:r w:rsidRPr="00134F0A">
              <w:rPr>
                <w:sz w:val="22"/>
                <w:szCs w:val="22"/>
                <w:lang w:val="es-ES"/>
              </w:rPr>
              <w:fldChar w:fldCharType="end"/>
            </w:r>
            <w:r w:rsidRPr="00134F0A">
              <w:rPr>
                <w:sz w:val="22"/>
                <w:szCs w:val="22"/>
                <w:lang w:val="es-ES"/>
              </w:rPr>
              <w:tab/>
            </w:r>
            <w:r w:rsidRPr="00134F0A">
              <w:rPr>
                <w:b/>
                <w:bCs/>
                <w:lang w:val="es-ES"/>
              </w:rPr>
              <w:t xml:space="preserve">No otorga autoridad </w:t>
            </w:r>
            <w:r w:rsidRPr="00134F0A">
              <w:rPr>
                <w:lang w:val="es-ES"/>
              </w:rPr>
              <w:t>a la Comisión de Estudio 17 a fin de examinar este texto para aprobación (se adjuntan los motivos en que se fundamenta esta opinión y las modificaciones que podrían permitir el proseguimiento de los trabajos)</w:t>
            </w:r>
          </w:p>
        </w:tc>
      </w:tr>
      <w:tr w:rsidR="000615E7" w:rsidRPr="00134F0A" w14:paraId="66D07D7A" w14:textId="77777777" w:rsidTr="00224738">
        <w:trPr>
          <w:cantSplit/>
          <w:trHeight w:val="380"/>
        </w:trPr>
        <w:tc>
          <w:tcPr>
            <w:tcW w:w="2263" w:type="dxa"/>
            <w:vMerge w:val="restart"/>
            <w:shd w:val="clear" w:color="auto" w:fill="auto"/>
            <w:vAlign w:val="center"/>
          </w:tcPr>
          <w:p w14:paraId="6FD83207" w14:textId="77777777" w:rsidR="000615E7" w:rsidRPr="00134F0A" w:rsidRDefault="000615E7" w:rsidP="00224738">
            <w:pPr>
              <w:spacing w:before="60" w:after="60"/>
              <w:jc w:val="center"/>
              <w:rPr>
                <w:b/>
                <w:bCs/>
                <w:szCs w:val="24"/>
                <w:lang w:val="es-ES"/>
              </w:rPr>
            </w:pPr>
            <w:r w:rsidRPr="00134F0A">
              <w:rPr>
                <w:b/>
                <w:bCs/>
                <w:szCs w:val="24"/>
                <w:lang w:val="es-ES"/>
              </w:rPr>
              <w:t>Proyecto de nueva Recomendación UIT-T X.1819 (X.5Gsec-netec)</w:t>
            </w:r>
          </w:p>
        </w:tc>
        <w:tc>
          <w:tcPr>
            <w:tcW w:w="7456" w:type="dxa"/>
            <w:shd w:val="clear" w:color="auto" w:fill="auto"/>
            <w:vAlign w:val="center"/>
          </w:tcPr>
          <w:p w14:paraId="54041ACC" w14:textId="77777777" w:rsidR="000615E7" w:rsidRPr="00134F0A" w:rsidRDefault="000615E7" w:rsidP="00224738">
            <w:pPr>
              <w:pStyle w:val="Tabletext0"/>
              <w:tabs>
                <w:tab w:val="clear" w:pos="284"/>
                <w:tab w:val="left" w:pos="600"/>
              </w:tabs>
              <w:ind w:left="567" w:hanging="567"/>
              <w:rPr>
                <w:lang w:val="es-ES"/>
              </w:rPr>
            </w:pPr>
            <w:r w:rsidRPr="00134F0A">
              <w:rPr>
                <w:szCs w:val="22"/>
                <w:lang w:val="es-ES"/>
              </w:rPr>
              <w:fldChar w:fldCharType="begin">
                <w:ffData>
                  <w:name w:val="Check1"/>
                  <w:enabled/>
                  <w:calcOnExit w:val="0"/>
                  <w:checkBox>
                    <w:sizeAuto/>
                    <w:default w:val="0"/>
                  </w:checkBox>
                </w:ffData>
              </w:fldChar>
            </w:r>
            <w:r w:rsidRPr="00134F0A">
              <w:rPr>
                <w:szCs w:val="22"/>
                <w:lang w:val="es-ES"/>
              </w:rPr>
              <w:instrText xml:space="preserve"> FORMCHECKBOX </w:instrText>
            </w:r>
            <w:r w:rsidR="00F166F3">
              <w:rPr>
                <w:szCs w:val="22"/>
                <w:lang w:val="es-ES"/>
              </w:rPr>
            </w:r>
            <w:r w:rsidR="00F166F3">
              <w:rPr>
                <w:szCs w:val="22"/>
                <w:lang w:val="es-ES"/>
              </w:rPr>
              <w:fldChar w:fldCharType="separate"/>
            </w:r>
            <w:r w:rsidRPr="00134F0A">
              <w:rPr>
                <w:szCs w:val="22"/>
                <w:lang w:val="es-ES"/>
              </w:rPr>
              <w:fldChar w:fldCharType="end"/>
            </w:r>
            <w:r w:rsidRPr="00134F0A">
              <w:rPr>
                <w:sz w:val="20"/>
                <w:lang w:val="es-ES"/>
              </w:rPr>
              <w:tab/>
            </w:r>
            <w:r w:rsidRPr="00134F0A">
              <w:rPr>
                <w:b/>
                <w:bCs/>
                <w:lang w:val="es-ES"/>
              </w:rPr>
              <w:t xml:space="preserve">Otorga autoridad </w:t>
            </w:r>
            <w:r w:rsidRPr="00134F0A">
              <w:rPr>
                <w:lang w:val="es-ES"/>
              </w:rPr>
              <w:t xml:space="preserve">a la Comisión de Estudio 17 a fin de examinar este texto para aprobación (en cuyo caso seleccionará una de las dos opciones </w:t>
            </w:r>
            <w:r w:rsidRPr="00134F0A">
              <w:rPr>
                <w:sz w:val="18"/>
                <w:szCs w:val="18"/>
                <w:lang w:val="es-ES"/>
              </w:rPr>
              <w:t>⃝</w:t>
            </w:r>
            <w:r w:rsidRPr="00134F0A">
              <w:rPr>
                <w:lang w:val="es-ES"/>
              </w:rPr>
              <w:t>):</w:t>
            </w:r>
          </w:p>
          <w:p w14:paraId="3C84DF73" w14:textId="77777777" w:rsidR="000615E7" w:rsidRPr="00134F0A" w:rsidRDefault="000615E7" w:rsidP="00224738">
            <w:pPr>
              <w:pStyle w:val="Tabletext0"/>
              <w:tabs>
                <w:tab w:val="clear" w:pos="851"/>
                <w:tab w:val="left" w:pos="884"/>
              </w:tabs>
              <w:ind w:left="567"/>
              <w:rPr>
                <w:lang w:val="es-ES"/>
              </w:rPr>
            </w:pPr>
            <w:r w:rsidRPr="00134F0A">
              <w:rPr>
                <w:sz w:val="18"/>
                <w:szCs w:val="18"/>
                <w:lang w:val="es-ES"/>
              </w:rPr>
              <w:t>⃝</w:t>
            </w:r>
            <w:r w:rsidRPr="00134F0A">
              <w:rPr>
                <w:sz w:val="18"/>
                <w:szCs w:val="18"/>
                <w:lang w:val="es-ES"/>
              </w:rPr>
              <w:tab/>
            </w:r>
            <w:r w:rsidRPr="00134F0A">
              <w:rPr>
                <w:lang w:val="es-ES"/>
              </w:rPr>
              <w:t>Sin comentarios o cambios sugeridos</w:t>
            </w:r>
          </w:p>
          <w:p w14:paraId="507D025D" w14:textId="77777777" w:rsidR="000615E7" w:rsidRPr="00134F0A" w:rsidRDefault="000615E7" w:rsidP="00224738">
            <w:pPr>
              <w:tabs>
                <w:tab w:val="clear" w:pos="794"/>
                <w:tab w:val="clear" w:pos="1191"/>
                <w:tab w:val="clear" w:pos="1588"/>
                <w:tab w:val="clear" w:pos="1985"/>
                <w:tab w:val="left" w:pos="250"/>
              </w:tabs>
              <w:spacing w:before="60" w:after="60"/>
              <w:ind w:left="459" w:hanging="459"/>
              <w:rPr>
                <w:sz w:val="22"/>
                <w:szCs w:val="22"/>
                <w:lang w:val="es-ES"/>
              </w:rPr>
            </w:pPr>
            <w:r w:rsidRPr="00134F0A">
              <w:rPr>
                <w:sz w:val="18"/>
                <w:szCs w:val="18"/>
                <w:lang w:val="es-ES"/>
              </w:rPr>
              <w:t>⃝</w:t>
            </w:r>
            <w:r w:rsidRPr="00134F0A">
              <w:rPr>
                <w:sz w:val="18"/>
                <w:szCs w:val="18"/>
                <w:lang w:val="es-ES"/>
              </w:rPr>
              <w:tab/>
            </w:r>
            <w:r w:rsidRPr="00134F0A">
              <w:rPr>
                <w:lang w:val="es-ES"/>
              </w:rPr>
              <w:t>Se adjuntan los</w:t>
            </w:r>
            <w:r w:rsidRPr="00134F0A">
              <w:rPr>
                <w:sz w:val="18"/>
                <w:szCs w:val="18"/>
                <w:lang w:val="es-ES"/>
              </w:rPr>
              <w:t xml:space="preserve"> </w:t>
            </w:r>
            <w:r w:rsidRPr="00134F0A">
              <w:rPr>
                <w:lang w:val="es-ES"/>
              </w:rPr>
              <w:t>comentarios o cambios sugeridos</w:t>
            </w:r>
          </w:p>
        </w:tc>
      </w:tr>
      <w:tr w:rsidR="000615E7" w:rsidRPr="00134F0A" w14:paraId="2D831D1A" w14:textId="77777777" w:rsidTr="00224738">
        <w:trPr>
          <w:cantSplit/>
          <w:trHeight w:val="357"/>
        </w:trPr>
        <w:tc>
          <w:tcPr>
            <w:tcW w:w="2263" w:type="dxa"/>
            <w:vMerge/>
            <w:shd w:val="clear" w:color="auto" w:fill="auto"/>
            <w:vAlign w:val="center"/>
          </w:tcPr>
          <w:p w14:paraId="676AAD66" w14:textId="77777777" w:rsidR="000615E7" w:rsidRPr="00134F0A" w:rsidRDefault="000615E7" w:rsidP="00224738">
            <w:pPr>
              <w:spacing w:before="60" w:after="60"/>
              <w:jc w:val="center"/>
              <w:rPr>
                <w:b/>
                <w:bCs/>
                <w:szCs w:val="24"/>
                <w:lang w:val="es-ES"/>
              </w:rPr>
            </w:pPr>
          </w:p>
        </w:tc>
        <w:tc>
          <w:tcPr>
            <w:tcW w:w="7456" w:type="dxa"/>
            <w:shd w:val="clear" w:color="auto" w:fill="auto"/>
            <w:vAlign w:val="center"/>
          </w:tcPr>
          <w:p w14:paraId="028B1A78" w14:textId="77777777" w:rsidR="000615E7" w:rsidRPr="00134F0A" w:rsidRDefault="000615E7" w:rsidP="00224738">
            <w:pPr>
              <w:tabs>
                <w:tab w:val="clear" w:pos="794"/>
                <w:tab w:val="clear" w:pos="1191"/>
                <w:tab w:val="clear" w:pos="1588"/>
                <w:tab w:val="clear" w:pos="1985"/>
                <w:tab w:val="left" w:pos="250"/>
              </w:tabs>
              <w:spacing w:before="60" w:after="60"/>
              <w:ind w:left="459" w:hanging="459"/>
              <w:rPr>
                <w:sz w:val="22"/>
                <w:szCs w:val="22"/>
                <w:lang w:val="es-ES"/>
              </w:rPr>
            </w:pPr>
            <w:r w:rsidRPr="00134F0A">
              <w:rPr>
                <w:sz w:val="22"/>
                <w:szCs w:val="22"/>
                <w:lang w:val="es-ES"/>
              </w:rPr>
              <w:fldChar w:fldCharType="begin">
                <w:ffData>
                  <w:name w:val="Check1"/>
                  <w:enabled/>
                  <w:calcOnExit w:val="0"/>
                  <w:checkBox>
                    <w:sizeAuto/>
                    <w:default w:val="0"/>
                  </w:checkBox>
                </w:ffData>
              </w:fldChar>
            </w:r>
            <w:r w:rsidRPr="00134F0A">
              <w:rPr>
                <w:sz w:val="22"/>
                <w:szCs w:val="22"/>
                <w:lang w:val="es-ES"/>
              </w:rPr>
              <w:instrText xml:space="preserve"> FORMCHECKBOX </w:instrText>
            </w:r>
            <w:r w:rsidR="00F166F3">
              <w:rPr>
                <w:sz w:val="22"/>
                <w:szCs w:val="22"/>
                <w:lang w:val="es-ES"/>
              </w:rPr>
            </w:r>
            <w:r w:rsidR="00F166F3">
              <w:rPr>
                <w:sz w:val="22"/>
                <w:szCs w:val="22"/>
                <w:lang w:val="es-ES"/>
              </w:rPr>
              <w:fldChar w:fldCharType="separate"/>
            </w:r>
            <w:r w:rsidRPr="00134F0A">
              <w:rPr>
                <w:sz w:val="22"/>
                <w:szCs w:val="22"/>
                <w:lang w:val="es-ES"/>
              </w:rPr>
              <w:fldChar w:fldCharType="end"/>
            </w:r>
            <w:r w:rsidRPr="00134F0A">
              <w:rPr>
                <w:sz w:val="22"/>
                <w:szCs w:val="22"/>
                <w:lang w:val="es-ES"/>
              </w:rPr>
              <w:tab/>
            </w:r>
            <w:r w:rsidRPr="00134F0A">
              <w:rPr>
                <w:b/>
                <w:bCs/>
                <w:lang w:val="es-ES"/>
              </w:rPr>
              <w:t xml:space="preserve">No otorga autoridad </w:t>
            </w:r>
            <w:r w:rsidRPr="00134F0A">
              <w:rPr>
                <w:lang w:val="es-ES"/>
              </w:rPr>
              <w:t>a la Comisión de Estudio 17 a fin de examinar este texto para aprobación (se adjuntan los motivos en que se fundamenta esta opinión y las modificaciones que podrían permitir el proseguimiento de los trabajos)</w:t>
            </w:r>
          </w:p>
        </w:tc>
      </w:tr>
    </w:tbl>
    <w:p w14:paraId="1A002812" w14:textId="77777777" w:rsidR="000615E7" w:rsidRPr="00134F0A" w:rsidRDefault="000615E7" w:rsidP="000615E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7373"/>
      </w:tblGrid>
      <w:tr w:rsidR="000615E7" w:rsidRPr="00134F0A" w14:paraId="2670611A" w14:textId="77777777" w:rsidTr="00224738">
        <w:trPr>
          <w:cantSplit/>
          <w:trHeight w:val="380"/>
        </w:trPr>
        <w:tc>
          <w:tcPr>
            <w:tcW w:w="2263" w:type="dxa"/>
            <w:vMerge w:val="restart"/>
            <w:shd w:val="clear" w:color="auto" w:fill="auto"/>
            <w:vAlign w:val="center"/>
          </w:tcPr>
          <w:p w14:paraId="130DF8CF" w14:textId="77777777" w:rsidR="000615E7" w:rsidRPr="00134F0A" w:rsidRDefault="000615E7" w:rsidP="00224738">
            <w:pPr>
              <w:keepNext/>
              <w:keepLines/>
              <w:spacing w:before="60" w:after="60"/>
              <w:jc w:val="center"/>
              <w:rPr>
                <w:b/>
                <w:bCs/>
                <w:szCs w:val="24"/>
                <w:lang w:val="es-ES"/>
              </w:rPr>
            </w:pPr>
            <w:r w:rsidRPr="00134F0A">
              <w:rPr>
                <w:b/>
                <w:bCs/>
                <w:szCs w:val="24"/>
                <w:lang w:val="es-ES"/>
              </w:rPr>
              <w:t>Proyecto de nueva Recomendación UIT-T X.1820 (X.5Gsec-srocvs)</w:t>
            </w:r>
          </w:p>
        </w:tc>
        <w:tc>
          <w:tcPr>
            <w:tcW w:w="7456" w:type="dxa"/>
            <w:shd w:val="clear" w:color="auto" w:fill="auto"/>
            <w:vAlign w:val="center"/>
          </w:tcPr>
          <w:p w14:paraId="1A0ECE81" w14:textId="77777777" w:rsidR="000615E7" w:rsidRPr="00134F0A" w:rsidRDefault="000615E7" w:rsidP="00224738">
            <w:pPr>
              <w:pStyle w:val="Tabletext0"/>
              <w:tabs>
                <w:tab w:val="clear" w:pos="284"/>
                <w:tab w:val="left" w:pos="600"/>
              </w:tabs>
              <w:ind w:left="567" w:hanging="567"/>
              <w:rPr>
                <w:lang w:val="es-ES"/>
              </w:rPr>
            </w:pPr>
            <w:r w:rsidRPr="00134F0A">
              <w:rPr>
                <w:szCs w:val="22"/>
                <w:lang w:val="es-ES"/>
              </w:rPr>
              <w:fldChar w:fldCharType="begin">
                <w:ffData>
                  <w:name w:val="Check1"/>
                  <w:enabled/>
                  <w:calcOnExit w:val="0"/>
                  <w:checkBox>
                    <w:sizeAuto/>
                    <w:default w:val="0"/>
                  </w:checkBox>
                </w:ffData>
              </w:fldChar>
            </w:r>
            <w:r w:rsidRPr="00134F0A">
              <w:rPr>
                <w:szCs w:val="22"/>
                <w:lang w:val="es-ES"/>
              </w:rPr>
              <w:instrText xml:space="preserve"> FORMCHECKBOX </w:instrText>
            </w:r>
            <w:r w:rsidR="00F166F3">
              <w:rPr>
                <w:szCs w:val="22"/>
                <w:lang w:val="es-ES"/>
              </w:rPr>
            </w:r>
            <w:r w:rsidR="00F166F3">
              <w:rPr>
                <w:szCs w:val="22"/>
                <w:lang w:val="es-ES"/>
              </w:rPr>
              <w:fldChar w:fldCharType="separate"/>
            </w:r>
            <w:r w:rsidRPr="00134F0A">
              <w:rPr>
                <w:szCs w:val="22"/>
                <w:lang w:val="es-ES"/>
              </w:rPr>
              <w:fldChar w:fldCharType="end"/>
            </w:r>
            <w:r w:rsidRPr="00134F0A">
              <w:rPr>
                <w:sz w:val="20"/>
                <w:lang w:val="es-ES"/>
              </w:rPr>
              <w:tab/>
            </w:r>
            <w:r w:rsidRPr="00134F0A">
              <w:rPr>
                <w:b/>
                <w:bCs/>
                <w:lang w:val="es-ES"/>
              </w:rPr>
              <w:t xml:space="preserve">Otorga autoridad </w:t>
            </w:r>
            <w:r w:rsidRPr="00134F0A">
              <w:rPr>
                <w:lang w:val="es-ES"/>
              </w:rPr>
              <w:t xml:space="preserve">a la Comisión de Estudio 17 a fin de examinar este texto para aprobación (en cuyo caso seleccionará una de las dos opciones </w:t>
            </w:r>
            <w:r w:rsidRPr="00134F0A">
              <w:rPr>
                <w:sz w:val="18"/>
                <w:szCs w:val="18"/>
                <w:lang w:val="es-ES"/>
              </w:rPr>
              <w:t>⃝</w:t>
            </w:r>
            <w:r w:rsidRPr="00134F0A">
              <w:rPr>
                <w:lang w:val="es-ES"/>
              </w:rPr>
              <w:t>):</w:t>
            </w:r>
          </w:p>
          <w:p w14:paraId="4514F245" w14:textId="77777777" w:rsidR="000615E7" w:rsidRPr="00134F0A" w:rsidRDefault="000615E7" w:rsidP="00224738">
            <w:pPr>
              <w:pStyle w:val="Tabletext0"/>
              <w:tabs>
                <w:tab w:val="clear" w:pos="851"/>
                <w:tab w:val="left" w:pos="884"/>
              </w:tabs>
              <w:ind w:left="567"/>
              <w:rPr>
                <w:lang w:val="es-ES"/>
              </w:rPr>
            </w:pPr>
            <w:r w:rsidRPr="00134F0A">
              <w:rPr>
                <w:sz w:val="18"/>
                <w:szCs w:val="18"/>
                <w:lang w:val="es-ES"/>
              </w:rPr>
              <w:t>⃝</w:t>
            </w:r>
            <w:r w:rsidRPr="00134F0A">
              <w:rPr>
                <w:sz w:val="18"/>
                <w:szCs w:val="18"/>
                <w:lang w:val="es-ES"/>
              </w:rPr>
              <w:tab/>
            </w:r>
            <w:r w:rsidRPr="00134F0A">
              <w:rPr>
                <w:lang w:val="es-ES"/>
              </w:rPr>
              <w:t>Sin comentarios o cambios sugeridos</w:t>
            </w:r>
          </w:p>
          <w:p w14:paraId="4F9F1EE0" w14:textId="77777777" w:rsidR="000615E7" w:rsidRPr="00134F0A" w:rsidRDefault="000615E7" w:rsidP="00224738">
            <w:pPr>
              <w:keepNext/>
              <w:keepLines/>
              <w:tabs>
                <w:tab w:val="clear" w:pos="794"/>
                <w:tab w:val="clear" w:pos="1191"/>
                <w:tab w:val="clear" w:pos="1588"/>
                <w:tab w:val="clear" w:pos="1985"/>
                <w:tab w:val="left" w:pos="250"/>
              </w:tabs>
              <w:spacing w:before="60" w:after="60"/>
              <w:ind w:left="459" w:hanging="459"/>
              <w:rPr>
                <w:sz w:val="22"/>
                <w:szCs w:val="22"/>
                <w:lang w:val="es-ES"/>
              </w:rPr>
            </w:pPr>
            <w:r w:rsidRPr="00134F0A">
              <w:rPr>
                <w:sz w:val="18"/>
                <w:szCs w:val="18"/>
                <w:lang w:val="es-ES"/>
              </w:rPr>
              <w:t>⃝</w:t>
            </w:r>
            <w:r w:rsidRPr="00134F0A">
              <w:rPr>
                <w:sz w:val="18"/>
                <w:szCs w:val="18"/>
                <w:lang w:val="es-ES"/>
              </w:rPr>
              <w:tab/>
            </w:r>
            <w:r w:rsidRPr="00134F0A">
              <w:rPr>
                <w:lang w:val="es-ES"/>
              </w:rPr>
              <w:t>Se adjuntan los</w:t>
            </w:r>
            <w:r w:rsidRPr="00134F0A">
              <w:rPr>
                <w:sz w:val="18"/>
                <w:szCs w:val="18"/>
                <w:lang w:val="es-ES"/>
              </w:rPr>
              <w:t xml:space="preserve"> </w:t>
            </w:r>
            <w:r w:rsidRPr="00134F0A">
              <w:rPr>
                <w:lang w:val="es-ES"/>
              </w:rPr>
              <w:t>comentarios o cambios sugeridos</w:t>
            </w:r>
          </w:p>
        </w:tc>
      </w:tr>
      <w:tr w:rsidR="000615E7" w:rsidRPr="00134F0A" w14:paraId="155934AA" w14:textId="77777777" w:rsidTr="00224738">
        <w:trPr>
          <w:cantSplit/>
          <w:trHeight w:val="357"/>
        </w:trPr>
        <w:tc>
          <w:tcPr>
            <w:tcW w:w="2263" w:type="dxa"/>
            <w:vMerge/>
            <w:shd w:val="clear" w:color="auto" w:fill="auto"/>
            <w:vAlign w:val="center"/>
          </w:tcPr>
          <w:p w14:paraId="4049E13C" w14:textId="77777777" w:rsidR="000615E7" w:rsidRPr="00134F0A" w:rsidRDefault="000615E7" w:rsidP="00224738">
            <w:pPr>
              <w:keepNext/>
              <w:keepLines/>
              <w:spacing w:before="60" w:after="60"/>
              <w:jc w:val="center"/>
              <w:rPr>
                <w:b/>
                <w:bCs/>
                <w:szCs w:val="24"/>
                <w:lang w:val="es-ES"/>
              </w:rPr>
            </w:pPr>
          </w:p>
        </w:tc>
        <w:tc>
          <w:tcPr>
            <w:tcW w:w="7456" w:type="dxa"/>
            <w:shd w:val="clear" w:color="auto" w:fill="auto"/>
            <w:vAlign w:val="center"/>
          </w:tcPr>
          <w:p w14:paraId="6D529CE0" w14:textId="77777777" w:rsidR="000615E7" w:rsidRPr="00134F0A" w:rsidRDefault="000615E7" w:rsidP="00224738">
            <w:pPr>
              <w:keepNext/>
              <w:keepLines/>
              <w:tabs>
                <w:tab w:val="clear" w:pos="794"/>
                <w:tab w:val="clear" w:pos="1191"/>
                <w:tab w:val="clear" w:pos="1588"/>
                <w:tab w:val="clear" w:pos="1985"/>
                <w:tab w:val="left" w:pos="250"/>
              </w:tabs>
              <w:spacing w:before="60" w:after="60"/>
              <w:ind w:left="459" w:hanging="459"/>
              <w:rPr>
                <w:sz w:val="22"/>
                <w:szCs w:val="22"/>
                <w:lang w:val="es-ES"/>
              </w:rPr>
            </w:pPr>
            <w:r w:rsidRPr="00134F0A">
              <w:rPr>
                <w:sz w:val="22"/>
                <w:szCs w:val="22"/>
                <w:lang w:val="es-ES"/>
              </w:rPr>
              <w:fldChar w:fldCharType="begin">
                <w:ffData>
                  <w:name w:val="Check1"/>
                  <w:enabled/>
                  <w:calcOnExit w:val="0"/>
                  <w:checkBox>
                    <w:sizeAuto/>
                    <w:default w:val="0"/>
                  </w:checkBox>
                </w:ffData>
              </w:fldChar>
            </w:r>
            <w:r w:rsidRPr="00134F0A">
              <w:rPr>
                <w:sz w:val="22"/>
                <w:szCs w:val="22"/>
                <w:lang w:val="es-ES"/>
              </w:rPr>
              <w:instrText xml:space="preserve"> FORMCHECKBOX </w:instrText>
            </w:r>
            <w:r w:rsidR="00F166F3">
              <w:rPr>
                <w:sz w:val="22"/>
                <w:szCs w:val="22"/>
                <w:lang w:val="es-ES"/>
              </w:rPr>
            </w:r>
            <w:r w:rsidR="00F166F3">
              <w:rPr>
                <w:sz w:val="22"/>
                <w:szCs w:val="22"/>
                <w:lang w:val="es-ES"/>
              </w:rPr>
              <w:fldChar w:fldCharType="separate"/>
            </w:r>
            <w:r w:rsidRPr="00134F0A">
              <w:rPr>
                <w:sz w:val="22"/>
                <w:szCs w:val="22"/>
                <w:lang w:val="es-ES"/>
              </w:rPr>
              <w:fldChar w:fldCharType="end"/>
            </w:r>
            <w:r w:rsidRPr="00134F0A">
              <w:rPr>
                <w:sz w:val="22"/>
                <w:szCs w:val="22"/>
                <w:lang w:val="es-ES"/>
              </w:rPr>
              <w:tab/>
            </w:r>
            <w:r w:rsidRPr="00134F0A">
              <w:rPr>
                <w:b/>
                <w:bCs/>
                <w:lang w:val="es-ES"/>
              </w:rPr>
              <w:t xml:space="preserve">No otorga autoridad </w:t>
            </w:r>
            <w:r w:rsidRPr="00134F0A">
              <w:rPr>
                <w:lang w:val="es-ES"/>
              </w:rPr>
              <w:t>a la Comisión de Estudio 17 a fin de examinar este texto para aprobación (se adjuntan los motivos en que se fundamenta esta opinión y las modificaciones que podrían permitir el proseguimiento de los trabajos)</w:t>
            </w:r>
          </w:p>
        </w:tc>
      </w:tr>
    </w:tbl>
    <w:p w14:paraId="1A4617D4" w14:textId="77777777" w:rsidR="000615E7" w:rsidRPr="00134F0A" w:rsidRDefault="000615E7" w:rsidP="000615E7">
      <w:pPr>
        <w:keepNext/>
        <w:keepLines/>
        <w:spacing w:before="0" w:after="120"/>
        <w:rPr>
          <w:lang w:val="es-ES"/>
        </w:rPr>
      </w:pPr>
    </w:p>
    <w:p w14:paraId="0E0CF117" w14:textId="77777777" w:rsidR="000615E7" w:rsidRPr="00134F0A" w:rsidRDefault="000615E7" w:rsidP="000615E7">
      <w:pPr>
        <w:keepNext/>
        <w:keepLines/>
        <w:spacing w:before="0" w:after="120"/>
        <w:rPr>
          <w:lang w:val="es-ES"/>
        </w:rPr>
      </w:pPr>
      <w:r w:rsidRPr="00134F0A">
        <w:rPr>
          <w:lang w:val="es-ES"/>
        </w:rPr>
        <w:t>Atentamente,</w:t>
      </w:r>
    </w:p>
    <w:p w14:paraId="2189C75D" w14:textId="77777777" w:rsidR="000615E7" w:rsidRPr="00134F0A" w:rsidRDefault="000615E7" w:rsidP="000615E7">
      <w:pPr>
        <w:keepNext/>
        <w:keepLines/>
        <w:spacing w:before="240"/>
        <w:rPr>
          <w:szCs w:val="24"/>
          <w:highlight w:val="green"/>
          <w:lang w:val="es-ES"/>
        </w:rPr>
      </w:pPr>
      <w:r w:rsidRPr="00134F0A">
        <w:rPr>
          <w:szCs w:val="24"/>
          <w:highlight w:val="green"/>
          <w:lang w:val="es-ES"/>
        </w:rPr>
        <w:t>[Nombre]</w:t>
      </w:r>
    </w:p>
    <w:p w14:paraId="3DB2039E" w14:textId="77777777" w:rsidR="000615E7" w:rsidRPr="00134F0A" w:rsidRDefault="000615E7" w:rsidP="000615E7">
      <w:pPr>
        <w:keepNext/>
        <w:keepLines/>
        <w:rPr>
          <w:szCs w:val="24"/>
          <w:lang w:val="es-ES"/>
        </w:rPr>
      </w:pPr>
      <w:r w:rsidRPr="00134F0A">
        <w:rPr>
          <w:szCs w:val="24"/>
          <w:highlight w:val="green"/>
          <w:lang w:val="es-ES"/>
        </w:rPr>
        <w:t>[</w:t>
      </w:r>
      <w:r w:rsidRPr="00134F0A">
        <w:rPr>
          <w:rFonts w:cstheme="minorHAnsi"/>
          <w:highlight w:val="green"/>
          <w:lang w:val="es-ES"/>
        </w:rPr>
        <w:t>Cargo oficial/Título</w:t>
      </w:r>
      <w:r w:rsidRPr="00134F0A">
        <w:rPr>
          <w:szCs w:val="24"/>
          <w:highlight w:val="green"/>
          <w:lang w:val="es-ES"/>
        </w:rPr>
        <w:t>]</w:t>
      </w:r>
    </w:p>
    <w:p w14:paraId="71418D27" w14:textId="77777777" w:rsidR="000615E7" w:rsidRPr="00134F0A" w:rsidRDefault="000615E7" w:rsidP="000615E7">
      <w:pPr>
        <w:keepNext/>
        <w:keepLines/>
        <w:rPr>
          <w:szCs w:val="24"/>
          <w:lang w:val="es-ES"/>
        </w:rPr>
      </w:pPr>
      <w:r w:rsidRPr="00134F0A">
        <w:rPr>
          <w:rFonts w:cstheme="minorHAnsi"/>
          <w:lang w:val="es-ES"/>
        </w:rPr>
        <w:t xml:space="preserve">Administración de </w:t>
      </w:r>
      <w:r w:rsidRPr="00134F0A">
        <w:rPr>
          <w:rFonts w:cstheme="minorHAnsi"/>
          <w:highlight w:val="green"/>
          <w:lang w:val="es-ES"/>
        </w:rPr>
        <w:t>[Estado Miembro]</w:t>
      </w:r>
    </w:p>
    <w:p w14:paraId="0854033F" w14:textId="77777777" w:rsidR="000615E7" w:rsidRPr="00134F0A" w:rsidRDefault="000615E7" w:rsidP="00411C49">
      <w:pPr>
        <w:pStyle w:val="Reasons"/>
        <w:rPr>
          <w:lang w:val="es-ES"/>
        </w:rPr>
      </w:pPr>
    </w:p>
    <w:p w14:paraId="1A0D3D50" w14:textId="77777777" w:rsidR="000615E7" w:rsidRDefault="000615E7">
      <w:pPr>
        <w:jc w:val="center"/>
      </w:pPr>
      <w:r>
        <w:t>______________</w:t>
      </w:r>
    </w:p>
    <w:sectPr w:rsidR="000615E7" w:rsidSect="00B87E9E">
      <w:headerReference w:type="default" r:id="rId23"/>
      <w:footerReference w:type="first" r:id="rId2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D862" w14:textId="77777777" w:rsidR="000615E7" w:rsidRDefault="000615E7">
      <w:r>
        <w:separator/>
      </w:r>
    </w:p>
  </w:endnote>
  <w:endnote w:type="continuationSeparator" w:id="0">
    <w:p w14:paraId="7FF17C18" w14:textId="77777777" w:rsidR="000615E7" w:rsidRDefault="0006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B176"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1B90" w14:textId="77777777" w:rsidR="000615E7" w:rsidRDefault="000615E7">
      <w:r>
        <w:t>____________________</w:t>
      </w:r>
    </w:p>
  </w:footnote>
  <w:footnote w:type="continuationSeparator" w:id="0">
    <w:p w14:paraId="1691DB1F" w14:textId="77777777" w:rsidR="000615E7" w:rsidRDefault="0006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840D" w14:textId="658D0831" w:rsidR="006969B4" w:rsidRPr="000615E7" w:rsidRDefault="000615E7" w:rsidP="000615E7">
    <w:pPr>
      <w:pStyle w:val="Header"/>
      <w:rPr>
        <w:sz w:val="18"/>
        <w:szCs w:val="18"/>
      </w:rPr>
    </w:pPr>
    <w:r w:rsidRPr="000615E7">
      <w:rPr>
        <w:sz w:val="18"/>
        <w:szCs w:val="18"/>
      </w:rPr>
      <w:t xml:space="preserve">- </w:t>
    </w:r>
    <w:r w:rsidRPr="000615E7">
      <w:rPr>
        <w:sz w:val="18"/>
        <w:szCs w:val="18"/>
      </w:rPr>
      <w:fldChar w:fldCharType="begin"/>
    </w:r>
    <w:r w:rsidRPr="000615E7">
      <w:rPr>
        <w:sz w:val="18"/>
        <w:szCs w:val="18"/>
      </w:rPr>
      <w:instrText xml:space="preserve"> PAGE   \* MERGEFORMAT </w:instrText>
    </w:r>
    <w:r w:rsidRPr="000615E7">
      <w:rPr>
        <w:sz w:val="18"/>
        <w:szCs w:val="18"/>
      </w:rPr>
      <w:fldChar w:fldCharType="separate"/>
    </w:r>
    <w:r w:rsidRPr="000615E7">
      <w:rPr>
        <w:sz w:val="18"/>
        <w:szCs w:val="18"/>
      </w:rPr>
      <w:t>2</w:t>
    </w:r>
    <w:r w:rsidRPr="000615E7">
      <w:rPr>
        <w:noProof/>
        <w:sz w:val="18"/>
        <w:szCs w:val="18"/>
      </w:rPr>
      <w:fldChar w:fldCharType="end"/>
    </w:r>
    <w:r w:rsidRPr="000615E7">
      <w:rPr>
        <w:noProof/>
        <w:sz w:val="18"/>
        <w:szCs w:val="18"/>
      </w:rPr>
      <w:t xml:space="preserve"> -</w:t>
    </w:r>
    <w:r w:rsidRPr="000615E7">
      <w:rPr>
        <w:noProof/>
        <w:sz w:val="18"/>
        <w:szCs w:val="18"/>
      </w:rPr>
      <w:br/>
    </w:r>
    <w:r w:rsidRPr="000615E7">
      <w:rPr>
        <w:sz w:val="18"/>
        <w:szCs w:val="18"/>
      </w:rPr>
      <w:t>Circular TSB 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2"/>
  </w:num>
  <w:num w:numId="4" w16cid:durableId="374936234">
    <w:abstractNumId w:val="1"/>
  </w:num>
  <w:num w:numId="5" w16cid:durableId="1028749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E7"/>
    <w:rsid w:val="00002529"/>
    <w:rsid w:val="000615E7"/>
    <w:rsid w:val="00085662"/>
    <w:rsid w:val="000C382F"/>
    <w:rsid w:val="001173CC"/>
    <w:rsid w:val="00134F0A"/>
    <w:rsid w:val="001350B9"/>
    <w:rsid w:val="0014464D"/>
    <w:rsid w:val="001A54CC"/>
    <w:rsid w:val="00204434"/>
    <w:rsid w:val="00257FB4"/>
    <w:rsid w:val="002E496E"/>
    <w:rsid w:val="00303D62"/>
    <w:rsid w:val="00335367"/>
    <w:rsid w:val="00370C2D"/>
    <w:rsid w:val="003C448F"/>
    <w:rsid w:val="003D1E8D"/>
    <w:rsid w:val="003D673B"/>
    <w:rsid w:val="003F2855"/>
    <w:rsid w:val="00401C20"/>
    <w:rsid w:val="004A7957"/>
    <w:rsid w:val="004C4144"/>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C83B23"/>
    <w:rsid w:val="00D54642"/>
    <w:rsid w:val="00D834E7"/>
    <w:rsid w:val="00DD77C9"/>
    <w:rsid w:val="00DF3538"/>
    <w:rsid w:val="00E05D3F"/>
    <w:rsid w:val="00E839B0"/>
    <w:rsid w:val="00E92C09"/>
    <w:rsid w:val="00F14380"/>
    <w:rsid w:val="00F166F3"/>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F8D3A"/>
  <w15:docId w15:val="{F2DEB523-E4C2-4505-B12B-7158937C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615E7"/>
    <w:rPr>
      <w:color w:val="605E5C"/>
      <w:shd w:val="clear" w:color="auto" w:fill="E1DFDD"/>
    </w:rPr>
  </w:style>
  <w:style w:type="paragraph" w:customStyle="1" w:styleId="Annextitle0">
    <w:name w:val="Annex_title"/>
    <w:basedOn w:val="Normal"/>
    <w:next w:val="Normal"/>
    <w:rsid w:val="000615E7"/>
    <w:pPr>
      <w:keepNext/>
      <w:keepLines/>
      <w:spacing w:before="240" w:after="280"/>
      <w:jc w:val="center"/>
    </w:pPr>
    <w:rPr>
      <w:rFonts w:ascii="Calibri" w:hAnsi="Calibri"/>
      <w:b/>
      <w:sz w:val="28"/>
      <w:lang w:val="en-GB"/>
    </w:rPr>
  </w:style>
  <w:style w:type="character" w:customStyle="1" w:styleId="Heading2Char">
    <w:name w:val="Heading 2 Char"/>
    <w:basedOn w:val="DefaultParagraphFont"/>
    <w:link w:val="Heading2"/>
    <w:rsid w:val="000615E7"/>
    <w:rPr>
      <w:rFonts w:asciiTheme="minorHAnsi" w:hAnsiTheme="minorHAnsi"/>
      <w:b/>
      <w:sz w:val="24"/>
      <w:lang w:val="es-ES_tradnl" w:eastAsia="en-US"/>
    </w:rPr>
  </w:style>
  <w:style w:type="paragraph" w:customStyle="1" w:styleId="Reasons">
    <w:name w:val="Reasons"/>
    <w:basedOn w:val="Normal"/>
    <w:qFormat/>
    <w:rsid w:val="000615E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SG17-R-0062" TargetMode="External"/><Relationship Id="rId18" Type="http://schemas.openxmlformats.org/officeDocument/2006/relationships/hyperlink" Target="https://www.itu.int/md/meetingdoc.asp?lang=en&amp;parent=T22-SG17-R-006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T22-SG17-240220-TD-PLEN-1739/e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meetingdoc.asp?lang=en&amp;parent=T22-SG17-R-006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T22-SG17-R-0064" TargetMode="External"/><Relationship Id="rId20" Type="http://schemas.openxmlformats.org/officeDocument/2006/relationships/hyperlink" Target="https://www.itu.int/md/meetingdoc.asp?lang=en&amp;parent=T22-SG17-R-0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meetingdoc.asp?lang=en&amp;parent=T22-SG17-R-0063" TargetMode="External"/><Relationship Id="rId23" Type="http://schemas.openxmlformats.org/officeDocument/2006/relationships/header" Target="header1.xml"/><Relationship Id="rId10" Type="http://schemas.openxmlformats.org/officeDocument/2006/relationships/hyperlink" Target="https://www.itu.int/md/T22-SG17-COL-0008/en" TargetMode="External"/><Relationship Id="rId19" Type="http://schemas.openxmlformats.org/officeDocument/2006/relationships/hyperlink" Target="https://www.itu.int/md/meetingdoc.asp?lang=en&amp;parent=T22-SG17-R-0060"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22-SG17-R-0066" TargetMode="External"/><Relationship Id="rId22"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47</TotalTime>
  <Pages>10</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20569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2024-05-01T09:40:00Z</cp:lastPrinted>
  <dcterms:created xsi:type="dcterms:W3CDTF">2024-04-30T08:02:00Z</dcterms:created>
  <dcterms:modified xsi:type="dcterms:W3CDTF">2024-05-01T09:41:00Z</dcterms:modified>
</cp:coreProperties>
</file>