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41" w:type="dxa"/>
        <w:tblInd w:w="-142" w:type="dxa"/>
        <w:tblLayout w:type="fixed"/>
        <w:tblCellMar>
          <w:left w:w="0" w:type="dxa"/>
          <w:right w:w="0" w:type="dxa"/>
        </w:tblCellMar>
        <w:tblLook w:val="0000" w:firstRow="0" w:lastRow="0" w:firstColumn="0" w:lastColumn="0" w:noHBand="0" w:noVBand="0"/>
      </w:tblPr>
      <w:tblGrid>
        <w:gridCol w:w="150"/>
        <w:gridCol w:w="1300"/>
        <w:gridCol w:w="3272"/>
        <w:gridCol w:w="5119"/>
      </w:tblGrid>
      <w:tr w:rsidR="007B6316" w14:paraId="4AC48A75" w14:textId="77777777" w:rsidTr="00C433BA">
        <w:trPr>
          <w:gridBefore w:val="1"/>
          <w:wBefore w:w="150" w:type="dxa"/>
          <w:cantSplit/>
          <w:trHeight w:val="343"/>
        </w:trPr>
        <w:tc>
          <w:tcPr>
            <w:tcW w:w="1300" w:type="dxa"/>
          </w:tcPr>
          <w:p w14:paraId="09B91CB5"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67D9566D" wp14:editId="17D5871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391" w:type="dxa"/>
            <w:gridSpan w:val="2"/>
            <w:vAlign w:val="center"/>
          </w:tcPr>
          <w:p w14:paraId="1D8F0ED1"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14383135"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C433BA" w14:paraId="5CAFE501" w14:textId="77777777" w:rsidTr="00C433BA">
        <w:trPr>
          <w:cantSplit/>
          <w:trHeight w:val="343"/>
        </w:trPr>
        <w:tc>
          <w:tcPr>
            <w:tcW w:w="1450" w:type="dxa"/>
            <w:gridSpan w:val="2"/>
          </w:tcPr>
          <w:p w14:paraId="710079ED" w14:textId="77777777" w:rsidR="007B6316" w:rsidRPr="00C433BA" w:rsidRDefault="007B6316" w:rsidP="00C433BA">
            <w:pPr>
              <w:tabs>
                <w:tab w:val="left" w:pos="4111"/>
              </w:tabs>
              <w:spacing w:before="10"/>
              <w:ind w:left="135"/>
              <w:rPr>
                <w:rFonts w:cstheme="minorHAnsi"/>
                <w:b/>
                <w:bCs/>
                <w:sz w:val="22"/>
                <w:szCs w:val="22"/>
              </w:rPr>
            </w:pPr>
          </w:p>
        </w:tc>
        <w:tc>
          <w:tcPr>
            <w:tcW w:w="3272" w:type="dxa"/>
          </w:tcPr>
          <w:p w14:paraId="3A52679E" w14:textId="77777777" w:rsidR="007B6316" w:rsidRPr="00C433BA" w:rsidRDefault="007B6316" w:rsidP="00303D62">
            <w:pPr>
              <w:tabs>
                <w:tab w:val="left" w:pos="4111"/>
              </w:tabs>
              <w:spacing w:before="0"/>
              <w:ind w:left="57"/>
              <w:rPr>
                <w:rFonts w:cstheme="minorHAnsi"/>
                <w:b/>
                <w:sz w:val="22"/>
                <w:szCs w:val="22"/>
              </w:rPr>
            </w:pPr>
          </w:p>
        </w:tc>
        <w:tc>
          <w:tcPr>
            <w:tcW w:w="5119" w:type="dxa"/>
          </w:tcPr>
          <w:p w14:paraId="065DEF3F" w14:textId="61B3B682" w:rsidR="007B6316" w:rsidRPr="00C433BA" w:rsidRDefault="007B6316" w:rsidP="007B6316">
            <w:pPr>
              <w:tabs>
                <w:tab w:val="clear" w:pos="794"/>
                <w:tab w:val="clear" w:pos="1191"/>
                <w:tab w:val="clear" w:pos="1588"/>
                <w:tab w:val="clear" w:pos="1985"/>
                <w:tab w:val="left" w:pos="284"/>
              </w:tabs>
              <w:spacing w:after="120"/>
              <w:ind w:left="284" w:hanging="227"/>
              <w:rPr>
                <w:rFonts w:cstheme="minorHAnsi"/>
                <w:sz w:val="22"/>
                <w:szCs w:val="22"/>
              </w:rPr>
            </w:pPr>
            <w:r w:rsidRPr="00C433BA">
              <w:rPr>
                <w:rFonts w:cstheme="minorHAnsi"/>
                <w:sz w:val="22"/>
                <w:szCs w:val="22"/>
              </w:rPr>
              <w:t>Ginebra,</w:t>
            </w:r>
            <w:r w:rsidR="0096677B" w:rsidRPr="00C433BA">
              <w:rPr>
                <w:rFonts w:cstheme="minorHAnsi"/>
                <w:sz w:val="22"/>
                <w:szCs w:val="22"/>
              </w:rPr>
              <w:t xml:space="preserve"> 19 de marzo de 2024</w:t>
            </w:r>
          </w:p>
        </w:tc>
      </w:tr>
      <w:tr w:rsidR="001350B9" w:rsidRPr="00C433BA" w14:paraId="549E66AF" w14:textId="77777777" w:rsidTr="00C433BA">
        <w:trPr>
          <w:cantSplit/>
          <w:trHeight w:val="343"/>
        </w:trPr>
        <w:tc>
          <w:tcPr>
            <w:tcW w:w="1450" w:type="dxa"/>
            <w:gridSpan w:val="2"/>
          </w:tcPr>
          <w:p w14:paraId="5B9D16AE" w14:textId="4C928AC9" w:rsidR="001350B9" w:rsidRPr="00C433BA" w:rsidRDefault="001350B9" w:rsidP="00C433BA">
            <w:pPr>
              <w:tabs>
                <w:tab w:val="left" w:pos="4111"/>
              </w:tabs>
              <w:spacing w:before="10"/>
              <w:ind w:left="135"/>
              <w:rPr>
                <w:rFonts w:cstheme="minorHAnsi"/>
                <w:sz w:val="22"/>
                <w:szCs w:val="22"/>
              </w:rPr>
            </w:pPr>
            <w:r w:rsidRPr="00C433BA">
              <w:rPr>
                <w:rFonts w:cstheme="minorHAnsi"/>
                <w:sz w:val="22"/>
                <w:szCs w:val="22"/>
              </w:rPr>
              <w:t>Ref.:</w:t>
            </w:r>
          </w:p>
        </w:tc>
        <w:tc>
          <w:tcPr>
            <w:tcW w:w="3272" w:type="dxa"/>
          </w:tcPr>
          <w:p w14:paraId="347BF6BD" w14:textId="6E6B3BC7" w:rsidR="001350B9" w:rsidRPr="00C433BA" w:rsidRDefault="001350B9" w:rsidP="00303D62">
            <w:pPr>
              <w:tabs>
                <w:tab w:val="left" w:pos="4111"/>
              </w:tabs>
              <w:spacing w:before="0"/>
              <w:ind w:left="57"/>
              <w:rPr>
                <w:rFonts w:cstheme="minorHAnsi"/>
                <w:b/>
                <w:sz w:val="22"/>
                <w:szCs w:val="22"/>
              </w:rPr>
            </w:pPr>
            <w:r w:rsidRPr="00C433BA">
              <w:rPr>
                <w:rFonts w:cstheme="minorHAnsi"/>
                <w:b/>
                <w:sz w:val="22"/>
                <w:szCs w:val="22"/>
              </w:rPr>
              <w:t xml:space="preserve">Circular TSB </w:t>
            </w:r>
            <w:r w:rsidR="0096677B" w:rsidRPr="00C433BA">
              <w:rPr>
                <w:rFonts w:cstheme="minorHAnsi"/>
                <w:b/>
                <w:bCs/>
                <w:sz w:val="22"/>
                <w:szCs w:val="22"/>
              </w:rPr>
              <w:t>193</w:t>
            </w:r>
          </w:p>
          <w:p w14:paraId="5A443A06" w14:textId="33925B59" w:rsidR="001350B9" w:rsidRPr="00C433BA" w:rsidRDefault="0096677B" w:rsidP="007B6316">
            <w:pPr>
              <w:tabs>
                <w:tab w:val="left" w:pos="4111"/>
              </w:tabs>
              <w:spacing w:before="0"/>
              <w:ind w:left="57"/>
              <w:rPr>
                <w:rFonts w:cstheme="minorHAnsi"/>
                <w:b/>
                <w:sz w:val="22"/>
                <w:szCs w:val="22"/>
              </w:rPr>
            </w:pPr>
            <w:r w:rsidRPr="00C433BA">
              <w:rPr>
                <w:rFonts w:cstheme="minorHAnsi"/>
                <w:b/>
                <w:bCs/>
                <w:sz w:val="22"/>
                <w:szCs w:val="22"/>
              </w:rPr>
              <w:t>CB</w:t>
            </w:r>
          </w:p>
        </w:tc>
        <w:tc>
          <w:tcPr>
            <w:tcW w:w="5119" w:type="dxa"/>
            <w:vMerge w:val="restart"/>
          </w:tcPr>
          <w:p w14:paraId="1EEDC0BC" w14:textId="77777777" w:rsidR="0096677B" w:rsidRPr="00C433BA" w:rsidRDefault="0096677B" w:rsidP="0096677B">
            <w:pPr>
              <w:tabs>
                <w:tab w:val="clear" w:pos="794"/>
                <w:tab w:val="clear" w:pos="1191"/>
                <w:tab w:val="clear" w:pos="1588"/>
                <w:tab w:val="clear" w:pos="1985"/>
                <w:tab w:val="left" w:pos="284"/>
              </w:tabs>
              <w:spacing w:before="0"/>
              <w:ind w:left="284" w:hanging="227"/>
              <w:rPr>
                <w:rFonts w:cstheme="minorHAnsi"/>
                <w:b/>
                <w:bCs/>
                <w:sz w:val="22"/>
                <w:szCs w:val="22"/>
              </w:rPr>
            </w:pPr>
            <w:bookmarkStart w:id="0" w:name="Addressee_S"/>
            <w:bookmarkEnd w:id="0"/>
            <w:r w:rsidRPr="00C433BA">
              <w:rPr>
                <w:rFonts w:cstheme="minorHAnsi"/>
                <w:b/>
                <w:bCs/>
                <w:sz w:val="22"/>
                <w:szCs w:val="22"/>
              </w:rPr>
              <w:t>A:</w:t>
            </w:r>
          </w:p>
          <w:p w14:paraId="323444F9" w14:textId="30FA22C8" w:rsidR="0096677B" w:rsidRPr="00C433BA" w:rsidRDefault="0096677B" w:rsidP="0096677B">
            <w:pPr>
              <w:tabs>
                <w:tab w:val="clear" w:pos="794"/>
                <w:tab w:val="clear" w:pos="1191"/>
                <w:tab w:val="clear" w:pos="1588"/>
                <w:tab w:val="clear" w:pos="1985"/>
                <w:tab w:val="left" w:pos="284"/>
              </w:tabs>
              <w:spacing w:before="0"/>
              <w:ind w:left="284" w:hanging="227"/>
              <w:rPr>
                <w:rFonts w:cstheme="minorHAnsi"/>
                <w:sz w:val="22"/>
                <w:szCs w:val="22"/>
              </w:rPr>
            </w:pPr>
            <w:r w:rsidRPr="00C433BA">
              <w:rPr>
                <w:rFonts w:cstheme="minorHAnsi"/>
                <w:sz w:val="22"/>
                <w:szCs w:val="22"/>
              </w:rPr>
              <w:sym w:font="Symbol" w:char="F02D"/>
            </w:r>
            <w:r w:rsidRPr="00C433BA">
              <w:rPr>
                <w:rFonts w:cstheme="minorHAnsi"/>
                <w:sz w:val="22"/>
                <w:szCs w:val="22"/>
              </w:rPr>
              <w:tab/>
            </w:r>
            <w:r w:rsidR="001350B9" w:rsidRPr="00C433BA">
              <w:rPr>
                <w:rFonts w:cstheme="minorHAnsi"/>
                <w:sz w:val="22"/>
                <w:szCs w:val="22"/>
              </w:rPr>
              <w:t>las Administraciones de los Estados Miembros de la Unió</w:t>
            </w:r>
            <w:r w:rsidRPr="00C433BA">
              <w:rPr>
                <w:rFonts w:cstheme="minorHAnsi"/>
                <w:sz w:val="22"/>
                <w:szCs w:val="22"/>
              </w:rPr>
              <w:t>n</w:t>
            </w:r>
            <w:r w:rsidR="0075549B" w:rsidRPr="00C433BA">
              <w:rPr>
                <w:rFonts w:cstheme="minorHAnsi"/>
                <w:sz w:val="22"/>
                <w:szCs w:val="22"/>
              </w:rPr>
              <w:t>;</w:t>
            </w:r>
          </w:p>
          <w:p w14:paraId="22D8E172" w14:textId="7AC23B5F" w:rsidR="001350B9" w:rsidRPr="00C433BA" w:rsidRDefault="0096677B" w:rsidP="0096677B">
            <w:pPr>
              <w:tabs>
                <w:tab w:val="clear" w:pos="794"/>
                <w:tab w:val="clear" w:pos="1191"/>
                <w:tab w:val="clear" w:pos="1588"/>
                <w:tab w:val="clear" w:pos="1985"/>
                <w:tab w:val="left" w:pos="284"/>
              </w:tabs>
              <w:spacing w:before="0"/>
              <w:ind w:left="284" w:hanging="227"/>
              <w:rPr>
                <w:rFonts w:cstheme="minorHAnsi"/>
                <w:sz w:val="22"/>
                <w:szCs w:val="22"/>
              </w:rPr>
            </w:pPr>
            <w:r w:rsidRPr="00C433BA">
              <w:rPr>
                <w:rFonts w:cstheme="minorHAnsi"/>
                <w:sz w:val="22"/>
                <w:szCs w:val="22"/>
              </w:rPr>
              <w:sym w:font="Symbol" w:char="F02D"/>
            </w:r>
            <w:r w:rsidRPr="00C433BA">
              <w:rPr>
                <w:rFonts w:cstheme="minorHAnsi"/>
                <w:sz w:val="22"/>
                <w:szCs w:val="22"/>
              </w:rPr>
              <w:tab/>
            </w:r>
            <w:r w:rsidR="001350B9" w:rsidRPr="00C433BA">
              <w:rPr>
                <w:rFonts w:cstheme="minorHAnsi"/>
                <w:sz w:val="22"/>
                <w:szCs w:val="22"/>
              </w:rPr>
              <w:t>los Miembros del Sector UIT</w:t>
            </w:r>
            <w:r w:rsidR="001350B9" w:rsidRPr="00C433BA">
              <w:rPr>
                <w:rFonts w:cstheme="minorHAnsi"/>
                <w:sz w:val="22"/>
                <w:szCs w:val="22"/>
              </w:rPr>
              <w:noBreakHyphen/>
              <w:t>T;</w:t>
            </w:r>
          </w:p>
          <w:p w14:paraId="754DA4C2" w14:textId="4BA2A1A0" w:rsidR="001350B9" w:rsidRPr="00C433BA" w:rsidRDefault="0096677B" w:rsidP="0096677B">
            <w:pPr>
              <w:tabs>
                <w:tab w:val="clear" w:pos="794"/>
                <w:tab w:val="clear" w:pos="1191"/>
                <w:tab w:val="clear" w:pos="1588"/>
                <w:tab w:val="clear" w:pos="1985"/>
                <w:tab w:val="left" w:pos="284"/>
              </w:tabs>
              <w:spacing w:before="0"/>
              <w:ind w:left="284" w:hanging="227"/>
              <w:rPr>
                <w:rFonts w:cstheme="minorHAnsi"/>
                <w:sz w:val="22"/>
                <w:szCs w:val="22"/>
              </w:rPr>
            </w:pPr>
            <w:r w:rsidRPr="00C433BA">
              <w:rPr>
                <w:rFonts w:cstheme="minorHAnsi"/>
                <w:sz w:val="22"/>
                <w:szCs w:val="22"/>
              </w:rPr>
              <w:sym w:font="Symbol" w:char="F02D"/>
            </w:r>
            <w:r w:rsidRPr="00C433BA">
              <w:rPr>
                <w:rFonts w:cstheme="minorHAnsi"/>
                <w:sz w:val="22"/>
                <w:szCs w:val="22"/>
              </w:rPr>
              <w:tab/>
            </w:r>
            <w:r w:rsidR="001350B9" w:rsidRPr="00C433BA">
              <w:rPr>
                <w:rFonts w:cstheme="minorHAnsi"/>
                <w:sz w:val="22"/>
                <w:szCs w:val="22"/>
              </w:rPr>
              <w:t>los Asociados del UIT</w:t>
            </w:r>
            <w:r w:rsidR="001350B9" w:rsidRPr="00C433BA">
              <w:rPr>
                <w:rFonts w:cstheme="minorHAnsi"/>
                <w:sz w:val="22"/>
                <w:szCs w:val="22"/>
              </w:rPr>
              <w:noBreakHyphen/>
              <w:t>T;</w:t>
            </w:r>
          </w:p>
          <w:p w14:paraId="3EB69838" w14:textId="0715223C" w:rsidR="001350B9" w:rsidRPr="00C433BA" w:rsidRDefault="0096677B" w:rsidP="0096677B">
            <w:pPr>
              <w:tabs>
                <w:tab w:val="clear" w:pos="794"/>
                <w:tab w:val="clear" w:pos="1191"/>
                <w:tab w:val="clear" w:pos="1588"/>
                <w:tab w:val="clear" w:pos="1985"/>
                <w:tab w:val="left" w:pos="284"/>
              </w:tabs>
              <w:spacing w:before="0"/>
              <w:ind w:left="284" w:hanging="227"/>
              <w:rPr>
                <w:rFonts w:cstheme="minorHAnsi"/>
                <w:sz w:val="22"/>
                <w:szCs w:val="22"/>
              </w:rPr>
            </w:pPr>
            <w:r w:rsidRPr="00C433BA">
              <w:rPr>
                <w:rFonts w:cstheme="minorHAnsi"/>
                <w:sz w:val="22"/>
                <w:szCs w:val="22"/>
              </w:rPr>
              <w:sym w:font="Symbol" w:char="F02D"/>
            </w:r>
            <w:r w:rsidRPr="00C433BA">
              <w:rPr>
                <w:rFonts w:cstheme="minorHAnsi"/>
                <w:sz w:val="22"/>
                <w:szCs w:val="22"/>
              </w:rPr>
              <w:tab/>
            </w:r>
            <w:r w:rsidR="001350B9" w:rsidRPr="00C433BA">
              <w:rPr>
                <w:rFonts w:cstheme="minorHAnsi"/>
                <w:sz w:val="22"/>
                <w:szCs w:val="22"/>
              </w:rPr>
              <w:t>las Instituciones Académicas del UIT</w:t>
            </w:r>
            <w:r w:rsidR="0075549B" w:rsidRPr="00C433BA">
              <w:rPr>
                <w:rFonts w:cstheme="minorHAnsi"/>
                <w:sz w:val="22"/>
                <w:szCs w:val="22"/>
              </w:rPr>
              <w:t>;</w:t>
            </w:r>
          </w:p>
          <w:p w14:paraId="7DFA6BFD" w14:textId="50CF0787" w:rsidR="001350B9" w:rsidRPr="00C433BA" w:rsidRDefault="0096677B" w:rsidP="0096677B">
            <w:pPr>
              <w:tabs>
                <w:tab w:val="clear" w:pos="794"/>
                <w:tab w:val="clear" w:pos="1191"/>
                <w:tab w:val="clear" w:pos="1588"/>
                <w:tab w:val="clear" w:pos="1985"/>
                <w:tab w:val="left" w:pos="284"/>
              </w:tabs>
              <w:spacing w:before="0"/>
              <w:ind w:left="284" w:hanging="227"/>
              <w:rPr>
                <w:rFonts w:cstheme="minorHAnsi"/>
                <w:sz w:val="22"/>
                <w:szCs w:val="22"/>
              </w:rPr>
            </w:pPr>
            <w:r w:rsidRPr="00C433BA">
              <w:rPr>
                <w:rFonts w:cstheme="minorHAnsi"/>
                <w:sz w:val="22"/>
                <w:szCs w:val="22"/>
              </w:rPr>
              <w:sym w:font="Symbol" w:char="F02D"/>
            </w:r>
            <w:r w:rsidRPr="00C433BA">
              <w:rPr>
                <w:rFonts w:cstheme="minorHAnsi"/>
                <w:sz w:val="22"/>
                <w:szCs w:val="22"/>
              </w:rPr>
              <w:tab/>
              <w:t>las Misiones Permanentes y Embajadas en Ginebra</w:t>
            </w:r>
            <w:r w:rsidR="0075549B" w:rsidRPr="00C433BA">
              <w:rPr>
                <w:rFonts w:cstheme="minorHAnsi"/>
                <w:sz w:val="22"/>
                <w:szCs w:val="22"/>
              </w:rPr>
              <w:t>;</w:t>
            </w:r>
          </w:p>
          <w:p w14:paraId="0B0DCC57" w14:textId="7F899CCD" w:rsidR="001350B9" w:rsidRPr="00C433BA" w:rsidRDefault="0096677B" w:rsidP="0096677B">
            <w:pPr>
              <w:tabs>
                <w:tab w:val="clear" w:pos="794"/>
                <w:tab w:val="clear" w:pos="1191"/>
                <w:tab w:val="clear" w:pos="1588"/>
                <w:tab w:val="clear" w:pos="1985"/>
                <w:tab w:val="left" w:pos="284"/>
              </w:tabs>
              <w:spacing w:before="0"/>
              <w:ind w:left="284" w:hanging="227"/>
              <w:rPr>
                <w:rFonts w:cstheme="minorHAnsi"/>
                <w:sz w:val="22"/>
                <w:szCs w:val="22"/>
              </w:rPr>
            </w:pPr>
            <w:r w:rsidRPr="00C433BA">
              <w:rPr>
                <w:rFonts w:cstheme="minorHAnsi"/>
                <w:sz w:val="22"/>
                <w:szCs w:val="22"/>
              </w:rPr>
              <w:sym w:font="Symbol" w:char="F02D"/>
            </w:r>
            <w:r w:rsidRPr="00C433BA">
              <w:rPr>
                <w:rFonts w:cstheme="minorHAnsi"/>
                <w:sz w:val="22"/>
                <w:szCs w:val="22"/>
              </w:rPr>
              <w:tab/>
              <w:t>las organizaciones internacionales, regionales y nacionales pertinentes</w:t>
            </w:r>
            <w:r w:rsidR="0075549B" w:rsidRPr="00C433BA">
              <w:rPr>
                <w:rFonts w:cstheme="minorHAnsi"/>
                <w:sz w:val="22"/>
                <w:szCs w:val="22"/>
              </w:rPr>
              <w:t>;</w:t>
            </w:r>
          </w:p>
          <w:p w14:paraId="67C94364" w14:textId="5D51735C" w:rsidR="001350B9" w:rsidRPr="00C433BA" w:rsidRDefault="0096677B" w:rsidP="0096677B">
            <w:pPr>
              <w:tabs>
                <w:tab w:val="clear" w:pos="794"/>
                <w:tab w:val="clear" w:pos="1191"/>
                <w:tab w:val="clear" w:pos="1588"/>
                <w:tab w:val="clear" w:pos="1985"/>
                <w:tab w:val="left" w:pos="284"/>
              </w:tabs>
              <w:spacing w:before="0"/>
              <w:ind w:left="284" w:hanging="227"/>
              <w:rPr>
                <w:rFonts w:cstheme="minorHAnsi"/>
                <w:sz w:val="22"/>
                <w:szCs w:val="22"/>
              </w:rPr>
            </w:pPr>
            <w:r w:rsidRPr="00C433BA">
              <w:rPr>
                <w:rFonts w:cstheme="minorHAnsi"/>
                <w:sz w:val="22"/>
                <w:szCs w:val="22"/>
              </w:rPr>
              <w:sym w:font="Symbol" w:char="F02D"/>
            </w:r>
            <w:r w:rsidRPr="00C433BA">
              <w:rPr>
                <w:rFonts w:cstheme="minorHAnsi"/>
                <w:sz w:val="22"/>
                <w:szCs w:val="22"/>
              </w:rPr>
              <w:tab/>
              <w:t>las organizaciones intergubernamentales que explotan sistemas de satélites</w:t>
            </w:r>
            <w:r w:rsidR="0075549B" w:rsidRPr="00C433BA">
              <w:rPr>
                <w:rFonts w:cstheme="minorHAnsi"/>
                <w:sz w:val="22"/>
                <w:szCs w:val="22"/>
              </w:rPr>
              <w:t>;</w:t>
            </w:r>
          </w:p>
          <w:p w14:paraId="0C0DE438" w14:textId="18C37940" w:rsidR="0096677B" w:rsidRPr="00C433BA" w:rsidRDefault="0096677B" w:rsidP="0096677B">
            <w:pPr>
              <w:tabs>
                <w:tab w:val="clear" w:pos="794"/>
                <w:tab w:val="clear" w:pos="1191"/>
                <w:tab w:val="clear" w:pos="1588"/>
                <w:tab w:val="clear" w:pos="1985"/>
                <w:tab w:val="left" w:pos="284"/>
              </w:tabs>
              <w:spacing w:before="0"/>
              <w:ind w:left="284" w:hanging="227"/>
              <w:rPr>
                <w:rFonts w:cstheme="minorHAnsi"/>
                <w:sz w:val="22"/>
                <w:szCs w:val="22"/>
              </w:rPr>
            </w:pPr>
            <w:r w:rsidRPr="00C433BA">
              <w:rPr>
                <w:rFonts w:cstheme="minorHAnsi"/>
                <w:sz w:val="22"/>
                <w:szCs w:val="22"/>
              </w:rPr>
              <w:sym w:font="Symbol" w:char="F02D"/>
            </w:r>
            <w:r w:rsidRPr="00C433BA">
              <w:rPr>
                <w:rFonts w:cstheme="minorHAnsi"/>
                <w:sz w:val="22"/>
                <w:szCs w:val="22"/>
              </w:rPr>
              <w:tab/>
              <w:t>las Naciones Unidas</w:t>
            </w:r>
            <w:r w:rsidR="0075549B" w:rsidRPr="00C433BA">
              <w:rPr>
                <w:rFonts w:cstheme="minorHAnsi"/>
                <w:sz w:val="22"/>
                <w:szCs w:val="22"/>
              </w:rPr>
              <w:t>;</w:t>
            </w:r>
          </w:p>
          <w:p w14:paraId="2B64C9CC" w14:textId="1E0F4426" w:rsidR="00F50379" w:rsidRPr="00C433BA" w:rsidRDefault="00F50379" w:rsidP="0096677B">
            <w:pPr>
              <w:tabs>
                <w:tab w:val="clear" w:pos="794"/>
                <w:tab w:val="clear" w:pos="1191"/>
                <w:tab w:val="clear" w:pos="1588"/>
                <w:tab w:val="clear" w:pos="1985"/>
                <w:tab w:val="left" w:pos="284"/>
              </w:tabs>
              <w:spacing w:before="0"/>
              <w:ind w:left="284" w:hanging="227"/>
              <w:rPr>
                <w:rFonts w:cstheme="minorHAnsi"/>
                <w:sz w:val="22"/>
                <w:szCs w:val="22"/>
              </w:rPr>
            </w:pPr>
            <w:r w:rsidRPr="00C433BA">
              <w:rPr>
                <w:rFonts w:cstheme="minorHAnsi"/>
                <w:sz w:val="22"/>
                <w:szCs w:val="22"/>
              </w:rPr>
              <w:sym w:font="Symbol" w:char="F02D"/>
            </w:r>
            <w:r w:rsidRPr="00C433BA">
              <w:rPr>
                <w:rFonts w:cstheme="minorHAnsi"/>
                <w:sz w:val="22"/>
                <w:szCs w:val="22"/>
              </w:rPr>
              <w:tab/>
              <w:t>los organismos especializados de las Naciones Unidas y el Organismo Internacional de Energía Atómica</w:t>
            </w:r>
            <w:r w:rsidR="0075549B" w:rsidRPr="00C433BA">
              <w:rPr>
                <w:rFonts w:cstheme="minorHAnsi"/>
                <w:sz w:val="22"/>
                <w:szCs w:val="22"/>
              </w:rPr>
              <w:t>.</w:t>
            </w:r>
          </w:p>
        </w:tc>
      </w:tr>
      <w:tr w:rsidR="001350B9" w:rsidRPr="00C433BA" w14:paraId="48ED0888" w14:textId="77777777" w:rsidTr="00C433BA">
        <w:trPr>
          <w:cantSplit/>
          <w:trHeight w:val="287"/>
        </w:trPr>
        <w:tc>
          <w:tcPr>
            <w:tcW w:w="1450" w:type="dxa"/>
            <w:gridSpan w:val="2"/>
          </w:tcPr>
          <w:p w14:paraId="5BD61DAA" w14:textId="77777777" w:rsidR="001350B9" w:rsidRPr="00C433BA" w:rsidRDefault="001350B9" w:rsidP="00C433BA">
            <w:pPr>
              <w:tabs>
                <w:tab w:val="left" w:pos="4111"/>
              </w:tabs>
              <w:spacing w:before="10"/>
              <w:ind w:left="135"/>
              <w:rPr>
                <w:rFonts w:cstheme="minorHAnsi"/>
                <w:sz w:val="22"/>
                <w:szCs w:val="22"/>
              </w:rPr>
            </w:pPr>
            <w:r w:rsidRPr="00C433BA">
              <w:rPr>
                <w:rFonts w:cstheme="minorHAnsi"/>
                <w:sz w:val="22"/>
                <w:szCs w:val="22"/>
              </w:rPr>
              <w:t>Tel.:</w:t>
            </w:r>
          </w:p>
        </w:tc>
        <w:tc>
          <w:tcPr>
            <w:tcW w:w="3272" w:type="dxa"/>
          </w:tcPr>
          <w:p w14:paraId="403CF7A5" w14:textId="1CC931AF" w:rsidR="001350B9" w:rsidRPr="00C433BA" w:rsidRDefault="001350B9" w:rsidP="00303D62">
            <w:pPr>
              <w:tabs>
                <w:tab w:val="left" w:pos="4111"/>
              </w:tabs>
              <w:spacing w:before="0"/>
              <w:ind w:left="57"/>
              <w:rPr>
                <w:rStyle w:val="Hyperlink"/>
                <w:rFonts w:cstheme="minorHAnsi"/>
                <w:sz w:val="22"/>
                <w:szCs w:val="22"/>
              </w:rPr>
            </w:pPr>
            <w:r w:rsidRPr="00C433BA">
              <w:rPr>
                <w:rFonts w:cstheme="minorHAnsi"/>
                <w:sz w:val="22"/>
                <w:szCs w:val="22"/>
              </w:rPr>
              <w:t>+41 22 730</w:t>
            </w:r>
            <w:r w:rsidR="0096677B" w:rsidRPr="00C433BA">
              <w:rPr>
                <w:rFonts w:cstheme="minorHAnsi"/>
                <w:sz w:val="22"/>
                <w:szCs w:val="22"/>
              </w:rPr>
              <w:t xml:space="preserve"> 6301</w:t>
            </w:r>
          </w:p>
        </w:tc>
        <w:tc>
          <w:tcPr>
            <w:tcW w:w="5119" w:type="dxa"/>
            <w:vMerge/>
          </w:tcPr>
          <w:p w14:paraId="7DF55C90" w14:textId="77777777" w:rsidR="001350B9" w:rsidRPr="00C433BA" w:rsidRDefault="001350B9" w:rsidP="00303D62">
            <w:pPr>
              <w:tabs>
                <w:tab w:val="left" w:pos="226"/>
                <w:tab w:val="left" w:pos="510"/>
              </w:tabs>
              <w:spacing w:before="0"/>
              <w:ind w:left="226" w:hanging="169"/>
              <w:rPr>
                <w:rFonts w:cstheme="minorHAnsi"/>
                <w:b/>
                <w:sz w:val="22"/>
                <w:szCs w:val="22"/>
              </w:rPr>
            </w:pPr>
          </w:p>
        </w:tc>
      </w:tr>
      <w:tr w:rsidR="001350B9" w:rsidRPr="00C433BA" w14:paraId="03597B5B" w14:textId="77777777" w:rsidTr="00C433BA">
        <w:trPr>
          <w:cantSplit/>
          <w:trHeight w:val="301"/>
        </w:trPr>
        <w:tc>
          <w:tcPr>
            <w:tcW w:w="1450" w:type="dxa"/>
            <w:gridSpan w:val="2"/>
          </w:tcPr>
          <w:p w14:paraId="486D2BF0" w14:textId="77777777" w:rsidR="001350B9" w:rsidRPr="00C433BA" w:rsidRDefault="001350B9" w:rsidP="00C433BA">
            <w:pPr>
              <w:tabs>
                <w:tab w:val="left" w:pos="4111"/>
              </w:tabs>
              <w:spacing w:before="10"/>
              <w:ind w:left="135"/>
              <w:rPr>
                <w:rFonts w:cstheme="minorHAnsi"/>
                <w:sz w:val="22"/>
                <w:szCs w:val="22"/>
              </w:rPr>
            </w:pPr>
            <w:r w:rsidRPr="00C433BA">
              <w:rPr>
                <w:rFonts w:cstheme="minorHAnsi"/>
                <w:sz w:val="22"/>
                <w:szCs w:val="22"/>
              </w:rPr>
              <w:t>Fax:</w:t>
            </w:r>
          </w:p>
        </w:tc>
        <w:tc>
          <w:tcPr>
            <w:tcW w:w="3272" w:type="dxa"/>
          </w:tcPr>
          <w:p w14:paraId="1F3B6A8F" w14:textId="77777777" w:rsidR="001350B9" w:rsidRPr="00C433BA" w:rsidRDefault="001350B9" w:rsidP="00303D62">
            <w:pPr>
              <w:tabs>
                <w:tab w:val="left" w:pos="4111"/>
              </w:tabs>
              <w:spacing w:before="0"/>
              <w:ind w:left="57"/>
              <w:rPr>
                <w:rStyle w:val="Hyperlink"/>
                <w:rFonts w:cstheme="minorHAnsi"/>
                <w:sz w:val="22"/>
                <w:szCs w:val="22"/>
              </w:rPr>
            </w:pPr>
            <w:r w:rsidRPr="00C433BA">
              <w:rPr>
                <w:rFonts w:cstheme="minorHAnsi"/>
                <w:sz w:val="22"/>
                <w:szCs w:val="22"/>
              </w:rPr>
              <w:t>+41 22 730 5853</w:t>
            </w:r>
          </w:p>
        </w:tc>
        <w:tc>
          <w:tcPr>
            <w:tcW w:w="5119" w:type="dxa"/>
            <w:vMerge/>
          </w:tcPr>
          <w:p w14:paraId="4573B7A8" w14:textId="77777777" w:rsidR="001350B9" w:rsidRPr="00C433BA" w:rsidRDefault="001350B9" w:rsidP="00303D62">
            <w:pPr>
              <w:tabs>
                <w:tab w:val="left" w:pos="226"/>
                <w:tab w:val="left" w:pos="510"/>
              </w:tabs>
              <w:spacing w:before="0"/>
              <w:ind w:left="226" w:hanging="169"/>
              <w:rPr>
                <w:rFonts w:cstheme="minorHAnsi"/>
                <w:b/>
                <w:sz w:val="22"/>
                <w:szCs w:val="22"/>
              </w:rPr>
            </w:pPr>
          </w:p>
        </w:tc>
      </w:tr>
      <w:tr w:rsidR="001350B9" w:rsidRPr="00C433BA" w14:paraId="325EDDA8" w14:textId="77777777" w:rsidTr="00C433BA">
        <w:trPr>
          <w:cantSplit/>
          <w:trHeight w:val="2560"/>
        </w:trPr>
        <w:tc>
          <w:tcPr>
            <w:tcW w:w="1450" w:type="dxa"/>
            <w:gridSpan w:val="2"/>
          </w:tcPr>
          <w:p w14:paraId="1ADE04F0" w14:textId="77777777" w:rsidR="001350B9" w:rsidRPr="00C433BA" w:rsidRDefault="001350B9" w:rsidP="00C433BA">
            <w:pPr>
              <w:tabs>
                <w:tab w:val="left" w:pos="4111"/>
              </w:tabs>
              <w:spacing w:before="10"/>
              <w:ind w:left="135"/>
              <w:rPr>
                <w:rFonts w:cstheme="minorHAnsi"/>
                <w:sz w:val="22"/>
                <w:szCs w:val="22"/>
              </w:rPr>
            </w:pPr>
            <w:r w:rsidRPr="00C433BA">
              <w:rPr>
                <w:rFonts w:cstheme="minorHAnsi"/>
                <w:sz w:val="22"/>
                <w:szCs w:val="22"/>
              </w:rPr>
              <w:t>Correo-e:</w:t>
            </w:r>
          </w:p>
        </w:tc>
        <w:tc>
          <w:tcPr>
            <w:tcW w:w="3272" w:type="dxa"/>
          </w:tcPr>
          <w:p w14:paraId="52702B7A" w14:textId="2FE578E7" w:rsidR="001350B9" w:rsidRPr="00C433BA" w:rsidRDefault="002B4391" w:rsidP="00303D62">
            <w:pPr>
              <w:tabs>
                <w:tab w:val="left" w:pos="4111"/>
              </w:tabs>
              <w:spacing w:before="0"/>
              <w:ind w:left="57"/>
              <w:rPr>
                <w:rFonts w:cstheme="minorHAnsi"/>
                <w:sz w:val="22"/>
                <w:szCs w:val="22"/>
              </w:rPr>
            </w:pPr>
            <w:hyperlink r:id="rId9" w:history="1">
              <w:r w:rsidR="0096677B" w:rsidRPr="00C433BA">
                <w:rPr>
                  <w:rStyle w:val="Hyperlink"/>
                  <w:rFonts w:cstheme="minorHAnsi"/>
                  <w:sz w:val="22"/>
                  <w:szCs w:val="22"/>
                </w:rPr>
                <w:t>virtualworlds@itu.int</w:t>
              </w:r>
            </w:hyperlink>
            <w:r w:rsidR="001350B9" w:rsidRPr="00C433BA">
              <w:rPr>
                <w:rFonts w:cstheme="minorHAnsi"/>
                <w:sz w:val="22"/>
                <w:szCs w:val="22"/>
              </w:rPr>
              <w:t xml:space="preserve"> </w:t>
            </w:r>
          </w:p>
        </w:tc>
        <w:tc>
          <w:tcPr>
            <w:tcW w:w="5119" w:type="dxa"/>
            <w:vMerge/>
          </w:tcPr>
          <w:p w14:paraId="3440BB51" w14:textId="77777777" w:rsidR="001350B9" w:rsidRPr="00C433BA" w:rsidRDefault="001350B9" w:rsidP="00303D62">
            <w:pPr>
              <w:tabs>
                <w:tab w:val="clear" w:pos="794"/>
                <w:tab w:val="clear" w:pos="1191"/>
                <w:tab w:val="clear" w:pos="1588"/>
                <w:tab w:val="clear" w:pos="1985"/>
                <w:tab w:val="left" w:pos="226"/>
                <w:tab w:val="left" w:pos="510"/>
              </w:tabs>
              <w:spacing w:before="0"/>
              <w:ind w:left="226" w:hanging="169"/>
              <w:rPr>
                <w:rFonts w:cstheme="minorHAnsi"/>
                <w:sz w:val="22"/>
                <w:szCs w:val="22"/>
              </w:rPr>
            </w:pPr>
          </w:p>
        </w:tc>
      </w:tr>
      <w:tr w:rsidR="00F50379" w:rsidRPr="00C433BA" w14:paraId="4C7E8A5B" w14:textId="6E2E55A5" w:rsidTr="00C433BA">
        <w:trPr>
          <w:cantSplit/>
          <w:trHeight w:val="1979"/>
        </w:trPr>
        <w:tc>
          <w:tcPr>
            <w:tcW w:w="1450" w:type="dxa"/>
            <w:gridSpan w:val="2"/>
          </w:tcPr>
          <w:p w14:paraId="10A015F8" w14:textId="77777777" w:rsidR="00F50379" w:rsidRPr="00C433BA" w:rsidRDefault="00F50379" w:rsidP="00C433BA">
            <w:pPr>
              <w:tabs>
                <w:tab w:val="left" w:pos="4111"/>
              </w:tabs>
              <w:spacing w:before="10"/>
              <w:ind w:left="135"/>
              <w:rPr>
                <w:rFonts w:cstheme="minorHAnsi"/>
                <w:sz w:val="22"/>
                <w:szCs w:val="22"/>
              </w:rPr>
            </w:pPr>
          </w:p>
        </w:tc>
        <w:tc>
          <w:tcPr>
            <w:tcW w:w="3272" w:type="dxa"/>
          </w:tcPr>
          <w:p w14:paraId="687786E2" w14:textId="77777777" w:rsidR="00F50379" w:rsidRPr="00C433BA" w:rsidRDefault="00F50379" w:rsidP="00F50379">
            <w:pPr>
              <w:tabs>
                <w:tab w:val="left" w:pos="4111"/>
              </w:tabs>
              <w:spacing w:before="0"/>
              <w:rPr>
                <w:rFonts w:cstheme="minorHAnsi"/>
                <w:bCs/>
                <w:sz w:val="22"/>
                <w:szCs w:val="22"/>
              </w:rPr>
            </w:pPr>
          </w:p>
        </w:tc>
        <w:tc>
          <w:tcPr>
            <w:tcW w:w="5119" w:type="dxa"/>
            <w:tcBorders>
              <w:left w:val="nil"/>
            </w:tcBorders>
          </w:tcPr>
          <w:p w14:paraId="610B0632" w14:textId="77777777" w:rsidR="00F50379" w:rsidRPr="00C433BA" w:rsidRDefault="00F50379" w:rsidP="00F50379">
            <w:pPr>
              <w:pStyle w:val="Tabletext0"/>
              <w:tabs>
                <w:tab w:val="clear" w:pos="284"/>
                <w:tab w:val="left" w:pos="430"/>
              </w:tabs>
              <w:spacing w:before="0" w:after="0"/>
              <w:ind w:left="283" w:hanging="283"/>
              <w:rPr>
                <w:rFonts w:cstheme="minorHAnsi"/>
                <w:szCs w:val="22"/>
              </w:rPr>
            </w:pPr>
            <w:r w:rsidRPr="00C433BA">
              <w:rPr>
                <w:rFonts w:cstheme="minorHAnsi"/>
                <w:b/>
                <w:bCs/>
                <w:szCs w:val="22"/>
              </w:rPr>
              <w:t>Copia a:</w:t>
            </w:r>
          </w:p>
          <w:p w14:paraId="7EF983E7" w14:textId="4AB62C9D" w:rsidR="00F50379" w:rsidRPr="00C433BA" w:rsidRDefault="00F50379" w:rsidP="00F50379">
            <w:pPr>
              <w:tabs>
                <w:tab w:val="clear" w:pos="794"/>
                <w:tab w:val="clear" w:pos="1191"/>
                <w:tab w:val="clear" w:pos="1588"/>
                <w:tab w:val="clear" w:pos="1985"/>
                <w:tab w:val="left" w:pos="284"/>
              </w:tabs>
              <w:spacing w:before="0"/>
              <w:ind w:left="284" w:hanging="227"/>
              <w:rPr>
                <w:rFonts w:cstheme="minorHAnsi"/>
                <w:sz w:val="22"/>
                <w:szCs w:val="22"/>
              </w:rPr>
            </w:pPr>
            <w:r w:rsidRPr="00C433BA">
              <w:rPr>
                <w:rFonts w:cstheme="minorHAnsi"/>
                <w:sz w:val="22"/>
                <w:szCs w:val="22"/>
              </w:rPr>
              <w:sym w:font="Symbol" w:char="F02D"/>
            </w:r>
            <w:r w:rsidRPr="00C433BA">
              <w:rPr>
                <w:rFonts w:cstheme="minorHAnsi"/>
                <w:sz w:val="22"/>
                <w:szCs w:val="22"/>
              </w:rPr>
              <w:tab/>
              <w:t xml:space="preserve">los </w:t>
            </w:r>
            <w:proofErr w:type="gramStart"/>
            <w:r w:rsidRPr="00C433BA">
              <w:rPr>
                <w:rFonts w:cstheme="minorHAnsi"/>
                <w:sz w:val="22"/>
                <w:szCs w:val="22"/>
              </w:rPr>
              <w:t>Presidentes</w:t>
            </w:r>
            <w:proofErr w:type="gramEnd"/>
            <w:r w:rsidRPr="00C433BA">
              <w:rPr>
                <w:rFonts w:cstheme="minorHAnsi"/>
                <w:sz w:val="22"/>
                <w:szCs w:val="22"/>
              </w:rPr>
              <w:t xml:space="preserve"> y Vicepresidentes de las Comisiones de Estudio del UIT-T</w:t>
            </w:r>
            <w:r w:rsidR="0075549B" w:rsidRPr="00C433BA">
              <w:rPr>
                <w:rFonts w:cstheme="minorHAnsi"/>
                <w:sz w:val="22"/>
                <w:szCs w:val="22"/>
              </w:rPr>
              <w:t>;</w:t>
            </w:r>
          </w:p>
          <w:p w14:paraId="454629A8" w14:textId="49DA4F76" w:rsidR="00F50379" w:rsidRPr="00C433BA" w:rsidRDefault="00F50379" w:rsidP="00F50379">
            <w:pPr>
              <w:tabs>
                <w:tab w:val="clear" w:pos="794"/>
                <w:tab w:val="clear" w:pos="1191"/>
                <w:tab w:val="clear" w:pos="1588"/>
                <w:tab w:val="clear" w:pos="1985"/>
                <w:tab w:val="left" w:pos="284"/>
              </w:tabs>
              <w:spacing w:before="0"/>
              <w:ind w:left="284" w:hanging="227"/>
              <w:rPr>
                <w:rFonts w:cstheme="minorHAnsi"/>
                <w:sz w:val="22"/>
                <w:szCs w:val="22"/>
              </w:rPr>
            </w:pPr>
            <w:r w:rsidRPr="00C433BA">
              <w:rPr>
                <w:rFonts w:cstheme="minorHAnsi"/>
                <w:sz w:val="22"/>
                <w:szCs w:val="22"/>
              </w:rPr>
              <w:sym w:font="Symbol" w:char="F02D"/>
            </w:r>
            <w:r w:rsidRPr="00C433BA">
              <w:rPr>
                <w:rFonts w:cstheme="minorHAnsi"/>
                <w:sz w:val="22"/>
                <w:szCs w:val="22"/>
              </w:rPr>
              <w:tab/>
              <w:t xml:space="preserve">el </w:t>
            </w:r>
            <w:proofErr w:type="gramStart"/>
            <w:r w:rsidRPr="00C433BA">
              <w:rPr>
                <w:rFonts w:cstheme="minorHAnsi"/>
                <w:sz w:val="22"/>
                <w:szCs w:val="22"/>
              </w:rPr>
              <w:t>Director</w:t>
            </w:r>
            <w:proofErr w:type="gramEnd"/>
            <w:r w:rsidRPr="00C433BA">
              <w:rPr>
                <w:rFonts w:cstheme="minorHAnsi"/>
                <w:sz w:val="22"/>
                <w:szCs w:val="22"/>
              </w:rPr>
              <w:t xml:space="preserve"> de la Oficina de Desarrollo de las Telecomunicaciones</w:t>
            </w:r>
            <w:r w:rsidR="0075549B" w:rsidRPr="00C433BA">
              <w:rPr>
                <w:rFonts w:cstheme="minorHAnsi"/>
                <w:sz w:val="22"/>
                <w:szCs w:val="22"/>
              </w:rPr>
              <w:t>;</w:t>
            </w:r>
          </w:p>
          <w:p w14:paraId="029897DA" w14:textId="76EEA5FF" w:rsidR="00F50379" w:rsidRPr="00C433BA" w:rsidRDefault="00F50379" w:rsidP="00F50379">
            <w:pPr>
              <w:tabs>
                <w:tab w:val="clear" w:pos="794"/>
                <w:tab w:val="clear" w:pos="1191"/>
                <w:tab w:val="clear" w:pos="1588"/>
                <w:tab w:val="clear" w:pos="1985"/>
                <w:tab w:val="left" w:pos="284"/>
              </w:tabs>
              <w:spacing w:before="0"/>
              <w:ind w:left="284" w:hanging="227"/>
              <w:rPr>
                <w:rFonts w:cstheme="minorHAnsi"/>
                <w:bCs/>
                <w:sz w:val="22"/>
                <w:szCs w:val="22"/>
              </w:rPr>
            </w:pPr>
            <w:r w:rsidRPr="00C433BA">
              <w:rPr>
                <w:rFonts w:cstheme="minorHAnsi"/>
                <w:sz w:val="22"/>
                <w:szCs w:val="22"/>
              </w:rPr>
              <w:sym w:font="Symbol" w:char="F02D"/>
            </w:r>
            <w:r w:rsidRPr="00C433BA">
              <w:rPr>
                <w:rFonts w:cstheme="minorHAnsi"/>
                <w:sz w:val="22"/>
                <w:szCs w:val="22"/>
              </w:rPr>
              <w:tab/>
              <w:t xml:space="preserve">el </w:t>
            </w:r>
            <w:proofErr w:type="gramStart"/>
            <w:r w:rsidRPr="00C433BA">
              <w:rPr>
                <w:rFonts w:cstheme="minorHAnsi"/>
                <w:sz w:val="22"/>
                <w:szCs w:val="22"/>
              </w:rPr>
              <w:t>Director</w:t>
            </w:r>
            <w:proofErr w:type="gramEnd"/>
            <w:r w:rsidRPr="00C433BA">
              <w:rPr>
                <w:rFonts w:cstheme="minorHAnsi"/>
                <w:sz w:val="22"/>
                <w:szCs w:val="22"/>
              </w:rPr>
              <w:t xml:space="preserve"> de la Oficina de Radiocomunicaciones</w:t>
            </w:r>
          </w:p>
        </w:tc>
      </w:tr>
      <w:tr w:rsidR="00F50379" w:rsidRPr="00C433BA" w14:paraId="6387E189" w14:textId="0237162F" w:rsidTr="00C433BA">
        <w:trPr>
          <w:cantSplit/>
          <w:trHeight w:val="683"/>
        </w:trPr>
        <w:tc>
          <w:tcPr>
            <w:tcW w:w="1450" w:type="dxa"/>
            <w:gridSpan w:val="2"/>
          </w:tcPr>
          <w:p w14:paraId="7C6A3797" w14:textId="799DC33E" w:rsidR="00F50379" w:rsidRPr="00C433BA" w:rsidRDefault="00F50379" w:rsidP="00C433BA">
            <w:pPr>
              <w:tabs>
                <w:tab w:val="left" w:pos="4111"/>
              </w:tabs>
              <w:spacing w:before="10"/>
              <w:ind w:left="135"/>
              <w:rPr>
                <w:rFonts w:cstheme="minorHAnsi"/>
                <w:sz w:val="22"/>
                <w:szCs w:val="22"/>
              </w:rPr>
            </w:pPr>
            <w:r w:rsidRPr="00C433BA">
              <w:rPr>
                <w:rFonts w:cstheme="minorHAnsi"/>
                <w:b/>
                <w:bCs/>
                <w:sz w:val="22"/>
                <w:szCs w:val="22"/>
              </w:rPr>
              <w:t>Asunto</w:t>
            </w:r>
            <w:r w:rsidRPr="00C433BA">
              <w:rPr>
                <w:rFonts w:cstheme="minorHAnsi"/>
                <w:sz w:val="22"/>
                <w:szCs w:val="22"/>
              </w:rPr>
              <w:t>:</w:t>
            </w:r>
          </w:p>
        </w:tc>
        <w:tc>
          <w:tcPr>
            <w:tcW w:w="8391" w:type="dxa"/>
            <w:gridSpan w:val="2"/>
          </w:tcPr>
          <w:p w14:paraId="165AA95F" w14:textId="6A9BD5A0" w:rsidR="00F50379" w:rsidRPr="00C433BA" w:rsidRDefault="00F50379" w:rsidP="00F50379">
            <w:pPr>
              <w:tabs>
                <w:tab w:val="left" w:pos="4111"/>
              </w:tabs>
              <w:spacing w:before="0"/>
              <w:rPr>
                <w:rFonts w:cstheme="minorHAnsi"/>
                <w:bCs/>
                <w:sz w:val="22"/>
                <w:szCs w:val="22"/>
              </w:rPr>
            </w:pPr>
            <w:r w:rsidRPr="00C433BA">
              <w:rPr>
                <w:rFonts w:cstheme="minorHAnsi"/>
                <w:b/>
                <w:bCs/>
                <w:sz w:val="22"/>
                <w:szCs w:val="22"/>
              </w:rPr>
              <w:t>Primer Día de los Mundos Virtuales de las Naciones Unidas: Aprovechar el metaverso para impulsar los ODS (Ginebra, 14 de junio de 2024)</w:t>
            </w:r>
          </w:p>
        </w:tc>
      </w:tr>
    </w:tbl>
    <w:p w14:paraId="76ED075D" w14:textId="15A70595" w:rsidR="00D21840" w:rsidRPr="00C433BA" w:rsidRDefault="00D21840" w:rsidP="00C433BA">
      <w:pPr>
        <w:pStyle w:val="Normalaftertitle"/>
        <w:spacing w:before="120"/>
        <w:rPr>
          <w:rFonts w:cstheme="minorHAnsi"/>
          <w:sz w:val="22"/>
          <w:szCs w:val="22"/>
        </w:rPr>
      </w:pPr>
      <w:r w:rsidRPr="00C433BA">
        <w:rPr>
          <w:rFonts w:cstheme="minorHAnsi"/>
          <w:sz w:val="22"/>
          <w:szCs w:val="22"/>
        </w:rPr>
        <w:t>Estimado Señor/Estimada Señora</w:t>
      </w:r>
      <w:r w:rsidR="00C433BA">
        <w:rPr>
          <w:rFonts w:cstheme="minorHAnsi"/>
          <w:sz w:val="22"/>
          <w:szCs w:val="22"/>
        </w:rPr>
        <w:t>,</w:t>
      </w:r>
    </w:p>
    <w:p w14:paraId="76322C4E" w14:textId="4219E49B" w:rsidR="0096101B" w:rsidRPr="00C433BA" w:rsidRDefault="00D21840" w:rsidP="004D3F0B">
      <w:pPr>
        <w:rPr>
          <w:rFonts w:cstheme="minorHAnsi"/>
          <w:sz w:val="22"/>
          <w:szCs w:val="22"/>
        </w:rPr>
      </w:pPr>
      <w:r w:rsidRPr="00C433BA">
        <w:rPr>
          <w:rFonts w:cstheme="minorHAnsi"/>
          <w:sz w:val="22"/>
          <w:szCs w:val="22"/>
        </w:rPr>
        <w:t>1</w:t>
      </w:r>
      <w:r w:rsidRPr="00C433BA">
        <w:rPr>
          <w:rFonts w:cstheme="minorHAnsi"/>
          <w:sz w:val="22"/>
          <w:szCs w:val="22"/>
        </w:rPr>
        <w:tab/>
        <w:t xml:space="preserve">La Unión Internacional de Telecomunicaciones (UIT), en nombre de la Organización de las Naciones Unidas para la Alimentación y la Agricultura (FAO), el Centro Internacional de Formación de la Organización Internacional del Trabajo (CIF), el Departamento de Asuntos Políticos y de Consolidación de la Paz de las Naciones Unidas (DAPCP), la Comisión Económica para Europa de las Naciones Unidas (CEPE), la Comisión Económica y Social de las Naciones Unidas para Asia Occidental (CESPAO), la Convención Marco de las Naciones Unidas sobre el Cambio Climático (CMNUCC) y su iniciativa interinstitucional Fronteras de Resiliencia, la Red de Laboratorios del Futuro de las Naciones Unidas, las Naciones Unidas en Guatemala, el Centro Internacional de Cálculos Electrónicos de las Naciones Unidas (CICE), el Fondo de las Naciones Unidas para la Infancia (UNICEF), la Red de Innovación de las Naciones Unidas (UNIN), la Universidad de las Naciones Unidas (UNU), la Organización Mundial de la Propiedad Intelectual (OMPI), el Banco Mundial y la Organización Meteorológica Mundial (OMM) desean invitarle al </w:t>
      </w:r>
      <w:hyperlink r:id="rId10" w:history="1">
        <w:r w:rsidRPr="00C433BA">
          <w:rPr>
            <w:rStyle w:val="Hyperlink"/>
            <w:rFonts w:cstheme="minorHAnsi"/>
            <w:sz w:val="22"/>
            <w:szCs w:val="22"/>
          </w:rPr>
          <w:t>Primer Día de los Mundos Virtuales de las Naciones Unidas: Aprovechar el metaverso p</w:t>
        </w:r>
        <w:r w:rsidRPr="00C433BA">
          <w:rPr>
            <w:rStyle w:val="Hyperlink"/>
            <w:rFonts w:cstheme="minorHAnsi"/>
            <w:sz w:val="22"/>
            <w:szCs w:val="22"/>
          </w:rPr>
          <w:t>a</w:t>
        </w:r>
        <w:r w:rsidRPr="00C433BA">
          <w:rPr>
            <w:rStyle w:val="Hyperlink"/>
            <w:rFonts w:cstheme="minorHAnsi"/>
            <w:sz w:val="22"/>
            <w:szCs w:val="22"/>
          </w:rPr>
          <w:t>ra impulsar los ODS</w:t>
        </w:r>
      </w:hyperlink>
      <w:r w:rsidRPr="00C433BA">
        <w:rPr>
          <w:rFonts w:cstheme="minorHAnsi"/>
          <w:sz w:val="22"/>
          <w:szCs w:val="22"/>
        </w:rPr>
        <w:t>, que se ha previsto tenga lugar en la Sede de la UIT en Ginebra (Suiza), el 14 de junio de 2024, de las 09.00</w:t>
      </w:r>
      <w:r w:rsidR="0092184B" w:rsidRPr="00C433BA">
        <w:rPr>
          <w:rFonts w:cstheme="minorHAnsi"/>
          <w:sz w:val="22"/>
          <w:szCs w:val="22"/>
        </w:rPr>
        <w:t> </w:t>
      </w:r>
      <w:r w:rsidRPr="00C433BA">
        <w:rPr>
          <w:rFonts w:cstheme="minorHAnsi"/>
          <w:sz w:val="22"/>
          <w:szCs w:val="22"/>
        </w:rPr>
        <w:t>a las 18.10 horas (CEST).</w:t>
      </w:r>
    </w:p>
    <w:p w14:paraId="0D6B7BC1" w14:textId="77777777" w:rsidR="00D21840" w:rsidRPr="00C433BA" w:rsidRDefault="00D21840" w:rsidP="00D21840">
      <w:pPr>
        <w:rPr>
          <w:rFonts w:cstheme="minorHAnsi"/>
          <w:sz w:val="22"/>
          <w:szCs w:val="22"/>
        </w:rPr>
      </w:pPr>
      <w:r w:rsidRPr="00C433BA">
        <w:rPr>
          <w:rFonts w:cstheme="minorHAnsi"/>
          <w:sz w:val="22"/>
          <w:szCs w:val="22"/>
        </w:rPr>
        <w:t>2</w:t>
      </w:r>
      <w:r w:rsidRPr="00C433BA">
        <w:rPr>
          <w:rFonts w:cstheme="minorHAnsi"/>
          <w:sz w:val="22"/>
          <w:szCs w:val="22"/>
        </w:rPr>
        <w:tab/>
      </w:r>
      <w:proofErr w:type="gramStart"/>
      <w:r w:rsidRPr="00C433BA">
        <w:rPr>
          <w:rFonts w:cstheme="minorHAnsi"/>
          <w:sz w:val="22"/>
          <w:szCs w:val="22"/>
        </w:rPr>
        <w:t>El</w:t>
      </w:r>
      <w:proofErr w:type="gramEnd"/>
      <w:r w:rsidRPr="00C433BA">
        <w:rPr>
          <w:rFonts w:cstheme="minorHAnsi"/>
          <w:sz w:val="22"/>
          <w:szCs w:val="22"/>
        </w:rPr>
        <w:t xml:space="preserve"> Objetivo del Día de los Mundos Virtuales de las Naciones Unidas consiste en destacar el poder transformador de los mundos virtuales, en particular el metaverso y la computación espacial, y acelerar la consecución de los Objetivos de Desarrollo Sostenible (ODS). Esto se conseguirá reuniendo a los responsables de formular políticas a fin de examinar la manera de regular y proteger los mundos virtuales y el metaverso, y demostrando los avances tecnológicos más recientes como la realidad virtual, la realidad aumentada, el metaverso y la computación espacial, y sus aplicaciones en el mundo real pertinentes para los ODS.</w:t>
      </w:r>
    </w:p>
    <w:p w14:paraId="6F7754F5" w14:textId="77777777" w:rsidR="00D21840" w:rsidRPr="00C433BA" w:rsidRDefault="00D21840" w:rsidP="00D21840">
      <w:pPr>
        <w:pStyle w:val="NormalWeb"/>
        <w:rPr>
          <w:rFonts w:asciiTheme="minorHAnsi" w:hAnsiTheme="minorHAnsi" w:cstheme="minorHAnsi"/>
          <w:b/>
          <w:bCs/>
          <w:sz w:val="22"/>
          <w:szCs w:val="22"/>
          <w:lang w:val="es-ES_tradnl"/>
        </w:rPr>
      </w:pPr>
      <w:r w:rsidRPr="00C433BA">
        <w:rPr>
          <w:rFonts w:asciiTheme="minorHAnsi" w:hAnsiTheme="minorHAnsi" w:cstheme="minorHAnsi"/>
          <w:sz w:val="22"/>
          <w:szCs w:val="22"/>
          <w:lang w:val="es-ES_tradnl"/>
        </w:rPr>
        <w:lastRenderedPageBreak/>
        <w:t>3</w:t>
      </w:r>
      <w:r w:rsidRPr="00C433BA">
        <w:rPr>
          <w:rFonts w:asciiTheme="minorHAnsi" w:hAnsiTheme="minorHAnsi" w:cstheme="minorHAnsi"/>
          <w:sz w:val="22"/>
          <w:szCs w:val="22"/>
          <w:lang w:val="es-ES_tradnl"/>
        </w:rPr>
        <w:tab/>
      </w:r>
      <w:proofErr w:type="spellStart"/>
      <w:r w:rsidRPr="00C433BA">
        <w:rPr>
          <w:rFonts w:asciiTheme="minorHAnsi" w:hAnsiTheme="minorHAnsi" w:cstheme="minorHAnsi"/>
          <w:b/>
          <w:bCs/>
          <w:sz w:val="22"/>
          <w:szCs w:val="22"/>
          <w:lang w:val="es-ES_tradnl"/>
        </w:rPr>
        <w:t>Think</w:t>
      </w:r>
      <w:proofErr w:type="spellEnd"/>
      <w:r w:rsidRPr="00C433BA">
        <w:rPr>
          <w:rFonts w:asciiTheme="minorHAnsi" w:hAnsiTheme="minorHAnsi" w:cstheme="minorHAnsi"/>
          <w:b/>
          <w:bCs/>
          <w:sz w:val="22"/>
          <w:szCs w:val="22"/>
          <w:lang w:val="es-ES_tradnl"/>
        </w:rPr>
        <w:t>-a-</w:t>
      </w:r>
      <w:proofErr w:type="spellStart"/>
      <w:r w:rsidRPr="00C433BA">
        <w:rPr>
          <w:rFonts w:asciiTheme="minorHAnsi" w:hAnsiTheme="minorHAnsi" w:cstheme="minorHAnsi"/>
          <w:b/>
          <w:bCs/>
          <w:sz w:val="22"/>
          <w:szCs w:val="22"/>
          <w:lang w:val="es-ES_tradnl"/>
        </w:rPr>
        <w:t>Thon</w:t>
      </w:r>
      <w:proofErr w:type="spellEnd"/>
      <w:r w:rsidRPr="00C433BA">
        <w:rPr>
          <w:rFonts w:asciiTheme="minorHAnsi" w:hAnsiTheme="minorHAnsi" w:cstheme="minorHAnsi"/>
          <w:b/>
          <w:bCs/>
          <w:sz w:val="22"/>
          <w:szCs w:val="22"/>
          <w:lang w:val="es-ES_tradnl"/>
        </w:rPr>
        <w:t xml:space="preserve"> de las Naciones Unidas sobre el metaverso</w:t>
      </w:r>
    </w:p>
    <w:p w14:paraId="50031D89" w14:textId="77777777" w:rsidR="00D21840" w:rsidRPr="00C433BA" w:rsidRDefault="00D21840" w:rsidP="00D21840">
      <w:pPr>
        <w:rPr>
          <w:rFonts w:cstheme="minorHAnsi"/>
          <w:sz w:val="22"/>
          <w:szCs w:val="22"/>
        </w:rPr>
      </w:pPr>
      <w:r w:rsidRPr="00C433BA">
        <w:rPr>
          <w:rFonts w:cstheme="minorHAnsi"/>
          <w:sz w:val="22"/>
          <w:szCs w:val="22"/>
        </w:rPr>
        <w:t xml:space="preserve">La UIT, el CICE y la FAO están coorganizando el </w:t>
      </w:r>
      <w:hyperlink r:id="rId11" w:history="1">
        <w:r w:rsidRPr="00C433BA">
          <w:rPr>
            <w:rStyle w:val="Hyperlink"/>
            <w:rFonts w:cstheme="minorHAnsi"/>
            <w:sz w:val="22"/>
            <w:szCs w:val="22"/>
          </w:rPr>
          <w:t xml:space="preserve">Primer </w:t>
        </w:r>
        <w:proofErr w:type="spellStart"/>
        <w:r w:rsidRPr="00C433BA">
          <w:rPr>
            <w:rStyle w:val="Hyperlink"/>
            <w:rFonts w:cstheme="minorHAnsi"/>
            <w:sz w:val="22"/>
            <w:szCs w:val="22"/>
          </w:rPr>
          <w:t>Think</w:t>
        </w:r>
        <w:proofErr w:type="spellEnd"/>
        <w:r w:rsidRPr="00C433BA">
          <w:rPr>
            <w:rStyle w:val="Hyperlink"/>
            <w:rFonts w:cstheme="minorHAnsi"/>
            <w:sz w:val="22"/>
            <w:szCs w:val="22"/>
          </w:rPr>
          <w:t>-a-</w:t>
        </w:r>
        <w:proofErr w:type="spellStart"/>
        <w:r w:rsidRPr="00C433BA">
          <w:rPr>
            <w:rStyle w:val="Hyperlink"/>
            <w:rFonts w:cstheme="minorHAnsi"/>
            <w:sz w:val="22"/>
            <w:szCs w:val="22"/>
          </w:rPr>
          <w:t>Thon</w:t>
        </w:r>
        <w:proofErr w:type="spellEnd"/>
        <w:r w:rsidRPr="00C433BA">
          <w:rPr>
            <w:rStyle w:val="Hyperlink"/>
            <w:rFonts w:cstheme="minorHAnsi"/>
            <w:sz w:val="22"/>
            <w:szCs w:val="22"/>
          </w:rPr>
          <w:t xml:space="preserve"> de las Naciones Unidas sobre el metaverso</w:t>
        </w:r>
      </w:hyperlink>
      <w:r w:rsidRPr="00C433BA">
        <w:rPr>
          <w:rFonts w:cstheme="minorHAnsi"/>
          <w:sz w:val="22"/>
          <w:szCs w:val="22"/>
          <w:u w:val="single"/>
        </w:rPr>
        <w:t>,</w:t>
      </w:r>
      <w:r w:rsidRPr="00C433BA">
        <w:rPr>
          <w:rFonts w:cstheme="minorHAnsi"/>
          <w:sz w:val="22"/>
          <w:szCs w:val="22"/>
        </w:rPr>
        <w:t xml:space="preserve"> como parte del Día de los Mundos Virtuales de las Naciones Unidas. La edición de 2024 tendrá por tema "La revolución de las ciudades inteligentes y sostenibles por los mundos virtuales". El evento reunirá a los jóvenes para aprovechar sus ideas y las tecnologías del mundo virtual como la computación espacial y el metaverso, a fin de crear soluciones innovadoras para los ODS. Ofrecerá una oportunidad exclusiva para que los jóvenes innovadores resuelvan los desafíos del mundo real en un entorno virtual, fomentando un futuro de sostenibilidad e inclusividad. La ceremonia de entrega de premios a los ganadores del </w:t>
      </w:r>
      <w:proofErr w:type="spellStart"/>
      <w:r w:rsidRPr="00C433BA">
        <w:rPr>
          <w:rFonts w:cstheme="minorHAnsi"/>
          <w:sz w:val="22"/>
          <w:szCs w:val="22"/>
        </w:rPr>
        <w:t>Think</w:t>
      </w:r>
      <w:proofErr w:type="spellEnd"/>
      <w:r w:rsidRPr="00C433BA">
        <w:rPr>
          <w:rFonts w:cstheme="minorHAnsi"/>
          <w:sz w:val="22"/>
          <w:szCs w:val="22"/>
        </w:rPr>
        <w:t>-a-</w:t>
      </w:r>
      <w:proofErr w:type="spellStart"/>
      <w:r w:rsidRPr="00C433BA">
        <w:rPr>
          <w:rFonts w:cstheme="minorHAnsi"/>
          <w:sz w:val="22"/>
          <w:szCs w:val="22"/>
        </w:rPr>
        <w:t>Thon</w:t>
      </w:r>
      <w:proofErr w:type="spellEnd"/>
      <w:r w:rsidRPr="00C433BA">
        <w:rPr>
          <w:rFonts w:cstheme="minorHAnsi"/>
          <w:sz w:val="22"/>
          <w:szCs w:val="22"/>
        </w:rPr>
        <w:t xml:space="preserve"> de las Naciones Unidas sobre el metaverso de 2024 tendrá lugar durante el Día de los Mundos Virtuales de las Naciones Unidas.</w:t>
      </w:r>
    </w:p>
    <w:p w14:paraId="2290E537" w14:textId="77777777" w:rsidR="00D21840" w:rsidRPr="00C433BA" w:rsidRDefault="00D21840" w:rsidP="00D21840">
      <w:pPr>
        <w:rPr>
          <w:rFonts w:cstheme="minorHAnsi"/>
          <w:sz w:val="22"/>
          <w:szCs w:val="22"/>
        </w:rPr>
      </w:pPr>
      <w:r w:rsidRPr="00C433BA">
        <w:rPr>
          <w:rFonts w:cstheme="minorHAnsi"/>
          <w:sz w:val="22"/>
          <w:szCs w:val="22"/>
        </w:rPr>
        <w:t xml:space="preserve">En la </w:t>
      </w:r>
      <w:hyperlink r:id="rId12" w:history="1">
        <w:r w:rsidRPr="00C433BA">
          <w:rPr>
            <w:rStyle w:val="Hyperlink"/>
            <w:rFonts w:cstheme="minorHAnsi"/>
            <w:sz w:val="22"/>
            <w:szCs w:val="22"/>
          </w:rPr>
          <w:t>Circular 187</w:t>
        </w:r>
      </w:hyperlink>
      <w:r w:rsidRPr="00C433BA">
        <w:rPr>
          <w:rFonts w:cstheme="minorHAnsi"/>
          <w:sz w:val="22"/>
          <w:szCs w:val="22"/>
        </w:rPr>
        <w:t xml:space="preserve"> y en la </w:t>
      </w:r>
      <w:hyperlink r:id="rId13" w:history="1">
        <w:r w:rsidRPr="00C433BA">
          <w:rPr>
            <w:rStyle w:val="Hyperlink"/>
            <w:rFonts w:cstheme="minorHAnsi"/>
            <w:sz w:val="22"/>
            <w:szCs w:val="22"/>
          </w:rPr>
          <w:t xml:space="preserve">página web del </w:t>
        </w:r>
        <w:proofErr w:type="spellStart"/>
        <w:r w:rsidRPr="00C433BA">
          <w:rPr>
            <w:rStyle w:val="Hyperlink"/>
            <w:rFonts w:cstheme="minorHAnsi"/>
            <w:sz w:val="22"/>
            <w:szCs w:val="22"/>
          </w:rPr>
          <w:t>Think</w:t>
        </w:r>
        <w:proofErr w:type="spellEnd"/>
        <w:r w:rsidRPr="00C433BA">
          <w:rPr>
            <w:rStyle w:val="Hyperlink"/>
            <w:rFonts w:cstheme="minorHAnsi"/>
            <w:sz w:val="22"/>
            <w:szCs w:val="22"/>
          </w:rPr>
          <w:t>-a-</w:t>
        </w:r>
        <w:proofErr w:type="spellStart"/>
        <w:r w:rsidRPr="00C433BA">
          <w:rPr>
            <w:rStyle w:val="Hyperlink"/>
            <w:rFonts w:cstheme="minorHAnsi"/>
            <w:sz w:val="22"/>
            <w:szCs w:val="22"/>
          </w:rPr>
          <w:t>Thon</w:t>
        </w:r>
        <w:proofErr w:type="spellEnd"/>
        <w:r w:rsidRPr="00C433BA">
          <w:rPr>
            <w:rStyle w:val="Hyperlink"/>
            <w:rFonts w:cstheme="minorHAnsi"/>
            <w:sz w:val="22"/>
            <w:szCs w:val="22"/>
          </w:rPr>
          <w:t xml:space="preserve"> de las Naciones Unidas sobre el metaverso de 2024</w:t>
        </w:r>
      </w:hyperlink>
      <w:r w:rsidRPr="00C433BA">
        <w:rPr>
          <w:rFonts w:cstheme="minorHAnsi"/>
          <w:sz w:val="22"/>
          <w:szCs w:val="22"/>
        </w:rPr>
        <w:t xml:space="preserve"> se puede consultar información detallada sobre el evento.</w:t>
      </w:r>
    </w:p>
    <w:p w14:paraId="2BB63DA8" w14:textId="77777777" w:rsidR="00D21840" w:rsidRPr="00C433BA" w:rsidRDefault="00D21840" w:rsidP="00D21840">
      <w:pPr>
        <w:rPr>
          <w:rFonts w:cstheme="minorHAnsi"/>
          <w:sz w:val="22"/>
          <w:szCs w:val="22"/>
        </w:rPr>
      </w:pPr>
      <w:r w:rsidRPr="00C433BA">
        <w:rPr>
          <w:rFonts w:cstheme="minorHAnsi"/>
          <w:sz w:val="22"/>
          <w:szCs w:val="22"/>
        </w:rPr>
        <w:t>4</w:t>
      </w:r>
      <w:r w:rsidRPr="00C433BA">
        <w:rPr>
          <w:rFonts w:cstheme="minorHAnsi"/>
          <w:sz w:val="22"/>
          <w:szCs w:val="22"/>
        </w:rPr>
        <w:tab/>
        <w:t xml:space="preserve">El Primer Día de los Mundos Virtuales de las Naciones Unidas estará precedido por la </w:t>
      </w:r>
      <w:hyperlink r:id="rId14" w:history="1">
        <w:r w:rsidRPr="00C433BA">
          <w:rPr>
            <w:rStyle w:val="Hyperlink"/>
            <w:rFonts w:cstheme="minorHAnsi"/>
            <w:sz w:val="22"/>
            <w:szCs w:val="22"/>
          </w:rPr>
          <w:t>séptima y última reunión del Grupo Temático de la UIT sobre el metaverso (FG-MV)</w:t>
        </w:r>
      </w:hyperlink>
      <w:r w:rsidRPr="00C433BA">
        <w:rPr>
          <w:rFonts w:cstheme="minorHAnsi"/>
          <w:sz w:val="22"/>
          <w:szCs w:val="22"/>
        </w:rPr>
        <w:t xml:space="preserve"> y el </w:t>
      </w:r>
      <w:hyperlink r:id="rId15" w:history="1">
        <w:r w:rsidRPr="00C433BA">
          <w:rPr>
            <w:rStyle w:val="Hyperlink"/>
            <w:rFonts w:cstheme="minorHAnsi"/>
            <w:sz w:val="22"/>
            <w:szCs w:val="22"/>
          </w:rPr>
          <w:t>quinto Foro de la UIT sobre la "Integración de los mundos virtual y físico en el metaverso mediante gemelos digitales"</w:t>
        </w:r>
      </w:hyperlink>
      <w:r w:rsidRPr="00C433BA">
        <w:rPr>
          <w:rFonts w:cstheme="minorHAnsi"/>
          <w:sz w:val="22"/>
          <w:szCs w:val="22"/>
        </w:rPr>
        <w:t xml:space="preserve"> que se celebrarán los días 12 y 13 de junio de 2024, en el mismo lugar.</w:t>
      </w:r>
    </w:p>
    <w:p w14:paraId="0968253C" w14:textId="77777777" w:rsidR="00D21840" w:rsidRPr="00C433BA" w:rsidRDefault="00D21840" w:rsidP="00D21840">
      <w:pPr>
        <w:rPr>
          <w:rFonts w:cstheme="minorHAnsi"/>
          <w:sz w:val="22"/>
          <w:szCs w:val="22"/>
        </w:rPr>
      </w:pPr>
      <w:r w:rsidRPr="00C433BA">
        <w:rPr>
          <w:rFonts w:cstheme="minorHAnsi"/>
          <w:sz w:val="22"/>
          <w:szCs w:val="22"/>
        </w:rPr>
        <w:t xml:space="preserve">La información sobre estos eventos puede consultarse en la </w:t>
      </w:r>
      <w:hyperlink r:id="rId16" w:history="1">
        <w:r w:rsidRPr="00C433BA">
          <w:rPr>
            <w:rStyle w:val="Hyperlink"/>
            <w:rFonts w:cstheme="minorHAnsi"/>
            <w:sz w:val="22"/>
            <w:szCs w:val="22"/>
          </w:rPr>
          <w:t>Circular 192</w:t>
        </w:r>
      </w:hyperlink>
      <w:r w:rsidRPr="00C433BA">
        <w:rPr>
          <w:rFonts w:cstheme="minorHAnsi"/>
          <w:sz w:val="22"/>
          <w:szCs w:val="22"/>
        </w:rPr>
        <w:t xml:space="preserve"> y en la </w:t>
      </w:r>
      <w:hyperlink r:id="rId17" w:anchor="/es" w:history="1">
        <w:r w:rsidRPr="00C433BA">
          <w:rPr>
            <w:rStyle w:val="Hyperlink"/>
            <w:rFonts w:cstheme="minorHAnsi"/>
            <w:sz w:val="22"/>
            <w:szCs w:val="22"/>
          </w:rPr>
          <w:t>página web del FG-MV.</w:t>
        </w:r>
      </w:hyperlink>
    </w:p>
    <w:p w14:paraId="24E8AE17" w14:textId="478546C0" w:rsidR="00D21840" w:rsidRPr="00C433BA" w:rsidRDefault="00D21840" w:rsidP="00C433BA">
      <w:pPr>
        <w:rPr>
          <w:rFonts w:cstheme="minorHAnsi"/>
          <w:sz w:val="22"/>
          <w:szCs w:val="22"/>
        </w:rPr>
      </w:pPr>
      <w:r w:rsidRPr="00C433BA">
        <w:rPr>
          <w:rFonts w:cstheme="minorHAnsi"/>
          <w:sz w:val="22"/>
          <w:szCs w:val="22"/>
        </w:rPr>
        <w:t>5</w:t>
      </w:r>
      <w:r w:rsidRPr="00C433BA">
        <w:rPr>
          <w:rFonts w:cstheme="minorHAnsi"/>
          <w:sz w:val="22"/>
          <w:szCs w:val="22"/>
        </w:rPr>
        <w:tab/>
      </w:r>
      <w:proofErr w:type="gramStart"/>
      <w:r w:rsidRPr="00C433BA">
        <w:rPr>
          <w:rFonts w:cstheme="minorHAnsi"/>
          <w:sz w:val="22"/>
          <w:szCs w:val="22"/>
        </w:rPr>
        <w:t>En</w:t>
      </w:r>
      <w:proofErr w:type="gramEnd"/>
      <w:r w:rsidRPr="00C433BA">
        <w:rPr>
          <w:rFonts w:cstheme="minorHAnsi"/>
          <w:sz w:val="22"/>
          <w:szCs w:val="22"/>
        </w:rPr>
        <w:t xml:space="preserve"> el Día de los Mundos Virtuales de las Naciones Unidas podrán participar, de forma gratuita, expertos y organizaciones de todos los sectores y disciplinas pertinentes.</w:t>
      </w:r>
    </w:p>
    <w:p w14:paraId="6F36741E" w14:textId="77777777" w:rsidR="00D21840" w:rsidRPr="00C433BA" w:rsidRDefault="00D21840" w:rsidP="00D21840">
      <w:pPr>
        <w:rPr>
          <w:rFonts w:cstheme="minorHAnsi"/>
          <w:sz w:val="22"/>
          <w:szCs w:val="22"/>
        </w:rPr>
      </w:pPr>
      <w:r w:rsidRPr="00C433BA">
        <w:rPr>
          <w:rFonts w:cstheme="minorHAnsi"/>
          <w:sz w:val="22"/>
          <w:szCs w:val="22"/>
        </w:rPr>
        <w:t>6</w:t>
      </w:r>
      <w:r w:rsidRPr="00C433BA">
        <w:rPr>
          <w:rFonts w:cstheme="minorHAnsi"/>
          <w:sz w:val="22"/>
          <w:szCs w:val="22"/>
        </w:rPr>
        <w:tab/>
      </w:r>
      <w:proofErr w:type="gramStart"/>
      <w:r w:rsidRPr="00C433BA">
        <w:rPr>
          <w:rFonts w:cstheme="minorHAnsi"/>
          <w:sz w:val="22"/>
          <w:szCs w:val="22"/>
        </w:rPr>
        <w:t>A</w:t>
      </w:r>
      <w:proofErr w:type="gramEnd"/>
      <w:r w:rsidRPr="00C433BA">
        <w:rPr>
          <w:rFonts w:cstheme="minorHAnsi"/>
          <w:sz w:val="22"/>
          <w:szCs w:val="22"/>
        </w:rPr>
        <w:t xml:space="preserve"> fin de que la UIT pueda adoptar las disposiciones necesarias, se invita a los participantes a inscribirse en línea a través de la </w:t>
      </w:r>
      <w:hyperlink r:id="rId18" w:history="1">
        <w:r w:rsidRPr="00C433BA">
          <w:rPr>
            <w:rStyle w:val="Hyperlink"/>
            <w:rFonts w:cstheme="minorHAnsi"/>
            <w:sz w:val="22"/>
            <w:szCs w:val="22"/>
          </w:rPr>
          <w:t>página de inicio del Día de los Mundos Virtuales de las Naciones Unidas</w:t>
        </w:r>
      </w:hyperlink>
      <w:r w:rsidRPr="00C433BA">
        <w:rPr>
          <w:rFonts w:cstheme="minorHAnsi"/>
          <w:sz w:val="22"/>
          <w:szCs w:val="22"/>
        </w:rPr>
        <w:t xml:space="preserve"> lo antes posible. El número de plazas disponibles es limitado y las inscripciones se tramitarán en el orden en que se reciban. La inscripción es obligatoria tanto para participar a distancia como para asistir a los eventos en persona. Le rogamos tenga en cuenta que la preinscripción de los participantes en estos eventos se lleva a cabo exclusivamente en línea.</w:t>
      </w:r>
    </w:p>
    <w:p w14:paraId="171191A5" w14:textId="77777777" w:rsidR="00D21840" w:rsidRPr="00C433BA" w:rsidRDefault="00D21840" w:rsidP="00D21840">
      <w:pPr>
        <w:rPr>
          <w:rFonts w:cstheme="minorHAnsi"/>
          <w:sz w:val="22"/>
          <w:szCs w:val="22"/>
        </w:rPr>
      </w:pPr>
      <w:r w:rsidRPr="00C433BA">
        <w:rPr>
          <w:rFonts w:cstheme="minorHAnsi"/>
          <w:sz w:val="22"/>
          <w:szCs w:val="22"/>
        </w:rPr>
        <w:t>7</w:t>
      </w:r>
      <w:r w:rsidRPr="00C433BA">
        <w:rPr>
          <w:rFonts w:cstheme="minorHAnsi"/>
          <w:sz w:val="22"/>
          <w:szCs w:val="22"/>
        </w:rPr>
        <w:tab/>
      </w:r>
      <w:proofErr w:type="gramStart"/>
      <w:r w:rsidRPr="00C433BA">
        <w:rPr>
          <w:rFonts w:cstheme="minorHAnsi"/>
          <w:sz w:val="22"/>
          <w:szCs w:val="22"/>
        </w:rPr>
        <w:t>Le</w:t>
      </w:r>
      <w:proofErr w:type="gramEnd"/>
      <w:r w:rsidRPr="00C433BA">
        <w:rPr>
          <w:rFonts w:cstheme="minorHAnsi"/>
          <w:sz w:val="22"/>
          <w:szCs w:val="22"/>
        </w:rPr>
        <w:t xml:space="preserve"> recordamos que los ciudadanos de algunos países necesitan obtener un visado para entrar y permanecer en Suiza. De ser necesario, </w:t>
      </w:r>
      <w:r w:rsidRPr="00C433BA">
        <w:rPr>
          <w:rFonts w:cstheme="minorHAnsi"/>
          <w:b/>
          <w:bCs/>
          <w:sz w:val="22"/>
          <w:szCs w:val="22"/>
        </w:rPr>
        <w:t>el visado debe solicitarse al menos cuatro semanas antes de la fecha de inicio de la reunión</w:t>
      </w:r>
      <w:r w:rsidRPr="00C433BA">
        <w:rPr>
          <w:rFonts w:cstheme="minorHAnsi"/>
          <w:sz w:val="22"/>
          <w:szCs w:val="22"/>
        </w:rPr>
        <w:t xml:space="preserve"> y obtenerse en la oficina (embajada o consulado) que represente a Suiza en su país o, en su defecto, en la más cercana al país de partida.</w:t>
      </w:r>
    </w:p>
    <w:p w14:paraId="180D2C67" w14:textId="77777777" w:rsidR="00D21840" w:rsidRPr="00C433BA" w:rsidRDefault="00D21840" w:rsidP="00D21840">
      <w:pPr>
        <w:tabs>
          <w:tab w:val="left" w:pos="900"/>
        </w:tabs>
        <w:rPr>
          <w:rFonts w:cstheme="minorHAnsi"/>
          <w:sz w:val="22"/>
          <w:szCs w:val="22"/>
        </w:rPr>
      </w:pPr>
      <w:r w:rsidRPr="00C433BA">
        <w:rPr>
          <w:rFonts w:cstheme="minorHAnsi"/>
          <w:sz w:val="22"/>
          <w:szCs w:val="22"/>
        </w:rPr>
        <w:t xml:space="preserve">Si un </w:t>
      </w:r>
      <w:r w:rsidRPr="00C433BA">
        <w:rPr>
          <w:rFonts w:cstheme="minorHAnsi"/>
          <w:b/>
          <w:bCs/>
          <w:sz w:val="22"/>
          <w:szCs w:val="22"/>
        </w:rPr>
        <w:t xml:space="preserve">Estado Miembro, un Miembro de Sector, un Asociado o una Institución Académica de la UIT </w:t>
      </w:r>
      <w:r w:rsidRPr="00C433BA">
        <w:rPr>
          <w:rFonts w:cstheme="minorHAnsi"/>
          <w:sz w:val="22"/>
          <w:szCs w:val="22"/>
        </w:rPr>
        <w:t xml:space="preserve">experimenta dificultades a tal efecto, la UIT puede, previa solicitud oficial del interesado a la Unión, intervenir ante las autoridades suizas competentes para facilitar la expedición de ese visado, pero solamente durante dicho plazo de </w:t>
      </w:r>
      <w:r w:rsidRPr="00C433BA">
        <w:rPr>
          <w:rFonts w:cstheme="minorHAnsi"/>
          <w:b/>
          <w:bCs/>
          <w:sz w:val="22"/>
          <w:szCs w:val="22"/>
        </w:rPr>
        <w:t xml:space="preserve">cuatro </w:t>
      </w:r>
      <w:r w:rsidRPr="00C433BA">
        <w:rPr>
          <w:rFonts w:cstheme="minorHAnsi"/>
          <w:sz w:val="22"/>
          <w:szCs w:val="22"/>
        </w:rPr>
        <w:t>semanas. La solicitud en cuestión deberá realizarse marcando la casilla correspondiente dentro del plazo indicado. Las solicitudes deberán remitirse a la Sección de Viajes de la UIT (</w:t>
      </w:r>
      <w:r w:rsidRPr="00C433BA">
        <w:rPr>
          <w:rStyle w:val="Hyperlink"/>
          <w:rFonts w:cstheme="minorHAnsi"/>
          <w:sz w:val="22"/>
          <w:szCs w:val="22"/>
        </w:rPr>
        <w:t>travel@itu.int</w:t>
      </w:r>
      <w:r w:rsidRPr="00C433BA">
        <w:rPr>
          <w:rFonts w:cstheme="minorHAnsi"/>
          <w:sz w:val="22"/>
          <w:szCs w:val="22"/>
        </w:rPr>
        <w:t>) con la indicación "apoyo para la obtención de visado".</w:t>
      </w:r>
    </w:p>
    <w:p w14:paraId="4C6D2D81" w14:textId="77777777" w:rsidR="00D21840" w:rsidRPr="00C433BA" w:rsidRDefault="00D21840" w:rsidP="00D21840">
      <w:pPr>
        <w:tabs>
          <w:tab w:val="left" w:pos="900"/>
        </w:tabs>
        <w:rPr>
          <w:rFonts w:cstheme="minorHAnsi"/>
          <w:sz w:val="22"/>
          <w:szCs w:val="22"/>
        </w:rPr>
      </w:pPr>
      <w:r w:rsidRPr="00C433BA">
        <w:rPr>
          <w:rFonts w:cstheme="minorHAnsi"/>
          <w:sz w:val="22"/>
          <w:szCs w:val="22"/>
        </w:rPr>
        <w:t xml:space="preserve">En la </w:t>
      </w:r>
      <w:hyperlink r:id="rId19" w:history="1">
        <w:r w:rsidRPr="00C433BA">
          <w:rPr>
            <w:rStyle w:val="Hyperlink"/>
            <w:rFonts w:cstheme="minorHAnsi"/>
            <w:sz w:val="22"/>
            <w:szCs w:val="22"/>
          </w:rPr>
          <w:t xml:space="preserve">página de inicio del </w:t>
        </w:r>
        <w:r w:rsidRPr="00C433BA">
          <w:rPr>
            <w:rStyle w:val="Hyperlink"/>
            <w:rFonts w:cstheme="minorHAnsi"/>
            <w:sz w:val="22"/>
            <w:szCs w:val="22"/>
          </w:rPr>
          <w:t>D</w:t>
        </w:r>
        <w:r w:rsidRPr="00C433BA">
          <w:rPr>
            <w:rStyle w:val="Hyperlink"/>
            <w:rFonts w:cstheme="minorHAnsi"/>
            <w:sz w:val="22"/>
            <w:szCs w:val="22"/>
          </w:rPr>
          <w:t>ía de los Mundos Virtuales de las Naciones Unidas</w:t>
        </w:r>
      </w:hyperlink>
      <w:r w:rsidRPr="00C433BA">
        <w:rPr>
          <w:rFonts w:cstheme="minorHAnsi"/>
          <w:sz w:val="22"/>
          <w:szCs w:val="22"/>
        </w:rPr>
        <w:t xml:space="preserve"> se publicarán detalles adicionales y documentación, en particular sobre la inscripción, el programa, la exposición y el </w:t>
      </w:r>
      <w:proofErr w:type="spellStart"/>
      <w:r w:rsidRPr="00C433BA">
        <w:rPr>
          <w:rFonts w:cstheme="minorHAnsi"/>
          <w:sz w:val="22"/>
          <w:szCs w:val="22"/>
        </w:rPr>
        <w:t>Think</w:t>
      </w:r>
      <w:proofErr w:type="spellEnd"/>
      <w:r w:rsidRPr="00C433BA">
        <w:rPr>
          <w:rFonts w:cstheme="minorHAnsi"/>
          <w:sz w:val="22"/>
          <w:szCs w:val="22"/>
        </w:rPr>
        <w:t>-a-</w:t>
      </w:r>
      <w:proofErr w:type="spellStart"/>
      <w:r w:rsidRPr="00C433BA">
        <w:rPr>
          <w:rFonts w:cstheme="minorHAnsi"/>
          <w:sz w:val="22"/>
          <w:szCs w:val="22"/>
        </w:rPr>
        <w:t>Thon</w:t>
      </w:r>
      <w:proofErr w:type="spellEnd"/>
      <w:r w:rsidRPr="00C433BA">
        <w:rPr>
          <w:rFonts w:cstheme="minorHAnsi"/>
          <w:sz w:val="22"/>
          <w:szCs w:val="22"/>
        </w:rPr>
        <w:t>.</w:t>
      </w:r>
    </w:p>
    <w:p w14:paraId="39B58CF9" w14:textId="18911309" w:rsidR="00D21840" w:rsidRPr="00C433BA" w:rsidRDefault="00D21840" w:rsidP="00C433BA">
      <w:pPr>
        <w:spacing w:after="120"/>
        <w:rPr>
          <w:rFonts w:cstheme="minorHAnsi"/>
          <w:sz w:val="22"/>
          <w:szCs w:val="22"/>
        </w:rPr>
      </w:pPr>
      <w:r w:rsidRPr="00C433BA">
        <w:rPr>
          <w:rFonts w:cstheme="minorHAnsi"/>
          <w:sz w:val="22"/>
          <w:szCs w:val="22"/>
        </w:rPr>
        <w:t>Le deseo un evento agradable y productivo.</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1"/>
        <w:gridCol w:w="2740"/>
      </w:tblGrid>
      <w:tr w:rsidR="00D21840" w:rsidRPr="00C433BA" w14:paraId="1F852F8B" w14:textId="77777777" w:rsidTr="00807435">
        <w:trPr>
          <w:cantSplit/>
          <w:trHeight w:val="1134"/>
        </w:trPr>
        <w:tc>
          <w:tcPr>
            <w:tcW w:w="7041" w:type="dxa"/>
          </w:tcPr>
          <w:p w14:paraId="7A555417" w14:textId="6A01127E" w:rsidR="00D21840" w:rsidRPr="00C433BA" w:rsidRDefault="00D21840" w:rsidP="00C433BA">
            <w:pPr>
              <w:spacing w:before="0" w:after="120"/>
              <w:ind w:left="-108"/>
              <w:rPr>
                <w:rFonts w:cstheme="minorHAnsi"/>
                <w:sz w:val="22"/>
                <w:szCs w:val="22"/>
              </w:rPr>
            </w:pPr>
            <w:r w:rsidRPr="00C433BA">
              <w:rPr>
                <w:rFonts w:cstheme="minorHAnsi"/>
                <w:sz w:val="22"/>
                <w:szCs w:val="22"/>
              </w:rPr>
              <w:t>Le saluda atentamente,</w:t>
            </w:r>
          </w:p>
          <w:p w14:paraId="161C5F87" w14:textId="462F5832" w:rsidR="00D21840" w:rsidRPr="00C433BA" w:rsidRDefault="002B4391" w:rsidP="00C433BA">
            <w:pPr>
              <w:spacing w:before="840"/>
              <w:ind w:left="-108"/>
              <w:rPr>
                <w:rFonts w:cstheme="minorHAnsi"/>
                <w:sz w:val="22"/>
                <w:szCs w:val="22"/>
              </w:rPr>
            </w:pPr>
            <w:r>
              <w:rPr>
                <w:rFonts w:cstheme="minorHAnsi"/>
                <w:noProof/>
                <w:color w:val="0000FF"/>
                <w:sz w:val="22"/>
                <w:szCs w:val="22"/>
                <w:u w:val="single"/>
              </w:rPr>
              <w:drawing>
                <wp:anchor distT="0" distB="0" distL="114300" distR="114300" simplePos="0" relativeHeight="251658240" behindDoc="1" locked="0" layoutInCell="1" allowOverlap="1" wp14:anchorId="2A3081A4" wp14:editId="69F5A03C">
                  <wp:simplePos x="0" y="0"/>
                  <wp:positionH relativeFrom="column">
                    <wp:posOffset>-112395</wp:posOffset>
                  </wp:positionH>
                  <wp:positionV relativeFrom="paragraph">
                    <wp:posOffset>67945</wp:posOffset>
                  </wp:positionV>
                  <wp:extent cx="676759" cy="304800"/>
                  <wp:effectExtent l="0" t="0" r="9525" b="0"/>
                  <wp:wrapNone/>
                  <wp:docPr id="1281421657"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421657" name="Picture 1" descr="A black and blu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76759" cy="304800"/>
                          </a:xfrm>
                          <a:prstGeom prst="rect">
                            <a:avLst/>
                          </a:prstGeom>
                        </pic:spPr>
                      </pic:pic>
                    </a:graphicData>
                  </a:graphic>
                  <wp14:sizeRelH relativeFrom="margin">
                    <wp14:pctWidth>0</wp14:pctWidth>
                  </wp14:sizeRelH>
                  <wp14:sizeRelV relativeFrom="margin">
                    <wp14:pctHeight>0</wp14:pctHeight>
                  </wp14:sizeRelV>
                </wp:anchor>
              </w:drawing>
            </w:r>
            <w:r w:rsidR="00D21840" w:rsidRPr="00C433BA">
              <w:rPr>
                <w:rFonts w:cstheme="minorHAnsi"/>
                <w:sz w:val="22"/>
                <w:szCs w:val="22"/>
                <w:lang w:val="es-ES"/>
              </w:rPr>
              <w:t>Seizo Onoe</w:t>
            </w:r>
            <w:r w:rsidR="00D21840" w:rsidRPr="00C433BA">
              <w:rPr>
                <w:rFonts w:cstheme="minorHAnsi"/>
                <w:sz w:val="22"/>
                <w:szCs w:val="22"/>
              </w:rPr>
              <w:br/>
            </w:r>
            <w:proofErr w:type="gramStart"/>
            <w:r w:rsidR="00D21840" w:rsidRPr="00C433BA">
              <w:rPr>
                <w:rFonts w:cstheme="minorHAnsi"/>
                <w:sz w:val="22"/>
                <w:szCs w:val="22"/>
              </w:rPr>
              <w:t>Director</w:t>
            </w:r>
            <w:proofErr w:type="gramEnd"/>
            <w:r w:rsidR="00D21840" w:rsidRPr="00C433BA">
              <w:rPr>
                <w:rFonts w:cstheme="minorHAnsi"/>
                <w:sz w:val="22"/>
                <w:szCs w:val="22"/>
              </w:rPr>
              <w:t xml:space="preserve"> de la Oficina de </w:t>
            </w:r>
            <w:r w:rsidR="00D21840" w:rsidRPr="00C433BA">
              <w:rPr>
                <w:rFonts w:cstheme="minorHAnsi"/>
                <w:sz w:val="22"/>
                <w:szCs w:val="22"/>
              </w:rPr>
              <w:br/>
              <w:t>Normalización de las Telecomunicaciones</w:t>
            </w:r>
          </w:p>
        </w:tc>
        <w:tc>
          <w:tcPr>
            <w:tcW w:w="2740" w:type="dxa"/>
            <w:textDirection w:val="btLr"/>
          </w:tcPr>
          <w:p w14:paraId="5989806E" w14:textId="77777777" w:rsidR="00D21840" w:rsidRPr="00C433BA" w:rsidRDefault="00D21840" w:rsidP="00807435">
            <w:pPr>
              <w:spacing w:before="0" w:after="120"/>
              <w:ind w:left="113" w:right="113"/>
              <w:jc w:val="center"/>
              <w:rPr>
                <w:rFonts w:cstheme="minorHAnsi"/>
                <w:sz w:val="22"/>
                <w:szCs w:val="22"/>
              </w:rPr>
            </w:pPr>
            <w:r w:rsidRPr="00C433BA">
              <w:rPr>
                <w:rFonts w:cstheme="minorHAnsi"/>
                <w:noProof/>
                <w:sz w:val="22"/>
                <w:szCs w:val="22"/>
              </w:rPr>
              <w:drawing>
                <wp:inline distT="0" distB="0" distL="0" distR="0" wp14:anchorId="537DB38C" wp14:editId="185DE9B6">
                  <wp:extent cx="1231900" cy="1231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p w14:paraId="0B10D342" w14:textId="77777777" w:rsidR="00D21840" w:rsidRPr="00C433BA" w:rsidRDefault="00D21840" w:rsidP="00807435">
            <w:pPr>
              <w:spacing w:before="0" w:after="120"/>
              <w:ind w:left="113" w:right="113"/>
              <w:jc w:val="center"/>
              <w:rPr>
                <w:rFonts w:cstheme="minorHAnsi"/>
                <w:sz w:val="22"/>
                <w:szCs w:val="22"/>
              </w:rPr>
            </w:pPr>
            <w:r w:rsidRPr="00C433BA">
              <w:rPr>
                <w:rFonts w:cstheme="minorHAnsi"/>
                <w:sz w:val="22"/>
                <w:szCs w:val="22"/>
              </w:rPr>
              <w:t>Información del evento</w:t>
            </w:r>
          </w:p>
        </w:tc>
      </w:tr>
    </w:tbl>
    <w:p w14:paraId="1BFA2E92" w14:textId="77777777" w:rsidR="00401C20" w:rsidRPr="00C433BA" w:rsidRDefault="00401C20" w:rsidP="00C433BA">
      <w:pPr>
        <w:spacing w:before="0"/>
        <w:ind w:right="91"/>
        <w:rPr>
          <w:sz w:val="22"/>
          <w:szCs w:val="18"/>
          <w:lang w:val="es-ES"/>
        </w:rPr>
      </w:pPr>
    </w:p>
    <w:sectPr w:rsidR="00401C20" w:rsidRPr="00C433BA" w:rsidSect="00B87E9E">
      <w:head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ABD35" w14:textId="77777777" w:rsidR="0096677B" w:rsidRDefault="0096677B">
      <w:r>
        <w:separator/>
      </w:r>
    </w:p>
  </w:endnote>
  <w:endnote w:type="continuationSeparator" w:id="0">
    <w:p w14:paraId="700C59B3" w14:textId="77777777" w:rsidR="0096677B" w:rsidRDefault="0096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9E49"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4A06B" w14:textId="77777777" w:rsidR="0096677B" w:rsidRDefault="0096677B">
      <w:r>
        <w:t>____________________</w:t>
      </w:r>
    </w:p>
  </w:footnote>
  <w:footnote w:type="continuationSeparator" w:id="0">
    <w:p w14:paraId="357D4F34" w14:textId="77777777" w:rsidR="0096677B" w:rsidRDefault="0096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5C33" w14:textId="2445358B"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E23D484" w14:textId="5F77F83C" w:rsidR="00D21840" w:rsidRPr="00303D62" w:rsidRDefault="00D21840">
    <w:pPr>
      <w:pStyle w:val="Header"/>
      <w:rPr>
        <w:sz w:val="18"/>
        <w:szCs w:val="18"/>
      </w:rPr>
    </w:pPr>
    <w:r>
      <w:rPr>
        <w:rStyle w:val="PageNumber"/>
        <w:sz w:val="18"/>
        <w:szCs w:val="18"/>
      </w:rPr>
      <w:t>Circular TSB 193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066DF"/>
    <w:multiLevelType w:val="hybridMultilevel"/>
    <w:tmpl w:val="DB5C005A"/>
    <w:lvl w:ilvl="0" w:tplc="FD90110E">
      <w:start w:val="1"/>
      <w:numFmt w:val="bullet"/>
      <w:lvlText w:val=""/>
      <w:lvlJc w:val="left"/>
      <w:pPr>
        <w:ind w:left="992" w:hanging="360"/>
      </w:pPr>
      <w:rPr>
        <w:rFonts w:ascii="Symbol" w:hAnsi="Symbol" w:hint="default"/>
      </w:rPr>
    </w:lvl>
    <w:lvl w:ilvl="1" w:tplc="FFFFFFFF" w:tentative="1">
      <w:start w:val="1"/>
      <w:numFmt w:val="bullet"/>
      <w:lvlText w:val="o"/>
      <w:lvlJc w:val="left"/>
      <w:pPr>
        <w:ind w:left="1712" w:hanging="360"/>
      </w:pPr>
      <w:rPr>
        <w:rFonts w:ascii="Courier New" w:hAnsi="Courier New" w:cs="Courier New" w:hint="default"/>
      </w:rPr>
    </w:lvl>
    <w:lvl w:ilvl="2" w:tplc="FFFFFFFF" w:tentative="1">
      <w:start w:val="1"/>
      <w:numFmt w:val="bullet"/>
      <w:lvlText w:val=""/>
      <w:lvlJc w:val="left"/>
      <w:pPr>
        <w:ind w:left="2432" w:hanging="360"/>
      </w:pPr>
      <w:rPr>
        <w:rFonts w:ascii="Wingdings" w:hAnsi="Wingdings" w:hint="default"/>
      </w:rPr>
    </w:lvl>
    <w:lvl w:ilvl="3" w:tplc="FFFFFFFF" w:tentative="1">
      <w:start w:val="1"/>
      <w:numFmt w:val="bullet"/>
      <w:lvlText w:val=""/>
      <w:lvlJc w:val="left"/>
      <w:pPr>
        <w:ind w:left="3152" w:hanging="360"/>
      </w:pPr>
      <w:rPr>
        <w:rFonts w:ascii="Symbol" w:hAnsi="Symbol" w:hint="default"/>
      </w:rPr>
    </w:lvl>
    <w:lvl w:ilvl="4" w:tplc="FFFFFFFF" w:tentative="1">
      <w:start w:val="1"/>
      <w:numFmt w:val="bullet"/>
      <w:lvlText w:val="o"/>
      <w:lvlJc w:val="left"/>
      <w:pPr>
        <w:ind w:left="3872" w:hanging="360"/>
      </w:pPr>
      <w:rPr>
        <w:rFonts w:ascii="Courier New" w:hAnsi="Courier New" w:cs="Courier New" w:hint="default"/>
      </w:rPr>
    </w:lvl>
    <w:lvl w:ilvl="5" w:tplc="FFFFFFFF" w:tentative="1">
      <w:start w:val="1"/>
      <w:numFmt w:val="bullet"/>
      <w:lvlText w:val=""/>
      <w:lvlJc w:val="left"/>
      <w:pPr>
        <w:ind w:left="4592" w:hanging="360"/>
      </w:pPr>
      <w:rPr>
        <w:rFonts w:ascii="Wingdings" w:hAnsi="Wingdings" w:hint="default"/>
      </w:rPr>
    </w:lvl>
    <w:lvl w:ilvl="6" w:tplc="FFFFFFFF" w:tentative="1">
      <w:start w:val="1"/>
      <w:numFmt w:val="bullet"/>
      <w:lvlText w:val=""/>
      <w:lvlJc w:val="left"/>
      <w:pPr>
        <w:ind w:left="5312" w:hanging="360"/>
      </w:pPr>
      <w:rPr>
        <w:rFonts w:ascii="Symbol" w:hAnsi="Symbol" w:hint="default"/>
      </w:rPr>
    </w:lvl>
    <w:lvl w:ilvl="7" w:tplc="FFFFFFFF" w:tentative="1">
      <w:start w:val="1"/>
      <w:numFmt w:val="bullet"/>
      <w:lvlText w:val="o"/>
      <w:lvlJc w:val="left"/>
      <w:pPr>
        <w:ind w:left="6032" w:hanging="360"/>
      </w:pPr>
      <w:rPr>
        <w:rFonts w:ascii="Courier New" w:hAnsi="Courier New" w:cs="Courier New" w:hint="default"/>
      </w:rPr>
    </w:lvl>
    <w:lvl w:ilvl="8" w:tplc="FFFFFFFF" w:tentative="1">
      <w:start w:val="1"/>
      <w:numFmt w:val="bullet"/>
      <w:lvlText w:val=""/>
      <w:lvlJc w:val="left"/>
      <w:pPr>
        <w:ind w:left="6752"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
  </w:num>
  <w:num w:numId="2" w16cid:durableId="1345282128">
    <w:abstractNumId w:val="4"/>
  </w:num>
  <w:num w:numId="3" w16cid:durableId="1069613404">
    <w:abstractNumId w:val="3"/>
  </w:num>
  <w:num w:numId="4" w16cid:durableId="374936234">
    <w:abstractNumId w:val="2"/>
  </w:num>
  <w:num w:numId="5" w16cid:durableId="201807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7B"/>
    <w:rsid w:val="00002529"/>
    <w:rsid w:val="00085662"/>
    <w:rsid w:val="000C382F"/>
    <w:rsid w:val="001173CC"/>
    <w:rsid w:val="001350B9"/>
    <w:rsid w:val="0014464D"/>
    <w:rsid w:val="001A54CC"/>
    <w:rsid w:val="00257FB4"/>
    <w:rsid w:val="002B4391"/>
    <w:rsid w:val="002E496E"/>
    <w:rsid w:val="00303D62"/>
    <w:rsid w:val="00335367"/>
    <w:rsid w:val="00370C2D"/>
    <w:rsid w:val="00375DFB"/>
    <w:rsid w:val="003C6E86"/>
    <w:rsid w:val="003D1E8D"/>
    <w:rsid w:val="003D673B"/>
    <w:rsid w:val="003F2855"/>
    <w:rsid w:val="00401C20"/>
    <w:rsid w:val="004A7957"/>
    <w:rsid w:val="004C4144"/>
    <w:rsid w:val="004D3F0B"/>
    <w:rsid w:val="0055719E"/>
    <w:rsid w:val="00633108"/>
    <w:rsid w:val="006969B4"/>
    <w:rsid w:val="006E4F7B"/>
    <w:rsid w:val="0075549B"/>
    <w:rsid w:val="00781E2A"/>
    <w:rsid w:val="007933A2"/>
    <w:rsid w:val="007B6316"/>
    <w:rsid w:val="00814503"/>
    <w:rsid w:val="008258C2"/>
    <w:rsid w:val="008505BD"/>
    <w:rsid w:val="00850C78"/>
    <w:rsid w:val="00876165"/>
    <w:rsid w:val="00884D12"/>
    <w:rsid w:val="008C17AD"/>
    <w:rsid w:val="008D02CD"/>
    <w:rsid w:val="0091370C"/>
    <w:rsid w:val="0092184B"/>
    <w:rsid w:val="0095172A"/>
    <w:rsid w:val="0096101B"/>
    <w:rsid w:val="0096677B"/>
    <w:rsid w:val="009A0BA0"/>
    <w:rsid w:val="00A54E47"/>
    <w:rsid w:val="00AB6E3A"/>
    <w:rsid w:val="00AE3158"/>
    <w:rsid w:val="00AE7093"/>
    <w:rsid w:val="00B422BC"/>
    <w:rsid w:val="00B43F77"/>
    <w:rsid w:val="00B55A3E"/>
    <w:rsid w:val="00B87E9E"/>
    <w:rsid w:val="00B95F0A"/>
    <w:rsid w:val="00B96180"/>
    <w:rsid w:val="00C04261"/>
    <w:rsid w:val="00C116FE"/>
    <w:rsid w:val="00C17AC0"/>
    <w:rsid w:val="00C34772"/>
    <w:rsid w:val="00C433BA"/>
    <w:rsid w:val="00C4472C"/>
    <w:rsid w:val="00C5465A"/>
    <w:rsid w:val="00D21840"/>
    <w:rsid w:val="00D4644E"/>
    <w:rsid w:val="00D54642"/>
    <w:rsid w:val="00D834E7"/>
    <w:rsid w:val="00DD5C15"/>
    <w:rsid w:val="00DD77C9"/>
    <w:rsid w:val="00DF3538"/>
    <w:rsid w:val="00E839B0"/>
    <w:rsid w:val="00E92C09"/>
    <w:rsid w:val="00F14380"/>
    <w:rsid w:val="00F50379"/>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38F80"/>
  <w15:docId w15:val="{D830AF81-880C-4B98-87C3-F2184F7F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link w:val="ListParagraphChar"/>
    <w:uiPriority w:val="34"/>
    <w:qFormat/>
    <w:rsid w:val="00F50379"/>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character" w:customStyle="1" w:styleId="ListParagraphChar">
    <w:name w:val="List Paragraph Char"/>
    <w:basedOn w:val="DefaultParagraphFont"/>
    <w:link w:val="ListParagraph"/>
    <w:uiPriority w:val="34"/>
    <w:rsid w:val="00F50379"/>
    <w:rPr>
      <w:rFonts w:ascii="Times New Roman" w:eastAsiaTheme="minorEastAsia" w:hAnsi="Times New Roman"/>
      <w:sz w:val="24"/>
      <w:szCs w:val="24"/>
      <w:lang w:val="en-GB" w:eastAsia="ja-JP"/>
    </w:rPr>
  </w:style>
  <w:style w:type="table" w:styleId="TableGrid">
    <w:name w:val="Table Grid"/>
    <w:basedOn w:val="TableNormal"/>
    <w:uiPriority w:val="59"/>
    <w:rsid w:val="00F5037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0379"/>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etaverse/un-virtual-worlds-day/thinkathon/" TargetMode="External"/><Relationship Id="rId18" Type="http://schemas.openxmlformats.org/officeDocument/2006/relationships/hyperlink" Target="https://www.itu.int/metaverse/un-virtual-worlds-day/thinkathon/"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itu.int/md/T22-TSB-CIR-0187/es" TargetMode="External"/><Relationship Id="rId17" Type="http://schemas.openxmlformats.org/officeDocument/2006/relationships/hyperlink" Target="https://www.itu.int/en/ITU-T/focusgroups/mv/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T22-TSB-CIR-0192/e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etaverse/un-virtual-worlds-day/thinkath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etaverse/5th-forum-metaverse/" TargetMode="External"/><Relationship Id="rId23" Type="http://schemas.openxmlformats.org/officeDocument/2006/relationships/footer" Target="footer1.xml"/><Relationship Id="rId10" Type="http://schemas.openxmlformats.org/officeDocument/2006/relationships/hyperlink" Target="https://www.itu.int/metaverse/un-virtual-worlds-day/" TargetMode="External"/><Relationship Id="rId19" Type="http://schemas.openxmlformats.org/officeDocument/2006/relationships/hyperlink" Target="https://www.itu.int/metaverse/un-virtual-worlds-day/thinkathon/" TargetMode="External"/><Relationship Id="rId4" Type="http://schemas.openxmlformats.org/officeDocument/2006/relationships/settings" Target="settings.xml"/><Relationship Id="rId9" Type="http://schemas.openxmlformats.org/officeDocument/2006/relationships/hyperlink" Target="mailto:tsbsg..@itu.int" TargetMode="External"/><Relationship Id="rId14" Type="http://schemas.openxmlformats.org/officeDocument/2006/relationships/hyperlink" Target="https://www.itu.int/en/ITU-T/focusgroups/mv/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64</TotalTime>
  <Pages>2</Pages>
  <Words>1077</Words>
  <Characters>6396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7459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11</cp:revision>
  <cp:lastPrinted>2024-07-08T14:15:00Z</cp:lastPrinted>
  <dcterms:created xsi:type="dcterms:W3CDTF">2024-06-07T18:08:00Z</dcterms:created>
  <dcterms:modified xsi:type="dcterms:W3CDTF">2024-07-08T14:16:00Z</dcterms:modified>
</cp:coreProperties>
</file>