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3516"/>
        <w:gridCol w:w="5070"/>
      </w:tblGrid>
      <w:tr w:rsidR="00EF6A23" w:rsidRPr="007B3154" w14:paraId="75AC00F0" w14:textId="77777777" w:rsidTr="003A7F6A">
        <w:trPr>
          <w:cantSplit/>
        </w:trPr>
        <w:tc>
          <w:tcPr>
            <w:tcW w:w="1296" w:type="dxa"/>
            <w:vAlign w:val="center"/>
          </w:tcPr>
          <w:p w14:paraId="3C261444" w14:textId="77777777" w:rsidR="00EF6A23" w:rsidRPr="007B3154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B3154">
              <w:rPr>
                <w:noProof/>
                <w:lang w:eastAsia="zh-CN"/>
              </w:rPr>
              <w:drawing>
                <wp:inline distT="0" distB="0" distL="0" distR="0" wp14:anchorId="7E17C36A" wp14:editId="70B0B22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1BE44242" w14:textId="77777777" w:rsidR="00EF6A23" w:rsidRPr="007B3154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7B315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ECE9161" w14:textId="77777777" w:rsidR="00EF6A23" w:rsidRPr="007B3154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7B315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7B315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3A7F6A" w14:paraId="1DDB8A7E" w14:textId="77777777" w:rsidTr="003A7F6A">
        <w:trPr>
          <w:cantSplit/>
        </w:trPr>
        <w:tc>
          <w:tcPr>
            <w:tcW w:w="1296" w:type="dxa"/>
          </w:tcPr>
          <w:p w14:paraId="62ACFB0F" w14:textId="77777777" w:rsidR="00036F4F" w:rsidRPr="003A7F6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82" w:type="dxa"/>
          </w:tcPr>
          <w:p w14:paraId="212862AA" w14:textId="77777777" w:rsidR="00036F4F" w:rsidRPr="003A7F6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93" w:type="dxa"/>
          </w:tcPr>
          <w:p w14:paraId="255DE309" w14:textId="6ACCE33A" w:rsidR="00036F4F" w:rsidRPr="003A7F6A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Genève, le</w:t>
            </w:r>
            <w:r w:rsidR="004419E9" w:rsidRPr="003A7F6A">
              <w:rPr>
                <w:rFonts w:cstheme="minorHAnsi"/>
                <w:sz w:val="22"/>
                <w:szCs w:val="22"/>
              </w:rPr>
              <w:t xml:space="preserve"> </w:t>
            </w:r>
            <w:r w:rsidR="005068D8" w:rsidRPr="003A7F6A">
              <w:rPr>
                <w:rFonts w:cstheme="minorHAnsi"/>
                <w:sz w:val="22"/>
                <w:szCs w:val="22"/>
              </w:rPr>
              <w:t>19 mars 2024</w:t>
            </w:r>
          </w:p>
        </w:tc>
      </w:tr>
      <w:tr w:rsidR="00445B68" w:rsidRPr="003A7F6A" w14:paraId="3341F3BA" w14:textId="77777777" w:rsidTr="003A7F6A">
        <w:trPr>
          <w:cantSplit/>
          <w:trHeight w:val="340"/>
        </w:trPr>
        <w:tc>
          <w:tcPr>
            <w:tcW w:w="1296" w:type="dxa"/>
          </w:tcPr>
          <w:p w14:paraId="0A5CBC6C" w14:textId="77777777" w:rsidR="00445B68" w:rsidRPr="003A7F6A" w:rsidRDefault="00445B68" w:rsidP="003A7F6A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82" w:type="dxa"/>
          </w:tcPr>
          <w:p w14:paraId="22B53B00" w14:textId="25DD0DC6" w:rsidR="00445B68" w:rsidRPr="003A7F6A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3A7F6A">
              <w:rPr>
                <w:rFonts w:cstheme="minorHAnsi"/>
                <w:b/>
                <w:sz w:val="22"/>
                <w:szCs w:val="22"/>
              </w:rPr>
              <w:t xml:space="preserve">Circulaire TSB </w:t>
            </w:r>
            <w:r w:rsidR="00E33122" w:rsidRPr="003A7F6A">
              <w:rPr>
                <w:rFonts w:cstheme="minorHAnsi"/>
                <w:b/>
                <w:sz w:val="22"/>
                <w:szCs w:val="22"/>
              </w:rPr>
              <w:t>193</w:t>
            </w:r>
          </w:p>
          <w:p w14:paraId="1DA53895" w14:textId="5D6113CB" w:rsidR="00445B68" w:rsidRPr="003A7F6A" w:rsidRDefault="005068D8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3A7F6A">
              <w:rPr>
                <w:rFonts w:cstheme="minorHAnsi"/>
                <w:b/>
                <w:bCs/>
                <w:sz w:val="22"/>
                <w:szCs w:val="22"/>
              </w:rPr>
              <w:t>CB</w:t>
            </w:r>
          </w:p>
        </w:tc>
        <w:tc>
          <w:tcPr>
            <w:tcW w:w="5193" w:type="dxa"/>
            <w:vMerge w:val="restart"/>
          </w:tcPr>
          <w:p w14:paraId="351AB669" w14:textId="29874A63" w:rsidR="00307FB4" w:rsidRPr="003A7F6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</w:r>
            <w:r w:rsidR="005068D8" w:rsidRPr="003A7F6A">
              <w:rPr>
                <w:rFonts w:cstheme="minorHAnsi"/>
                <w:sz w:val="22"/>
                <w:szCs w:val="22"/>
              </w:rPr>
              <w:t xml:space="preserve">Aux </w:t>
            </w:r>
            <w:r w:rsidRPr="003A7F6A">
              <w:rPr>
                <w:rFonts w:cstheme="minorHAnsi"/>
                <w:sz w:val="22"/>
                <w:szCs w:val="22"/>
              </w:rPr>
              <w:t>Administrations des États Membres de</w:t>
            </w:r>
            <w:r w:rsidR="00C9341D" w:rsidRPr="003A7F6A">
              <w:rPr>
                <w:rFonts w:cstheme="minorHAnsi"/>
                <w:sz w:val="22"/>
                <w:szCs w:val="22"/>
              </w:rPr>
              <w:t> 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Union;</w:t>
            </w:r>
            <w:proofErr w:type="gramEnd"/>
          </w:p>
          <w:p w14:paraId="5CD4A3CC" w14:textId="3E0D5730" w:rsidR="00307FB4" w:rsidRPr="003A7F6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</w:r>
            <w:r w:rsidR="005068D8" w:rsidRPr="003A7F6A">
              <w:rPr>
                <w:rFonts w:cstheme="minorHAnsi"/>
                <w:sz w:val="22"/>
                <w:szCs w:val="22"/>
              </w:rPr>
              <w:t xml:space="preserve">Aux </w:t>
            </w:r>
            <w:r w:rsidRPr="003A7F6A">
              <w:rPr>
                <w:rFonts w:cstheme="minorHAnsi"/>
                <w:sz w:val="22"/>
                <w:szCs w:val="22"/>
              </w:rPr>
              <w:t>Membres du Secteur de 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UIT-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649CB827" w14:textId="65204A30" w:rsidR="00307FB4" w:rsidRPr="003A7F6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</w:r>
            <w:r w:rsidR="005068D8" w:rsidRPr="003A7F6A">
              <w:rPr>
                <w:rFonts w:cstheme="minorHAnsi"/>
                <w:sz w:val="22"/>
                <w:szCs w:val="22"/>
              </w:rPr>
              <w:t xml:space="preserve">Aux </w:t>
            </w:r>
            <w:r w:rsidRPr="003A7F6A">
              <w:rPr>
                <w:rFonts w:cstheme="minorHAnsi"/>
                <w:sz w:val="22"/>
                <w:szCs w:val="22"/>
              </w:rPr>
              <w:t>Associés de 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UIT-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BD43BDE" w14:textId="614AA871" w:rsidR="00445B68" w:rsidRPr="003A7F6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</w:r>
            <w:r w:rsidR="005068D8" w:rsidRPr="003A7F6A">
              <w:rPr>
                <w:rFonts w:cstheme="minorHAnsi"/>
                <w:sz w:val="22"/>
                <w:szCs w:val="22"/>
              </w:rPr>
              <w:t xml:space="preserve">Aux </w:t>
            </w:r>
            <w:r w:rsidRPr="003A7F6A">
              <w:rPr>
                <w:rFonts w:cstheme="minorHAnsi"/>
                <w:sz w:val="22"/>
                <w:szCs w:val="22"/>
              </w:rPr>
              <w:t xml:space="preserve">Établissements universitaires participant aux travaux de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UIT</w:t>
            </w:r>
            <w:r w:rsidR="005068D8" w:rsidRPr="003A7F6A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4E2E956B" w14:textId="1202ABEB" w:rsidR="005068D8" w:rsidRPr="003A7F6A" w:rsidRDefault="005068D8" w:rsidP="005068D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 xml:space="preserve">Aux Missions permanentes et aux Ambassades à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Genève;</w:t>
            </w:r>
            <w:proofErr w:type="gramEnd"/>
          </w:p>
          <w:p w14:paraId="6C27049B" w14:textId="2FD513B3" w:rsidR="005068D8" w:rsidRPr="003A7F6A" w:rsidRDefault="005068D8" w:rsidP="005068D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 xml:space="preserve">Aux organisations internationales, régionales et nationales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compétentes;</w:t>
            </w:r>
            <w:proofErr w:type="gramEnd"/>
          </w:p>
          <w:p w14:paraId="2FE8AD3D" w14:textId="61BB33A3" w:rsidR="005068D8" w:rsidRPr="003A7F6A" w:rsidRDefault="005068D8" w:rsidP="005068D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 xml:space="preserve">Aux organisations intergouvernementales exploitant des systèmes à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satellites;</w:t>
            </w:r>
            <w:proofErr w:type="gramEnd"/>
          </w:p>
          <w:p w14:paraId="0C4ACB9D" w14:textId="3CAC719A" w:rsidR="005068D8" w:rsidRPr="003A7F6A" w:rsidRDefault="005068D8" w:rsidP="005068D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>À 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 xml:space="preserve">Organisation des Nations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Unies;</w:t>
            </w:r>
            <w:proofErr w:type="gramEnd"/>
          </w:p>
          <w:p w14:paraId="6B519159" w14:textId="0A4F24A0" w:rsidR="005068D8" w:rsidRPr="003A7F6A" w:rsidRDefault="005068D8" w:rsidP="005068D8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>Aux institutions spécialisées des Nations</w:t>
            </w:r>
            <w:r w:rsidR="00C9341D" w:rsidRPr="003A7F6A">
              <w:rPr>
                <w:rFonts w:cstheme="minorHAnsi"/>
                <w:sz w:val="22"/>
                <w:szCs w:val="22"/>
              </w:rPr>
              <w:t> </w:t>
            </w:r>
            <w:r w:rsidRPr="003A7F6A">
              <w:rPr>
                <w:rFonts w:cstheme="minorHAnsi"/>
                <w:sz w:val="22"/>
                <w:szCs w:val="22"/>
              </w:rPr>
              <w:t>Unies et à 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Agence internationale de l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énergie atomique</w:t>
            </w:r>
          </w:p>
        </w:tc>
      </w:tr>
      <w:tr w:rsidR="005068D8" w:rsidRPr="003A7F6A" w14:paraId="1FB3CDB1" w14:textId="77777777" w:rsidTr="003A7F6A">
        <w:trPr>
          <w:cantSplit/>
          <w:trHeight w:val="340"/>
        </w:trPr>
        <w:tc>
          <w:tcPr>
            <w:tcW w:w="1296" w:type="dxa"/>
          </w:tcPr>
          <w:p w14:paraId="042FEBBC" w14:textId="5981F5B9" w:rsidR="005068D8" w:rsidRPr="003A7F6A" w:rsidRDefault="005068D8" w:rsidP="003A7F6A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82" w:type="dxa"/>
          </w:tcPr>
          <w:p w14:paraId="3D733183" w14:textId="679B752E" w:rsidR="005068D8" w:rsidRPr="003A7F6A" w:rsidRDefault="005068D8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+41 22 730 6801</w:t>
            </w:r>
          </w:p>
        </w:tc>
        <w:tc>
          <w:tcPr>
            <w:tcW w:w="5193" w:type="dxa"/>
            <w:vMerge/>
          </w:tcPr>
          <w:p w14:paraId="073F3A7F" w14:textId="77777777" w:rsidR="005068D8" w:rsidRPr="003A7F6A" w:rsidRDefault="005068D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</w:p>
        </w:tc>
      </w:tr>
      <w:tr w:rsidR="005068D8" w:rsidRPr="003A7F6A" w14:paraId="1A9A2E3F" w14:textId="77777777" w:rsidTr="003A7F6A">
        <w:trPr>
          <w:cantSplit/>
        </w:trPr>
        <w:tc>
          <w:tcPr>
            <w:tcW w:w="1296" w:type="dxa"/>
          </w:tcPr>
          <w:p w14:paraId="4FE6B194" w14:textId="683B7B31" w:rsidR="005068D8" w:rsidRPr="003A7F6A" w:rsidRDefault="005068D8" w:rsidP="003A7F6A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82" w:type="dxa"/>
          </w:tcPr>
          <w:p w14:paraId="60375008" w14:textId="799C5EB5" w:rsidR="005068D8" w:rsidRPr="003A7F6A" w:rsidRDefault="005068D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93" w:type="dxa"/>
            <w:vMerge/>
          </w:tcPr>
          <w:p w14:paraId="450637DF" w14:textId="77777777" w:rsidR="005068D8" w:rsidRPr="003A7F6A" w:rsidRDefault="005068D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068D8" w:rsidRPr="003A7F6A" w14:paraId="2A8D71F6" w14:textId="77777777" w:rsidTr="003A7F6A">
        <w:trPr>
          <w:cantSplit/>
          <w:trHeight w:val="586"/>
        </w:trPr>
        <w:tc>
          <w:tcPr>
            <w:tcW w:w="1296" w:type="dxa"/>
          </w:tcPr>
          <w:p w14:paraId="27ECDE43" w14:textId="7C681B4D" w:rsidR="005068D8" w:rsidRPr="003A7F6A" w:rsidRDefault="005068D8" w:rsidP="003A7F6A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82" w:type="dxa"/>
          </w:tcPr>
          <w:p w14:paraId="45176CBB" w14:textId="4F6D1792" w:rsidR="005068D8" w:rsidRPr="003A7F6A" w:rsidRDefault="0026029E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5068D8" w:rsidRPr="003A7F6A">
                <w:rPr>
                  <w:rStyle w:val="Hyperlink"/>
                  <w:rFonts w:cstheme="minorHAnsi"/>
                  <w:sz w:val="22"/>
                  <w:szCs w:val="22"/>
                </w:rPr>
                <w:t>virtualworlds@itu.int</w:t>
              </w:r>
            </w:hyperlink>
            <w:r w:rsidR="005068D8" w:rsidRPr="003A7F6A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93" w:type="dxa"/>
            <w:vMerge/>
          </w:tcPr>
          <w:p w14:paraId="2EB32B36" w14:textId="77777777" w:rsidR="005068D8" w:rsidRPr="003A7F6A" w:rsidRDefault="005068D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068D8" w:rsidRPr="003A7F6A" w14:paraId="47EDB485" w14:textId="77777777" w:rsidTr="003A7F6A">
        <w:trPr>
          <w:cantSplit/>
        </w:trPr>
        <w:tc>
          <w:tcPr>
            <w:tcW w:w="1296" w:type="dxa"/>
          </w:tcPr>
          <w:p w14:paraId="0F59BED1" w14:textId="1ABA5DA9" w:rsidR="005068D8" w:rsidRPr="003A7F6A" w:rsidRDefault="005068D8" w:rsidP="003A7F6A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82" w:type="dxa"/>
          </w:tcPr>
          <w:p w14:paraId="00FA003E" w14:textId="0B2E55CD" w:rsidR="005068D8" w:rsidRPr="003A7F6A" w:rsidRDefault="005068D8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193" w:type="dxa"/>
          </w:tcPr>
          <w:p w14:paraId="11E7F35D" w14:textId="77777777" w:rsidR="005068D8" w:rsidRPr="003A7F6A" w:rsidRDefault="005068D8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0A6FEA0A" w14:textId="4CD02C1D" w:rsidR="005068D8" w:rsidRPr="003A7F6A" w:rsidRDefault="005068D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 xml:space="preserve">Aux Présidents et Vice-Présidents des Commissions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d</w:t>
            </w:r>
            <w:r w:rsidR="007B3154" w:rsidRPr="003A7F6A">
              <w:rPr>
                <w:rFonts w:cstheme="minorHAnsi"/>
                <w:sz w:val="22"/>
                <w:szCs w:val="22"/>
              </w:rPr>
              <w:t>'</w:t>
            </w:r>
            <w:r w:rsidRPr="003A7F6A">
              <w:rPr>
                <w:rFonts w:cstheme="minorHAnsi"/>
                <w:sz w:val="22"/>
                <w:szCs w:val="22"/>
              </w:rPr>
              <w:t>études;</w:t>
            </w:r>
            <w:proofErr w:type="gramEnd"/>
          </w:p>
          <w:p w14:paraId="027249E8" w14:textId="77777777" w:rsidR="005068D8" w:rsidRPr="003A7F6A" w:rsidRDefault="005068D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3A7F6A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7589F0F4" w14:textId="77777777" w:rsidR="005068D8" w:rsidRPr="003A7F6A" w:rsidRDefault="005068D8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–</w:t>
            </w:r>
            <w:r w:rsidRPr="003A7F6A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5068D8" w:rsidRPr="003A7F6A" w14:paraId="258D67D8" w14:textId="77777777" w:rsidTr="003A7F6A">
        <w:trPr>
          <w:cantSplit/>
          <w:trHeight w:val="397"/>
        </w:trPr>
        <w:tc>
          <w:tcPr>
            <w:tcW w:w="1296" w:type="dxa"/>
          </w:tcPr>
          <w:p w14:paraId="05332C76" w14:textId="1AE6F182" w:rsidR="005068D8" w:rsidRPr="003A7F6A" w:rsidRDefault="005068D8" w:rsidP="003A7F6A">
            <w:pPr>
              <w:tabs>
                <w:tab w:val="left" w:pos="4111"/>
              </w:tabs>
              <w:ind w:left="135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73D4BB0" w14:textId="159501D2" w:rsidR="005068D8" w:rsidRPr="003A7F6A" w:rsidRDefault="005068D8" w:rsidP="005068D8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  <w:r w:rsidRPr="003A7F6A">
              <w:rPr>
                <w:rFonts w:cstheme="minorHAnsi"/>
                <w:b/>
                <w:bCs/>
                <w:sz w:val="22"/>
                <w:szCs w:val="22"/>
              </w:rPr>
              <w:t xml:space="preserve">Première Journée des mondes virtuels des Nations </w:t>
            </w:r>
            <w:proofErr w:type="gramStart"/>
            <w:r w:rsidRPr="003A7F6A">
              <w:rPr>
                <w:rFonts w:cstheme="minorHAnsi"/>
                <w:b/>
                <w:bCs/>
                <w:sz w:val="22"/>
                <w:szCs w:val="22"/>
              </w:rPr>
              <w:t>Unies:</w:t>
            </w:r>
            <w:proofErr w:type="gramEnd"/>
            <w:r w:rsidRPr="003A7F6A">
              <w:rPr>
                <w:rFonts w:cstheme="minorHAnsi"/>
                <w:b/>
                <w:bCs/>
                <w:sz w:val="22"/>
                <w:szCs w:val="22"/>
              </w:rPr>
              <w:t xml:space="preserve"> Exploiter le métavers de façon à progresser dans la réalisation des Objectifs de développement durable (Genève, 14 juin 2024)</w:t>
            </w:r>
          </w:p>
        </w:tc>
      </w:tr>
    </w:tbl>
    <w:p w14:paraId="3CD59931" w14:textId="77777777" w:rsidR="00517A03" w:rsidRPr="003A7F6A" w:rsidRDefault="00517A03" w:rsidP="003A7F6A">
      <w:pPr>
        <w:rPr>
          <w:rFonts w:cstheme="minorHAnsi"/>
          <w:sz w:val="22"/>
          <w:szCs w:val="22"/>
        </w:rPr>
      </w:pPr>
      <w:bookmarkStart w:id="0" w:name="StartTyping_F"/>
      <w:bookmarkEnd w:id="0"/>
      <w:r w:rsidRPr="003A7F6A">
        <w:rPr>
          <w:rFonts w:cstheme="minorHAnsi"/>
          <w:sz w:val="22"/>
          <w:szCs w:val="22"/>
        </w:rPr>
        <w:t>Madame, Monsieur,</w:t>
      </w:r>
    </w:p>
    <w:p w14:paraId="6C573E83" w14:textId="39D6D1F7" w:rsidR="005068D8" w:rsidRPr="003A7F6A" w:rsidRDefault="005068D8" w:rsidP="003A7F6A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1</w:t>
      </w:r>
      <w:r w:rsidRPr="003A7F6A">
        <w:rPr>
          <w:rFonts w:cstheme="minorHAnsi"/>
          <w:bCs/>
          <w:sz w:val="22"/>
          <w:szCs w:val="22"/>
        </w:rPr>
        <w:tab/>
        <w:t>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Union internationale des télécommunication (UIT), au nom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Organisation des Nations</w:t>
      </w:r>
      <w:r w:rsidR="00085512" w:rsidRPr="003A7F6A">
        <w:rPr>
          <w:rFonts w:cstheme="minorHAnsi"/>
          <w:bCs/>
          <w:sz w:val="22"/>
          <w:szCs w:val="22"/>
        </w:rPr>
        <w:t> </w:t>
      </w:r>
      <w:r w:rsidRPr="003A7F6A">
        <w:rPr>
          <w:rFonts w:cstheme="minorHAnsi"/>
          <w:bCs/>
          <w:sz w:val="22"/>
          <w:szCs w:val="22"/>
        </w:rPr>
        <w:t>Unies pour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alimentation et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agriculture (FAO), du Centre international de formation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Organisation internationale du travail (ITCILO), du Département des affaires politiques et de la consolidation de la paix des Nations Unies (UNDPPA), de la Commission économique des Nations</w:t>
      </w:r>
      <w:r w:rsidR="00085512" w:rsidRPr="003A7F6A">
        <w:rPr>
          <w:rFonts w:cstheme="minorHAnsi"/>
          <w:bCs/>
          <w:sz w:val="22"/>
          <w:szCs w:val="22"/>
        </w:rPr>
        <w:t> </w:t>
      </w:r>
      <w:r w:rsidRPr="003A7F6A">
        <w:rPr>
          <w:rFonts w:cstheme="minorHAnsi"/>
          <w:bCs/>
          <w:sz w:val="22"/>
          <w:szCs w:val="22"/>
        </w:rPr>
        <w:t>Unies pour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Europe (CEE), de la Commission économique et sociale des Nations Unies pour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Asie occidentale (UNESCWA), de la Convention-cadre des Nations Unies sur les changements climatiques (UNFCCC) et de son initiative </w:t>
      </w:r>
      <w:r w:rsidR="0062245B" w:rsidRPr="003A7F6A">
        <w:rPr>
          <w:rFonts w:cstheme="minorHAnsi"/>
          <w:bCs/>
          <w:sz w:val="22"/>
          <w:szCs w:val="22"/>
        </w:rPr>
        <w:t>interorganisations</w:t>
      </w:r>
      <w:r w:rsidRPr="003A7F6A">
        <w:rPr>
          <w:rFonts w:cstheme="minorHAnsi"/>
          <w:bCs/>
          <w:sz w:val="22"/>
          <w:szCs w:val="22"/>
        </w:rPr>
        <w:t xml:space="preserve"> "Resilience Frontiers", du Laboratoire des Nations Unies pour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avenir, de la Mission permanente du Guatemala auprès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Office des Nations Unies à Genève, du Centre international de calcul des Nations Unies (UNICC), du Fonds des Nations Unies pour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enfance (UNICEF), du Réseau d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innovation des Nations Unies (UNIN),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Université des Nations Unies (UNU),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Organisation mondiale de la propriété intellectuelle (OMPI), de la Banque mondiale et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Organisation météorologique mondiale (OMM), a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honneur de vous inviter à la première </w:t>
      </w:r>
      <w:hyperlink r:id="rId10" w:history="1">
        <w:r w:rsidRPr="003A7F6A">
          <w:rPr>
            <w:rStyle w:val="Hyperlink"/>
            <w:rFonts w:cstheme="minorHAnsi"/>
            <w:b/>
            <w:bCs/>
            <w:sz w:val="22"/>
            <w:szCs w:val="22"/>
          </w:rPr>
          <w:t>Journée des mondes virtuels des Nations Unies: Exploiter le métavers de façon à progresser dans la réalisation des Objectifs de développement durable</w:t>
        </w:r>
      </w:hyperlink>
      <w:r w:rsidRPr="003A7F6A">
        <w:rPr>
          <w:rFonts w:cstheme="minorHAnsi"/>
          <w:bCs/>
          <w:sz w:val="22"/>
          <w:szCs w:val="22"/>
        </w:rPr>
        <w:t>, qui se tiendra au siège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UIT à Genève (Suisse) le 14 juin 2024, de 9 </w:t>
      </w:r>
      <w:r w:rsidR="00085512" w:rsidRPr="003A7F6A">
        <w:rPr>
          <w:rFonts w:cstheme="minorHAnsi"/>
          <w:bCs/>
          <w:sz w:val="22"/>
          <w:szCs w:val="22"/>
        </w:rPr>
        <w:t>h 00</w:t>
      </w:r>
      <w:r w:rsidRPr="003A7F6A">
        <w:rPr>
          <w:rFonts w:cstheme="minorHAnsi"/>
          <w:bCs/>
          <w:sz w:val="22"/>
          <w:szCs w:val="22"/>
        </w:rPr>
        <w:t xml:space="preserve"> à 18 h 10 (CEST).</w:t>
      </w:r>
    </w:p>
    <w:p w14:paraId="6A060852" w14:textId="0AA0FF83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2</w:t>
      </w:r>
      <w:r w:rsidRPr="003A7F6A">
        <w:rPr>
          <w:rFonts w:cstheme="minorHAnsi"/>
          <w:bCs/>
          <w:sz w:val="22"/>
          <w:szCs w:val="22"/>
        </w:rPr>
        <w:tab/>
        <w:t>La Journée des mondes virtuels des Nations Unies vise à mettre en lumière le pouvoir de transformation offert par les mondes virtuels, y compris le métavers et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informatique spatiale, de façon à progresser dans la réalisation des objectifs de développement durable (ODD). Les décideurs réunis à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occasion de cette journée réfléchiront ainsi à la meilleure manière de réglementer les mondes virtuels et le métavers et d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établir les garde-fous requis par ces technologies. En parallèle se tiendra une exposition qui donnera à voir les avancées les plus récentes dans le domaine de la réalité virtuelle, de la réalité augmentée, </w:t>
      </w:r>
      <w:r w:rsidRPr="003A7F6A">
        <w:rPr>
          <w:rFonts w:cstheme="minorHAnsi"/>
          <w:bCs/>
          <w:sz w:val="22"/>
          <w:szCs w:val="22"/>
        </w:rPr>
        <w:lastRenderedPageBreak/>
        <w:t>du métavers et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informatique spatiale, et la façon dont les applications réelles de ces technologies peuvent concourir à faire progresser les ODD.</w:t>
      </w:r>
    </w:p>
    <w:p w14:paraId="047A1ED0" w14:textId="77777777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3</w:t>
      </w:r>
      <w:r w:rsidRPr="003A7F6A">
        <w:rPr>
          <w:rFonts w:cstheme="minorHAnsi"/>
          <w:bCs/>
          <w:sz w:val="22"/>
          <w:szCs w:val="22"/>
        </w:rPr>
        <w:tab/>
      </w:r>
      <w:r w:rsidRPr="003A7F6A">
        <w:rPr>
          <w:rFonts w:cstheme="minorHAnsi"/>
          <w:b/>
          <w:sz w:val="22"/>
          <w:szCs w:val="22"/>
        </w:rPr>
        <w:t>Marathon de pensée des Nations Unies sur le métavers (Think-a-Thon)</w:t>
      </w:r>
    </w:p>
    <w:p w14:paraId="5BFCD00D" w14:textId="63A3D965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 xml:space="preserve">Le même jour se tiendra le premier </w:t>
      </w:r>
      <w:hyperlink r:id="rId11" w:history="1">
        <w:r w:rsidRPr="003A7F6A">
          <w:rPr>
            <w:rStyle w:val="Hyperlink"/>
            <w:rFonts w:cstheme="minorHAnsi"/>
            <w:bCs/>
            <w:sz w:val="22"/>
            <w:szCs w:val="22"/>
          </w:rPr>
          <w:t>Think-a-Thon des Nations Unies consacré au métavers</w:t>
        </w:r>
      </w:hyperlink>
      <w:r w:rsidRPr="003A7F6A">
        <w:rPr>
          <w:rFonts w:cstheme="minorHAnsi"/>
          <w:bCs/>
          <w:sz w:val="22"/>
          <w:szCs w:val="22"/>
        </w:rPr>
        <w:t xml:space="preserve"> organisé conjointement par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UIT,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UNICC et la FAO sur le </w:t>
      </w:r>
      <w:proofErr w:type="gramStart"/>
      <w:r w:rsidRPr="003A7F6A">
        <w:rPr>
          <w:rFonts w:cstheme="minorHAnsi"/>
          <w:bCs/>
          <w:sz w:val="22"/>
          <w:szCs w:val="22"/>
        </w:rPr>
        <w:t>thème:</w:t>
      </w:r>
      <w:proofErr w:type="gramEnd"/>
      <w:r w:rsidRPr="003A7F6A">
        <w:rPr>
          <w:rFonts w:cstheme="minorHAnsi"/>
          <w:bCs/>
          <w:sz w:val="22"/>
          <w:szCs w:val="22"/>
        </w:rPr>
        <w:t xml:space="preserve"> "Les mondes virtuels révolutionnent les villes et les communautés intelligentes et durables". Cette manifestation donnera à des jeunes la possibilité de donner libre cours à leur imagination concernant les technologies virtuelles, en particulier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informatique spatiale et le métavers, afin d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inventer des solutions innovantes pour les</w:t>
      </w:r>
      <w:r w:rsidR="00085512" w:rsidRPr="003A7F6A">
        <w:rPr>
          <w:rFonts w:cstheme="minorHAnsi"/>
          <w:bCs/>
          <w:sz w:val="22"/>
          <w:szCs w:val="22"/>
        </w:rPr>
        <w:t> </w:t>
      </w:r>
      <w:r w:rsidRPr="003A7F6A">
        <w:rPr>
          <w:rFonts w:cstheme="minorHAnsi"/>
          <w:bCs/>
          <w:sz w:val="22"/>
          <w:szCs w:val="22"/>
        </w:rPr>
        <w:t>ODD. Ce sera une opportunité unique pour les jeunes innovateurs de chercher à résoudre, dans un environnement virtuel, les défis posés par le monde réel, afin de façonner un avenir durable et inclusif. La cérémonie de remise des prix aux gagnants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édition 2024 du marathon de pensée aura lieu pendant la Journée des mondes virtuels des Nations Unies.</w:t>
      </w:r>
    </w:p>
    <w:p w14:paraId="0CC66F4C" w14:textId="167C7255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 xml:space="preserve">Des détails sur cette manifestation organisée par les Nations Unies sont donnés dans la </w:t>
      </w:r>
      <w:hyperlink r:id="rId12" w:history="1">
        <w:r w:rsidRPr="003A7F6A">
          <w:rPr>
            <w:rStyle w:val="Hyperlink"/>
            <w:rFonts w:cstheme="minorHAnsi"/>
            <w:bCs/>
            <w:sz w:val="22"/>
            <w:szCs w:val="22"/>
          </w:rPr>
          <w:t>Circulaire 187</w:t>
        </w:r>
      </w:hyperlink>
      <w:r w:rsidRPr="003A7F6A">
        <w:rPr>
          <w:rFonts w:cstheme="minorHAnsi"/>
          <w:bCs/>
          <w:sz w:val="22"/>
          <w:szCs w:val="22"/>
        </w:rPr>
        <w:t xml:space="preserve"> ainsi que sur la </w:t>
      </w:r>
      <w:hyperlink r:id="rId13" w:history="1">
        <w:r w:rsidRPr="003A7F6A">
          <w:rPr>
            <w:rStyle w:val="Hyperlink"/>
            <w:rFonts w:cstheme="minorHAnsi"/>
            <w:bCs/>
            <w:sz w:val="22"/>
            <w:szCs w:val="22"/>
          </w:rPr>
          <w:t>page web de la manifestation Think-a-Thon 2024 consacrée au métavers</w:t>
        </w:r>
      </w:hyperlink>
      <w:r w:rsidRPr="003A7F6A">
        <w:rPr>
          <w:rFonts w:cstheme="minorHAnsi"/>
          <w:bCs/>
          <w:sz w:val="22"/>
          <w:szCs w:val="22"/>
        </w:rPr>
        <w:t>.</w:t>
      </w:r>
    </w:p>
    <w:p w14:paraId="33A871A7" w14:textId="32750B39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4</w:t>
      </w:r>
      <w:r w:rsidRPr="003A7F6A">
        <w:rPr>
          <w:rFonts w:cstheme="minorHAnsi"/>
          <w:bCs/>
          <w:sz w:val="22"/>
          <w:szCs w:val="22"/>
        </w:rPr>
        <w:tab/>
        <w:t xml:space="preserve">La première Journée des mondes virtuels des Nations Unies sera précédée de la </w:t>
      </w:r>
      <w:hyperlink r:id="rId14" w:history="1">
        <w:r w:rsidRPr="003A7F6A">
          <w:rPr>
            <w:rStyle w:val="Hyperlink"/>
            <w:rFonts w:cstheme="minorHAnsi"/>
            <w:bCs/>
            <w:sz w:val="22"/>
            <w:szCs w:val="22"/>
          </w:rPr>
          <w:t>Septième</w:t>
        </w:r>
        <w:r w:rsidR="00085512" w:rsidRPr="003A7F6A">
          <w:rPr>
            <w:rStyle w:val="Hyperlink"/>
            <w:rFonts w:cstheme="minorHAnsi"/>
            <w:bCs/>
            <w:sz w:val="22"/>
            <w:szCs w:val="22"/>
          </w:rPr>
          <w:t> </w:t>
        </w:r>
        <w:r w:rsidRPr="003A7F6A">
          <w:rPr>
            <w:rStyle w:val="Hyperlink"/>
            <w:rFonts w:cstheme="minorHAnsi"/>
            <w:bCs/>
            <w:sz w:val="22"/>
            <w:szCs w:val="22"/>
          </w:rPr>
          <w:t>et dernière réunion du Groupe spécialisé de l</w:t>
        </w:r>
        <w:r w:rsidR="007B3154" w:rsidRPr="003A7F6A">
          <w:rPr>
            <w:rStyle w:val="Hyperlink"/>
            <w:rFonts w:cstheme="minorHAnsi"/>
            <w:bCs/>
            <w:sz w:val="22"/>
            <w:szCs w:val="22"/>
          </w:rPr>
          <w:t>'</w:t>
        </w:r>
        <w:r w:rsidRPr="003A7F6A">
          <w:rPr>
            <w:rStyle w:val="Hyperlink"/>
            <w:rFonts w:cstheme="minorHAnsi"/>
            <w:bCs/>
            <w:sz w:val="22"/>
            <w:szCs w:val="22"/>
          </w:rPr>
          <w:t>UIT-T sur le métavers (FG-MV)</w:t>
        </w:r>
      </w:hyperlink>
      <w:r w:rsidRPr="003A7F6A">
        <w:rPr>
          <w:rFonts w:cstheme="minorHAnsi"/>
          <w:bCs/>
          <w:sz w:val="22"/>
          <w:szCs w:val="22"/>
        </w:rPr>
        <w:t xml:space="preserve"> et du </w:t>
      </w:r>
      <w:hyperlink r:id="rId15" w:history="1">
        <w:r w:rsidR="00085512" w:rsidRPr="003A7F6A">
          <w:rPr>
            <w:rStyle w:val="Hyperlink"/>
            <w:rFonts w:cstheme="minorHAnsi"/>
            <w:sz w:val="22"/>
            <w:szCs w:val="22"/>
          </w:rPr>
          <w:t>cinquième Forum de l</w:t>
        </w:r>
        <w:r w:rsidR="007B3154" w:rsidRPr="003A7F6A">
          <w:rPr>
            <w:rStyle w:val="Hyperlink"/>
            <w:rFonts w:cstheme="minorHAnsi"/>
            <w:sz w:val="22"/>
            <w:szCs w:val="22"/>
          </w:rPr>
          <w:t>'</w:t>
        </w:r>
        <w:r w:rsidR="00085512" w:rsidRPr="003A7F6A">
          <w:rPr>
            <w:rStyle w:val="Hyperlink"/>
            <w:rFonts w:cstheme="minorHAnsi"/>
            <w:sz w:val="22"/>
            <w:szCs w:val="22"/>
          </w:rPr>
          <w:t>UIT sur le thème "Intégration du monde virtuel et du monde physique dans le métavers grâce aux jumeaux numériques"</w:t>
        </w:r>
      </w:hyperlink>
      <w:r w:rsidR="00085512" w:rsidRPr="003A7F6A">
        <w:rPr>
          <w:rFonts w:cstheme="minorHAnsi"/>
          <w:bCs/>
          <w:sz w:val="22"/>
          <w:szCs w:val="22"/>
        </w:rPr>
        <w:t>,</w:t>
      </w:r>
      <w:r w:rsidRPr="003A7F6A">
        <w:rPr>
          <w:rFonts w:cstheme="minorHAnsi"/>
          <w:bCs/>
          <w:sz w:val="22"/>
          <w:szCs w:val="22"/>
        </w:rPr>
        <w:t xml:space="preserve"> qui se tiendront les 12 et 13 juin 2024 au même endroit.</w:t>
      </w:r>
    </w:p>
    <w:p w14:paraId="601CF29A" w14:textId="7DB49A8E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 xml:space="preserve">Des détails sur ces manifestations sont donnés dans la </w:t>
      </w:r>
      <w:hyperlink r:id="rId16" w:history="1">
        <w:r w:rsidRPr="003A7F6A">
          <w:rPr>
            <w:rStyle w:val="Hyperlink"/>
            <w:rFonts w:cstheme="minorHAnsi"/>
            <w:bCs/>
            <w:sz w:val="22"/>
            <w:szCs w:val="22"/>
          </w:rPr>
          <w:t>Circulaire 192</w:t>
        </w:r>
      </w:hyperlink>
      <w:r w:rsidRPr="003A7F6A">
        <w:rPr>
          <w:rFonts w:cstheme="minorHAnsi"/>
          <w:bCs/>
          <w:sz w:val="22"/>
          <w:szCs w:val="22"/>
        </w:rPr>
        <w:t xml:space="preserve"> ainsi que sur la </w:t>
      </w:r>
      <w:hyperlink r:id="rId17" w:history="1">
        <w:r w:rsidRPr="003A7F6A">
          <w:rPr>
            <w:rStyle w:val="Hyperlink"/>
            <w:rFonts w:cstheme="minorHAnsi"/>
            <w:bCs/>
            <w:sz w:val="22"/>
            <w:szCs w:val="22"/>
          </w:rPr>
          <w:t>page web du</w:t>
        </w:r>
        <w:r w:rsidR="007E373B" w:rsidRPr="003A7F6A">
          <w:rPr>
            <w:rStyle w:val="Hyperlink"/>
            <w:rFonts w:cstheme="minorHAnsi"/>
            <w:bCs/>
            <w:sz w:val="22"/>
            <w:szCs w:val="22"/>
          </w:rPr>
          <w:t> </w:t>
        </w:r>
        <w:r w:rsidRPr="003A7F6A">
          <w:rPr>
            <w:rStyle w:val="Hyperlink"/>
            <w:rFonts w:cstheme="minorHAnsi"/>
            <w:bCs/>
            <w:sz w:val="22"/>
            <w:szCs w:val="22"/>
          </w:rPr>
          <w:t>FG-MV</w:t>
        </w:r>
      </w:hyperlink>
      <w:r w:rsidRPr="003A7F6A">
        <w:rPr>
          <w:rFonts w:cstheme="minorHAnsi"/>
          <w:bCs/>
          <w:sz w:val="22"/>
          <w:szCs w:val="22"/>
        </w:rPr>
        <w:t>.</w:t>
      </w:r>
    </w:p>
    <w:p w14:paraId="5193DD1A" w14:textId="77777777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5</w:t>
      </w:r>
      <w:r w:rsidRPr="003A7F6A">
        <w:rPr>
          <w:rFonts w:cstheme="minorHAnsi"/>
          <w:bCs/>
          <w:sz w:val="22"/>
          <w:szCs w:val="22"/>
        </w:rPr>
        <w:tab/>
        <w:t>La participation à la Journée des mondes virtuels des Nations Unies est gratuite et ouverte aux experts à titre individuel et aux organisations œuvrant dans tous les secteurs et les domaines concernés.</w:t>
      </w:r>
    </w:p>
    <w:p w14:paraId="30962283" w14:textId="16C457BE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6</w:t>
      </w:r>
      <w:r w:rsidRPr="003A7F6A">
        <w:rPr>
          <w:rFonts w:cstheme="minorHAnsi"/>
          <w:bCs/>
          <w:sz w:val="22"/>
          <w:szCs w:val="22"/>
        </w:rPr>
        <w:tab/>
        <w:t>Pour permettre à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UIT de prévoir les dispositions nécessaires, les participants sont invités à</w:t>
      </w:r>
      <w:r w:rsidR="009558F8" w:rsidRPr="003A7F6A">
        <w:rPr>
          <w:rFonts w:cstheme="minorHAnsi"/>
          <w:bCs/>
          <w:sz w:val="22"/>
          <w:szCs w:val="22"/>
        </w:rPr>
        <w:t> </w:t>
      </w:r>
      <w:r w:rsidRPr="003A7F6A">
        <w:rPr>
          <w:rFonts w:cstheme="minorHAnsi"/>
          <w:bCs/>
          <w:sz w:val="22"/>
          <w:szCs w:val="22"/>
        </w:rPr>
        <w:t>s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inscrire en ligne via la </w:t>
      </w:r>
      <w:hyperlink r:id="rId18" w:history="1">
        <w:r w:rsidRPr="003A7F6A">
          <w:rPr>
            <w:rStyle w:val="Hyperlink"/>
            <w:rFonts w:cstheme="minorHAnsi"/>
            <w:bCs/>
            <w:sz w:val="22"/>
            <w:szCs w:val="22"/>
          </w:rPr>
          <w:t>page d</w:t>
        </w:r>
        <w:r w:rsidR="007B3154" w:rsidRPr="003A7F6A">
          <w:rPr>
            <w:rStyle w:val="Hyperlink"/>
            <w:rFonts w:cstheme="minorHAnsi"/>
            <w:bCs/>
            <w:sz w:val="22"/>
            <w:szCs w:val="22"/>
          </w:rPr>
          <w:t>'</w:t>
        </w:r>
        <w:r w:rsidRPr="003A7F6A">
          <w:rPr>
            <w:rStyle w:val="Hyperlink"/>
            <w:rFonts w:cstheme="minorHAnsi"/>
            <w:bCs/>
            <w:sz w:val="22"/>
            <w:szCs w:val="22"/>
          </w:rPr>
          <w:t>accueil de la Journée des mondes virtuels des Nations Unies</w:t>
        </w:r>
      </w:hyperlink>
      <w:r w:rsidRPr="003A7F6A">
        <w:rPr>
          <w:rFonts w:cstheme="minorHAnsi"/>
          <w:bCs/>
          <w:sz w:val="22"/>
          <w:szCs w:val="22"/>
        </w:rPr>
        <w:t xml:space="preserve"> dès que possible. Le nombre de places est limité et les inscriptions seront traitées dans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ordre des demandes.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inscription est obligatoire à la fois pour la participation à distance et pour la participation sur place. Veuillez noter que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inscription préalable des participants à nos manifestations se fait exclusivement en ligne.</w:t>
      </w:r>
    </w:p>
    <w:p w14:paraId="0AB6BCEE" w14:textId="3A6F60A5" w:rsidR="005068D8" w:rsidRPr="003A7F6A" w:rsidRDefault="005068D8" w:rsidP="005068D8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7</w:t>
      </w:r>
      <w:r w:rsidRPr="003A7F6A">
        <w:rPr>
          <w:rFonts w:cstheme="minorHAnsi"/>
          <w:bCs/>
          <w:sz w:val="22"/>
          <w:szCs w:val="22"/>
        </w:rPr>
        <w:tab/>
        <w:t>Nous vous rappelons que, pour les ressortissants de certains pays,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entrée et le séjour, quelle qu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en soit la durée, sur le territoire de la Suisse sont soumis à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obtention d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un visa. </w:t>
      </w:r>
      <w:r w:rsidRPr="003A7F6A">
        <w:rPr>
          <w:rFonts w:cstheme="minorHAnsi"/>
          <w:b/>
          <w:sz w:val="22"/>
          <w:szCs w:val="22"/>
        </w:rPr>
        <w:t>Ce visa doit être demandé au moins quatre semaines avant la date de début de la réunion</w:t>
      </w:r>
      <w:r w:rsidRPr="003A7F6A">
        <w:rPr>
          <w:rFonts w:cstheme="minorHAnsi"/>
          <w:bCs/>
          <w:sz w:val="22"/>
          <w:szCs w:val="22"/>
        </w:rPr>
        <w:t xml:space="preserve"> et obtenu auprès de la représentation de la Suisse (ambassade ou consulat) dans votre pays ou, à défaut, dans le pays le plus proche de votre pays de départ.</w:t>
      </w:r>
    </w:p>
    <w:p w14:paraId="1F7AB8ED" w14:textId="3CE14020" w:rsidR="005068D8" w:rsidRPr="003A7F6A" w:rsidRDefault="005068D8" w:rsidP="007B3154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 xml:space="preserve">En cas de problème pour des </w:t>
      </w:r>
      <w:r w:rsidRPr="003A7F6A">
        <w:rPr>
          <w:rFonts w:cstheme="minorHAnsi"/>
          <w:b/>
          <w:sz w:val="22"/>
          <w:szCs w:val="22"/>
        </w:rPr>
        <w:t>États Membres, des Membres de Secteur et des Associés de l</w:t>
      </w:r>
      <w:r w:rsidR="007B3154" w:rsidRPr="003A7F6A">
        <w:rPr>
          <w:rFonts w:cstheme="minorHAnsi"/>
          <w:b/>
          <w:sz w:val="22"/>
          <w:szCs w:val="22"/>
        </w:rPr>
        <w:t>'</w:t>
      </w:r>
      <w:r w:rsidRPr="003A7F6A">
        <w:rPr>
          <w:rFonts w:cstheme="minorHAnsi"/>
          <w:b/>
          <w:sz w:val="22"/>
          <w:szCs w:val="22"/>
        </w:rPr>
        <w:t>UIT ou des établissements universitaires participant aux travaux de l</w:t>
      </w:r>
      <w:r w:rsidR="007B3154" w:rsidRPr="003A7F6A">
        <w:rPr>
          <w:rFonts w:cstheme="minorHAnsi"/>
          <w:b/>
          <w:sz w:val="22"/>
          <w:szCs w:val="22"/>
        </w:rPr>
        <w:t>'</w:t>
      </w:r>
      <w:r w:rsidRPr="003A7F6A">
        <w:rPr>
          <w:rFonts w:cstheme="minorHAnsi"/>
          <w:b/>
          <w:sz w:val="22"/>
          <w:szCs w:val="22"/>
        </w:rPr>
        <w:t>UIT</w:t>
      </w:r>
      <w:r w:rsidRPr="003A7F6A">
        <w:rPr>
          <w:rFonts w:cstheme="minorHAnsi"/>
          <w:bCs/>
          <w:sz w:val="22"/>
          <w:szCs w:val="22"/>
        </w:rPr>
        <w:t>, et sur demande officielle de leur part à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UIT,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Union peut intervenir auprès des autorités suisses compétentes pour faciliter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 xml:space="preserve">émission du visa, mais uniquement pendant la période de </w:t>
      </w:r>
      <w:proofErr w:type="gramStart"/>
      <w:r w:rsidRPr="003A7F6A">
        <w:rPr>
          <w:rFonts w:cstheme="minorHAnsi"/>
          <w:bCs/>
          <w:sz w:val="22"/>
          <w:szCs w:val="22"/>
        </w:rPr>
        <w:t>quatre semaines susmentionnée</w:t>
      </w:r>
      <w:proofErr w:type="gramEnd"/>
      <w:r w:rsidRPr="003A7F6A">
        <w:rPr>
          <w:rFonts w:cstheme="minorHAnsi"/>
          <w:bCs/>
          <w:sz w:val="22"/>
          <w:szCs w:val="22"/>
        </w:rPr>
        <w:t>. Les demandes de ce type doivent être faites en cochant la case correspondante dans les délais indiqués. Elles doivent être envoyées à la Section des voyages de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UIT (</w:t>
      </w:r>
      <w:hyperlink r:id="rId19" w:history="1">
        <w:r w:rsidR="00E803FF" w:rsidRPr="003A7F6A">
          <w:rPr>
            <w:rStyle w:val="Hyperlink"/>
            <w:rFonts w:cstheme="minorHAnsi"/>
            <w:bCs/>
            <w:sz w:val="22"/>
            <w:szCs w:val="22"/>
          </w:rPr>
          <w:t>travel@itu.int</w:t>
        </w:r>
      </w:hyperlink>
      <w:r w:rsidRPr="003A7F6A">
        <w:rPr>
          <w:rFonts w:cstheme="minorHAnsi"/>
          <w:bCs/>
          <w:sz w:val="22"/>
          <w:szCs w:val="22"/>
        </w:rPr>
        <w:t>) avec la mention "assistance pour le visa".</w:t>
      </w:r>
    </w:p>
    <w:p w14:paraId="37476C34" w14:textId="588D30E9" w:rsidR="006254D6" w:rsidRPr="003A7F6A" w:rsidRDefault="005068D8" w:rsidP="006254D6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 xml:space="preserve">Vous trouverez sur la </w:t>
      </w:r>
      <w:hyperlink r:id="rId20" w:history="1">
        <w:r w:rsidRPr="003A7F6A">
          <w:rPr>
            <w:rStyle w:val="Hyperlink"/>
            <w:rFonts w:cstheme="minorHAnsi"/>
            <w:bCs/>
            <w:sz w:val="22"/>
            <w:szCs w:val="22"/>
          </w:rPr>
          <w:t>page d</w:t>
        </w:r>
        <w:r w:rsidR="007B3154" w:rsidRPr="003A7F6A">
          <w:rPr>
            <w:rStyle w:val="Hyperlink"/>
            <w:rFonts w:cstheme="minorHAnsi"/>
            <w:bCs/>
            <w:sz w:val="22"/>
            <w:szCs w:val="22"/>
          </w:rPr>
          <w:t>'</w:t>
        </w:r>
        <w:r w:rsidRPr="003A7F6A">
          <w:rPr>
            <w:rStyle w:val="Hyperlink"/>
            <w:rFonts w:cstheme="minorHAnsi"/>
            <w:bCs/>
            <w:sz w:val="22"/>
            <w:szCs w:val="22"/>
          </w:rPr>
          <w:t>accueil de la Journée des mondes virtuels des Nations Unies</w:t>
        </w:r>
      </w:hyperlink>
      <w:r w:rsidRPr="003A7F6A">
        <w:rPr>
          <w:rFonts w:cstheme="minorHAnsi"/>
          <w:bCs/>
          <w:sz w:val="22"/>
          <w:szCs w:val="22"/>
        </w:rPr>
        <w:t xml:space="preserve"> des renseignements et des documents complémentaires, y compris concernant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inscription, le programme,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exposition et la manifestation "Think-a-Thon" (marathon de pensée).</w:t>
      </w:r>
    </w:p>
    <w:p w14:paraId="39406A20" w14:textId="61763B23" w:rsidR="006254D6" w:rsidRPr="003A7F6A" w:rsidRDefault="006254D6" w:rsidP="006254D6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Je vous souhaite une manifestation constructive et agréable.</w:t>
      </w:r>
    </w:p>
    <w:p w14:paraId="0EF241AA" w14:textId="28F2C728" w:rsidR="00307FB4" w:rsidRPr="003A7F6A" w:rsidRDefault="00307FB4" w:rsidP="003A7F6A">
      <w:pPr>
        <w:rPr>
          <w:rFonts w:cstheme="minorHAnsi"/>
          <w:bCs/>
          <w:sz w:val="22"/>
          <w:szCs w:val="22"/>
        </w:rPr>
      </w:pPr>
      <w:r w:rsidRPr="003A7F6A">
        <w:rPr>
          <w:rFonts w:cstheme="minorHAnsi"/>
          <w:bCs/>
          <w:sz w:val="22"/>
          <w:szCs w:val="22"/>
        </w:rPr>
        <w:t>Veuillez agréer, Madame, Monsieur, l</w:t>
      </w:r>
      <w:r w:rsidR="007B3154" w:rsidRPr="003A7F6A">
        <w:rPr>
          <w:rFonts w:cstheme="minorHAnsi"/>
          <w:bCs/>
          <w:sz w:val="22"/>
          <w:szCs w:val="22"/>
        </w:rPr>
        <w:t>'</w:t>
      </w:r>
      <w:r w:rsidRPr="003A7F6A">
        <w:rPr>
          <w:rFonts w:cstheme="minorHAnsi"/>
          <w:bCs/>
          <w:sz w:val="22"/>
          <w:szCs w:val="22"/>
        </w:rPr>
        <w:t>assurance de ma considération distinguée.</w:t>
      </w:r>
    </w:p>
    <w:tbl>
      <w:tblPr>
        <w:tblStyle w:val="TableGrid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9"/>
        <w:gridCol w:w="3097"/>
      </w:tblGrid>
      <w:tr w:rsidR="00CF530C" w:rsidRPr="003A7F6A" w14:paraId="61265AC8" w14:textId="77777777" w:rsidTr="003A7F6A">
        <w:trPr>
          <w:cantSplit/>
          <w:trHeight w:val="1843"/>
        </w:trPr>
        <w:tc>
          <w:tcPr>
            <w:tcW w:w="6679" w:type="dxa"/>
          </w:tcPr>
          <w:p w14:paraId="21F7F787" w14:textId="61CDE1EB" w:rsidR="00CF530C" w:rsidRPr="003A7F6A" w:rsidRDefault="0026029E" w:rsidP="003A7F6A">
            <w:pPr>
              <w:spacing w:before="840"/>
              <w:ind w:left="-108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260D687" wp14:editId="492BCD1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69850</wp:posOffset>
                  </wp:positionV>
                  <wp:extent cx="546099" cy="409575"/>
                  <wp:effectExtent l="0" t="0" r="6985" b="0"/>
                  <wp:wrapNone/>
                  <wp:docPr id="501396449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396449" name="Picture 1" descr="A black and white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99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30C" w:rsidRPr="003A7F6A">
              <w:rPr>
                <w:rFonts w:cstheme="minorHAnsi"/>
                <w:sz w:val="22"/>
                <w:szCs w:val="22"/>
              </w:rPr>
              <w:t>Seizo Onoe</w:t>
            </w:r>
            <w:r w:rsidR="00CF530C" w:rsidRPr="003A7F6A">
              <w:rPr>
                <w:rFonts w:cstheme="minorHAnsi"/>
                <w:sz w:val="22"/>
                <w:szCs w:val="22"/>
              </w:rPr>
              <w:br/>
              <w:t xml:space="preserve">Directeur du Bureau de la normalisation </w:t>
            </w:r>
            <w:r w:rsidR="00CF530C" w:rsidRPr="003A7F6A">
              <w:rPr>
                <w:rFonts w:cstheme="minorHAnsi"/>
                <w:sz w:val="22"/>
                <w:szCs w:val="22"/>
              </w:rPr>
              <w:br/>
              <w:t>des télécommunications</w:t>
            </w:r>
          </w:p>
        </w:tc>
        <w:tc>
          <w:tcPr>
            <w:tcW w:w="3097" w:type="dxa"/>
            <w:textDirection w:val="btLr"/>
            <w:vAlign w:val="center"/>
          </w:tcPr>
          <w:p w14:paraId="40DFAB3E" w14:textId="28999B2B" w:rsidR="00CF530C" w:rsidRPr="003A7F6A" w:rsidRDefault="00CF530C" w:rsidP="00352094">
            <w:pPr>
              <w:spacing w:before="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noProof/>
                <w:sz w:val="22"/>
                <w:szCs w:val="22"/>
              </w:rPr>
              <w:drawing>
                <wp:inline distT="0" distB="0" distL="0" distR="0" wp14:anchorId="543E4247" wp14:editId="460AD4FC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B94203" w14:textId="5A46E8DD" w:rsidR="00CF530C" w:rsidRPr="003A7F6A" w:rsidRDefault="00CF530C" w:rsidP="00CF530C">
            <w:pPr>
              <w:spacing w:before="0"/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F6A">
              <w:rPr>
                <w:rFonts w:cstheme="minorHAnsi"/>
                <w:sz w:val="22"/>
                <w:szCs w:val="22"/>
              </w:rPr>
              <w:t>Tout savoir sur la manifestation</w:t>
            </w:r>
          </w:p>
        </w:tc>
      </w:tr>
    </w:tbl>
    <w:p w14:paraId="15C46FE6" w14:textId="77777777" w:rsidR="003A7F6A" w:rsidRPr="003A7F6A" w:rsidRDefault="003A7F6A" w:rsidP="003A7F6A">
      <w:pPr>
        <w:rPr>
          <w:sz w:val="2"/>
          <w:szCs w:val="2"/>
        </w:rPr>
      </w:pPr>
    </w:p>
    <w:sectPr w:rsidR="003A7F6A" w:rsidRPr="003A7F6A" w:rsidSect="00A1517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23E3" w14:textId="77777777" w:rsidR="00E33122" w:rsidRDefault="00E33122">
      <w:r>
        <w:separator/>
      </w:r>
    </w:p>
  </w:endnote>
  <w:endnote w:type="continuationSeparator" w:id="0">
    <w:p w14:paraId="441F1D51" w14:textId="77777777" w:rsidR="00E33122" w:rsidRDefault="00E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354B" w14:textId="77777777" w:rsidR="00697C92" w:rsidRDefault="00697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F619" w14:textId="2DCBCA1A" w:rsidR="00697BC1" w:rsidRPr="00697C92" w:rsidRDefault="00697BC1" w:rsidP="00697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376C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FA00" w14:textId="77777777" w:rsidR="00E33122" w:rsidRDefault="00E33122">
      <w:r>
        <w:t>____________________</w:t>
      </w:r>
    </w:p>
  </w:footnote>
  <w:footnote w:type="continuationSeparator" w:id="0">
    <w:p w14:paraId="432D1B54" w14:textId="77777777" w:rsidR="00E33122" w:rsidRDefault="00E3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7EF27" w14:textId="77777777" w:rsidR="00697C92" w:rsidRDefault="0069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F0C" w14:textId="4733D2B3" w:rsidR="00697BC1" w:rsidRPr="00697BC1" w:rsidRDefault="0026029E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B52B96">
      <w:rPr>
        <w:noProof/>
        <w:sz w:val="18"/>
        <w:szCs w:val="16"/>
      </w:rPr>
      <w:t>193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D993B" w14:textId="77777777" w:rsidR="00697C92" w:rsidRDefault="00697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512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6029E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A7F6A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068D8"/>
    <w:rsid w:val="005120A2"/>
    <w:rsid w:val="0051210D"/>
    <w:rsid w:val="005136D2"/>
    <w:rsid w:val="00517A03"/>
    <w:rsid w:val="005A3DD9"/>
    <w:rsid w:val="005B1DFC"/>
    <w:rsid w:val="005C61F9"/>
    <w:rsid w:val="00601682"/>
    <w:rsid w:val="00603470"/>
    <w:rsid w:val="0062245B"/>
    <w:rsid w:val="006254D6"/>
    <w:rsid w:val="00625E79"/>
    <w:rsid w:val="006333F7"/>
    <w:rsid w:val="006427A1"/>
    <w:rsid w:val="00644741"/>
    <w:rsid w:val="00697BC1"/>
    <w:rsid w:val="00697C92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7B3154"/>
    <w:rsid w:val="007E373B"/>
    <w:rsid w:val="00810105"/>
    <w:rsid w:val="0081422F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558F8"/>
    <w:rsid w:val="00971C9A"/>
    <w:rsid w:val="009D51FA"/>
    <w:rsid w:val="009E1ED7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52B96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9341D"/>
    <w:rsid w:val="00CA0416"/>
    <w:rsid w:val="00CB1125"/>
    <w:rsid w:val="00CB4E80"/>
    <w:rsid w:val="00CD042E"/>
    <w:rsid w:val="00CF2560"/>
    <w:rsid w:val="00CF530C"/>
    <w:rsid w:val="00CF5B46"/>
    <w:rsid w:val="00D46B68"/>
    <w:rsid w:val="00D542A5"/>
    <w:rsid w:val="00DA686F"/>
    <w:rsid w:val="00DC3D47"/>
    <w:rsid w:val="00DD77DA"/>
    <w:rsid w:val="00E06C61"/>
    <w:rsid w:val="00E13DB3"/>
    <w:rsid w:val="00E2408B"/>
    <w:rsid w:val="00E33122"/>
    <w:rsid w:val="00E50B34"/>
    <w:rsid w:val="00E62CEA"/>
    <w:rsid w:val="00E72AE1"/>
    <w:rsid w:val="00E803FF"/>
    <w:rsid w:val="00E83108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5570D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CF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F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etaverse/un-virtual-worlds-day/thinkathon/" TargetMode="External"/><Relationship Id="rId18" Type="http://schemas.openxmlformats.org/officeDocument/2006/relationships/hyperlink" Target="https://www.itu.int/metaverse/un-virtual-worlds-day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itu.int/md/T22-TSB-CIR-0187/fr" TargetMode="External"/><Relationship Id="rId17" Type="http://schemas.openxmlformats.org/officeDocument/2006/relationships/hyperlink" Target="https://www.itu.int/en/ITU-T/focusgroups/mv/Pages/default.asp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22-TSB-CIR-0192/fr" TargetMode="External"/><Relationship Id="rId20" Type="http://schemas.openxmlformats.org/officeDocument/2006/relationships/hyperlink" Target="https://www.itu.int/metaverse/un-virtual-worlds-da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etaverse/un-virtual-worlds-day/thinkathon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etaverse/5th-forum-metaverse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itu.int/metaverse/un-virtual-worlds-day/" TargetMode="External"/><Relationship Id="rId19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tualworlds@itu.int" TargetMode="External"/><Relationship Id="rId14" Type="http://schemas.openxmlformats.org/officeDocument/2006/relationships/hyperlink" Target="https://www.itu.int/en/ITU-T/focusgroups/mv/Pages/default.aspx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zziala\AppData\Roaming\Microsoft\Templates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74</TotalTime>
  <Pages>2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7980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16</cp:revision>
  <cp:lastPrinted>2024-07-08T14:18:00Z</cp:lastPrinted>
  <dcterms:created xsi:type="dcterms:W3CDTF">2024-06-10T11:16:00Z</dcterms:created>
  <dcterms:modified xsi:type="dcterms:W3CDTF">2024-07-08T14:18:00Z</dcterms:modified>
</cp:coreProperties>
</file>