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B0727E" w14:paraId="4DD3ED16" w14:textId="77777777" w:rsidTr="00D517B2">
        <w:trPr>
          <w:cantSplit/>
          <w:trHeight w:val="1134"/>
        </w:trPr>
        <w:tc>
          <w:tcPr>
            <w:tcW w:w="798" w:type="pct"/>
          </w:tcPr>
          <w:p w14:paraId="6679867A" w14:textId="60445B6A" w:rsidR="00D517B2" w:rsidRPr="00B0727E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B0727E">
              <w:rPr>
                <w:noProof/>
              </w:rPr>
              <w:drawing>
                <wp:inline distT="0" distB="0" distL="0" distR="0" wp14:anchorId="329F2F2C" wp14:editId="2C35910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F28DA6C" w14:textId="77777777" w:rsidR="00D517B2" w:rsidRPr="00B0727E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B0727E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D5054D9" w14:textId="77777777" w:rsidR="00D517B2" w:rsidRPr="00B0727E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0727E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B0727E" w14:paraId="4F588169" w14:textId="77777777" w:rsidTr="00585393">
        <w:trPr>
          <w:cantSplit/>
          <w:trHeight w:val="142"/>
          <w:jc w:val="center"/>
        </w:trPr>
        <w:tc>
          <w:tcPr>
            <w:tcW w:w="796" w:type="pct"/>
          </w:tcPr>
          <w:p w14:paraId="563B402E" w14:textId="77777777" w:rsidR="00D517B2" w:rsidRPr="00B0727E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3A1A00B9" w14:textId="77777777" w:rsidR="00D517B2" w:rsidRPr="00B0727E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129A9526" w14:textId="77777777" w:rsidR="00D517B2" w:rsidRPr="00B0727E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B0727E" w14:paraId="03CA3880" w14:textId="77777777" w:rsidTr="00585393">
        <w:trPr>
          <w:cantSplit/>
          <w:trHeight w:val="148"/>
          <w:jc w:val="center"/>
        </w:trPr>
        <w:tc>
          <w:tcPr>
            <w:tcW w:w="796" w:type="pct"/>
          </w:tcPr>
          <w:p w14:paraId="1169723D" w14:textId="77777777" w:rsidR="00D517B2" w:rsidRPr="00B0727E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15504084" w14:textId="77777777" w:rsidR="00D517B2" w:rsidRPr="00B0727E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42C7BDD4" w14:textId="0B4930A2" w:rsidR="00D517B2" w:rsidRPr="00B0727E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0727E">
              <w:rPr>
                <w:position w:val="2"/>
                <w:rtl/>
              </w:rPr>
              <w:t xml:space="preserve">جنيف، </w:t>
            </w:r>
            <w:r w:rsidR="00585393" w:rsidRPr="00B0727E">
              <w:rPr>
                <w:position w:val="2"/>
              </w:rPr>
              <w:t>15</w:t>
            </w:r>
            <w:r w:rsidR="00585393" w:rsidRPr="00B0727E">
              <w:rPr>
                <w:position w:val="2"/>
                <w:rtl/>
                <w:lang w:bidi="ar-EG"/>
              </w:rPr>
              <w:t xml:space="preserve"> مارس 2024</w:t>
            </w:r>
          </w:p>
        </w:tc>
      </w:tr>
      <w:tr w:rsidR="00585393" w:rsidRPr="00B0727E" w14:paraId="7AA1B899" w14:textId="77777777" w:rsidTr="00585393">
        <w:trPr>
          <w:cantSplit/>
          <w:trHeight w:val="831"/>
          <w:jc w:val="center"/>
        </w:trPr>
        <w:tc>
          <w:tcPr>
            <w:tcW w:w="796" w:type="pct"/>
          </w:tcPr>
          <w:p w14:paraId="7FE628BD" w14:textId="77777777" w:rsidR="00585393" w:rsidRPr="00B0727E" w:rsidRDefault="00585393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B0727E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3CCBBBCC" w14:textId="77777777" w:rsidR="00585393" w:rsidRPr="00B0727E" w:rsidRDefault="00585393" w:rsidP="00585393">
            <w:pPr>
              <w:spacing w:before="80" w:after="60" w:line="300" w:lineRule="exact"/>
              <w:rPr>
                <w:b/>
                <w:position w:val="2"/>
              </w:rPr>
            </w:pPr>
            <w:r w:rsidRPr="00B0727E">
              <w:rPr>
                <w:b/>
                <w:position w:val="2"/>
              </w:rPr>
              <w:t>TSB Circular 191</w:t>
            </w:r>
          </w:p>
          <w:p w14:paraId="3BB5DB3D" w14:textId="6EF04777" w:rsidR="00585393" w:rsidRPr="00B0727E" w:rsidRDefault="00585393" w:rsidP="00585393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B0727E">
              <w:rPr>
                <w:bCs/>
                <w:position w:val="2"/>
              </w:rPr>
              <w:t>SG3/MA</w:t>
            </w:r>
          </w:p>
        </w:tc>
        <w:tc>
          <w:tcPr>
            <w:tcW w:w="2353" w:type="pct"/>
            <w:vMerge w:val="restart"/>
          </w:tcPr>
          <w:p w14:paraId="4AA8814F" w14:textId="77777777" w:rsidR="00585393" w:rsidRPr="00B0727E" w:rsidRDefault="00585393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0727E">
              <w:rPr>
                <w:b/>
                <w:bCs/>
                <w:position w:val="2"/>
                <w:rtl/>
              </w:rPr>
              <w:t>إلى:</w:t>
            </w:r>
          </w:p>
          <w:p w14:paraId="2FDC2ECF" w14:textId="19C1B594" w:rsidR="00585393" w:rsidRPr="00B0727E" w:rsidRDefault="00585393" w:rsidP="0058539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  <w:t>إدارات الدول الأعضاء في الاتحاد</w:t>
            </w:r>
          </w:p>
          <w:p w14:paraId="2CFC7C63" w14:textId="77777777" w:rsidR="00585393" w:rsidRPr="00B0727E" w:rsidRDefault="0058539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B0727E">
              <w:rPr>
                <w:b/>
                <w:bCs/>
                <w:position w:val="2"/>
                <w:rtl/>
              </w:rPr>
              <w:t>نسخة إلى:</w:t>
            </w:r>
          </w:p>
          <w:p w14:paraId="6D3CBCDA" w14:textId="77777777" w:rsidR="00585393" w:rsidRPr="00B0727E" w:rsidRDefault="00585393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</w:r>
            <w:r w:rsidRPr="00B0727E">
              <w:rPr>
                <w:rFonts w:eastAsia="Times New Roman"/>
                <w:position w:val="2"/>
                <w:rtl/>
                <w:lang w:eastAsia="en-US"/>
              </w:rPr>
              <w:t>أعضاء قطاع تقييس الاتصالات بالاتحاد؛</w:t>
            </w:r>
          </w:p>
          <w:p w14:paraId="706B347A" w14:textId="77777777" w:rsidR="00A434E9" w:rsidRDefault="00585393" w:rsidP="005853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B0727E">
              <w:rPr>
                <w:rFonts w:eastAsia="Times New Roman"/>
                <w:spacing w:val="-2"/>
                <w:position w:val="2"/>
                <w:rtl/>
                <w:lang w:eastAsia="en-US"/>
              </w:rPr>
              <w:t>-</w:t>
            </w:r>
            <w:r w:rsidRPr="00B0727E">
              <w:rPr>
                <w:rFonts w:eastAsia="Times New Roman"/>
                <w:spacing w:val="-2"/>
                <w:position w:val="2"/>
                <w:rtl/>
                <w:lang w:eastAsia="en-US"/>
              </w:rPr>
              <w:tab/>
              <w:t>المنتسبين إلى لجنة الدراسات 3 لقطاع تقييس الاتصالات؛</w:t>
            </w:r>
          </w:p>
          <w:p w14:paraId="1DB6E216" w14:textId="6E0C7ED9" w:rsidR="00585393" w:rsidRPr="00B0727E" w:rsidRDefault="00585393" w:rsidP="005853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</w:r>
            <w:r w:rsidRPr="00B0727E">
              <w:rPr>
                <w:rFonts w:eastAsia="Times New Roman"/>
                <w:position w:val="2"/>
                <w:rtl/>
                <w:lang w:eastAsia="en-US"/>
              </w:rPr>
              <w:t>الهيئات الأكاديمية المنضمة للاتحاد؛</w:t>
            </w:r>
          </w:p>
          <w:p w14:paraId="0C0C3977" w14:textId="77777777" w:rsidR="00585393" w:rsidRPr="00B0727E" w:rsidRDefault="00585393" w:rsidP="005853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</w:r>
            <w:r w:rsidRPr="00B0727E">
              <w:rPr>
                <w:rFonts w:eastAsia="Times New Roman"/>
                <w:position w:val="2"/>
                <w:rtl/>
                <w:lang w:eastAsia="en-US"/>
              </w:rPr>
              <w:t>رئيس لجنة الدراسات 3 لقطاع تقييس الاتصالات ونوابه؛</w:t>
            </w:r>
          </w:p>
          <w:p w14:paraId="4C054B0B" w14:textId="77777777" w:rsidR="00585393" w:rsidRPr="00B0727E" w:rsidRDefault="00585393" w:rsidP="005853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</w:r>
            <w:r w:rsidRPr="00B0727E">
              <w:rPr>
                <w:rFonts w:eastAsia="Times New Roman"/>
                <w:position w:val="2"/>
                <w:rtl/>
                <w:lang w:eastAsia="en-US"/>
              </w:rPr>
              <w:t>مدير مكتب تنمية الاتصالات؛</w:t>
            </w:r>
          </w:p>
          <w:p w14:paraId="7AA72E22" w14:textId="085961A4" w:rsidR="00585393" w:rsidRPr="00B0727E" w:rsidRDefault="00585393" w:rsidP="003C0AC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B0727E">
              <w:rPr>
                <w:position w:val="2"/>
                <w:rtl/>
              </w:rPr>
              <w:t>-</w:t>
            </w:r>
            <w:r w:rsidRPr="00B0727E">
              <w:rPr>
                <w:position w:val="2"/>
                <w:rtl/>
              </w:rPr>
              <w:tab/>
            </w:r>
            <w:r w:rsidRPr="00B0727E">
              <w:rPr>
                <w:rFonts w:eastAsia="Times New Roman"/>
                <w:position w:val="2"/>
                <w:rtl/>
                <w:lang w:eastAsia="en-US"/>
              </w:rPr>
              <w:t>مدير مكتب الاتصالات الراديوية</w:t>
            </w:r>
          </w:p>
        </w:tc>
      </w:tr>
      <w:tr w:rsidR="00585393" w:rsidRPr="00B0727E" w14:paraId="20119DCF" w14:textId="77777777" w:rsidTr="00585393">
        <w:trPr>
          <w:cantSplit/>
          <w:trHeight w:val="340"/>
          <w:jc w:val="center"/>
        </w:trPr>
        <w:tc>
          <w:tcPr>
            <w:tcW w:w="796" w:type="pct"/>
          </w:tcPr>
          <w:p w14:paraId="2933B54D" w14:textId="1750A6D6" w:rsidR="00585393" w:rsidRPr="00B0727E" w:rsidRDefault="000A53AB" w:rsidP="0058539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585393" w:rsidRPr="00B0727E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3FBF1E38" w14:textId="1CF02434" w:rsidR="00585393" w:rsidRPr="00B0727E" w:rsidRDefault="00585393" w:rsidP="0058539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0727E">
              <w:t>+41 22 730 6828</w:t>
            </w:r>
          </w:p>
        </w:tc>
        <w:tc>
          <w:tcPr>
            <w:tcW w:w="2353" w:type="pct"/>
            <w:vMerge/>
          </w:tcPr>
          <w:p w14:paraId="21F71C9E" w14:textId="44B35BF9" w:rsidR="00585393" w:rsidRPr="00B0727E" w:rsidRDefault="00585393" w:rsidP="003C0AC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85393" w:rsidRPr="00B0727E" w14:paraId="445492F7" w14:textId="77777777" w:rsidTr="00585393">
        <w:trPr>
          <w:cantSplit/>
          <w:trHeight w:val="63"/>
          <w:jc w:val="center"/>
        </w:trPr>
        <w:tc>
          <w:tcPr>
            <w:tcW w:w="796" w:type="pct"/>
          </w:tcPr>
          <w:p w14:paraId="5EDFE1D1" w14:textId="77777777" w:rsidR="00585393" w:rsidRPr="00B0727E" w:rsidRDefault="00585393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0727E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4DE7040A" w14:textId="77777777" w:rsidR="00585393" w:rsidRPr="00B0727E" w:rsidRDefault="00585393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0727E">
              <w:rPr>
                <w:position w:val="2"/>
              </w:rPr>
              <w:t>+41 22 730 5853</w:t>
            </w:r>
          </w:p>
        </w:tc>
        <w:tc>
          <w:tcPr>
            <w:tcW w:w="2353" w:type="pct"/>
            <w:vMerge/>
          </w:tcPr>
          <w:p w14:paraId="3292C9CD" w14:textId="7E8DF2FF" w:rsidR="00585393" w:rsidRPr="00B0727E" w:rsidRDefault="00585393" w:rsidP="003C0AC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85393" w:rsidRPr="00B0727E" w14:paraId="6932C4BA" w14:textId="77777777" w:rsidTr="00585393">
        <w:trPr>
          <w:cantSplit/>
          <w:jc w:val="center"/>
        </w:trPr>
        <w:tc>
          <w:tcPr>
            <w:tcW w:w="796" w:type="pct"/>
          </w:tcPr>
          <w:p w14:paraId="7B96F13B" w14:textId="77777777" w:rsidR="00585393" w:rsidRPr="00B0727E" w:rsidRDefault="00585393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B0727E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1" w:type="pct"/>
          </w:tcPr>
          <w:p w14:paraId="68B16D07" w14:textId="078F0707" w:rsidR="00585393" w:rsidRPr="00B0727E" w:rsidRDefault="00C3397F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585393" w:rsidRPr="00B0727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353" w:type="pct"/>
            <w:vMerge/>
          </w:tcPr>
          <w:p w14:paraId="1035560C" w14:textId="5BDAA45E" w:rsidR="00585393" w:rsidRPr="00B0727E" w:rsidRDefault="00585393" w:rsidP="005853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B0727E" w14:paraId="04AFCA5C" w14:textId="77777777" w:rsidTr="00585393">
        <w:trPr>
          <w:cantSplit/>
          <w:jc w:val="center"/>
        </w:trPr>
        <w:tc>
          <w:tcPr>
            <w:tcW w:w="796" w:type="pct"/>
          </w:tcPr>
          <w:p w14:paraId="5BB20084" w14:textId="77777777" w:rsidR="00CE1C08" w:rsidRPr="00B0727E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1" w:type="pct"/>
          </w:tcPr>
          <w:p w14:paraId="56CAA5D6" w14:textId="77777777" w:rsidR="00CE1C08" w:rsidRPr="00B0727E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3748F36F" w14:textId="77777777" w:rsidR="00CE1C08" w:rsidRPr="00B0727E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B0727E" w14:paraId="4E50EEE3" w14:textId="77777777" w:rsidTr="00D517B2">
        <w:trPr>
          <w:cantSplit/>
          <w:jc w:val="center"/>
        </w:trPr>
        <w:tc>
          <w:tcPr>
            <w:tcW w:w="796" w:type="pct"/>
          </w:tcPr>
          <w:p w14:paraId="66F2E783" w14:textId="77777777" w:rsidR="00CE1C08" w:rsidRPr="00B0727E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0727E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FA8805B" w14:textId="49C8BAEC" w:rsidR="00CE1C08" w:rsidRPr="00B0727E" w:rsidRDefault="002F025E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0727E">
              <w:rPr>
                <w:b/>
                <w:bCs/>
                <w:position w:val="2"/>
                <w:rtl/>
              </w:rPr>
              <w:t>حالة التوصية الإقليمية</w:t>
            </w:r>
            <w:r w:rsidR="00A434E9">
              <w:rPr>
                <w:b/>
                <w:bCs/>
                <w:position w:val="2"/>
                <w:rtl/>
              </w:rPr>
              <w:t xml:space="preserve"> </w:t>
            </w:r>
            <w:r w:rsidRPr="00B0727E">
              <w:rPr>
                <w:b/>
                <w:bCs/>
                <w:position w:val="2"/>
              </w:rPr>
              <w:t>ITU-T D.700R (D7_R_OTT)</w:t>
            </w:r>
            <w:r w:rsidRPr="00B0727E">
              <w:rPr>
                <w:b/>
                <w:bCs/>
                <w:position w:val="2"/>
                <w:rtl/>
              </w:rPr>
              <w:t xml:space="preserve"> في أعقاب اجتماع الفريق الإقليمي لمنطقة الدول العربية التابع للجنة الدراسات 3 لقطاع تقييس الاتصالات (مدينة الكويت، 6-7 مارس 2024)</w:t>
            </w:r>
          </w:p>
        </w:tc>
      </w:tr>
    </w:tbl>
    <w:p w14:paraId="11E94D6A" w14:textId="77777777" w:rsidR="00D517B2" w:rsidRPr="00B0727E" w:rsidRDefault="00D517B2" w:rsidP="002F025E">
      <w:pPr>
        <w:spacing w:before="360"/>
        <w:rPr>
          <w:lang w:bidi="ar-EG"/>
        </w:rPr>
      </w:pPr>
      <w:r w:rsidRPr="00B0727E">
        <w:rPr>
          <w:rtl/>
          <w:lang w:bidi="ar-SY"/>
        </w:rPr>
        <w:t>حضرات السادة والسيدات،</w:t>
      </w:r>
    </w:p>
    <w:p w14:paraId="3E4B91E8" w14:textId="77777777" w:rsidR="00D517B2" w:rsidRPr="00B0727E" w:rsidRDefault="00D517B2" w:rsidP="00D517B2">
      <w:pPr>
        <w:rPr>
          <w:rtl/>
          <w:lang w:bidi="ar-EG"/>
        </w:rPr>
      </w:pPr>
      <w:r w:rsidRPr="00B0727E">
        <w:rPr>
          <w:rtl/>
        </w:rPr>
        <w:t>تحية طيبة وبعد،</w:t>
      </w:r>
    </w:p>
    <w:p w14:paraId="7429462C" w14:textId="0A695651" w:rsidR="00D517B2" w:rsidRPr="00B0727E" w:rsidRDefault="002F025E" w:rsidP="00B14F61">
      <w:pPr>
        <w:spacing w:after="120"/>
        <w:rPr>
          <w:spacing w:val="-2"/>
          <w:rtl/>
          <w:lang w:bidi="ar-SY"/>
        </w:rPr>
      </w:pPr>
      <w:r w:rsidRPr="00B0727E">
        <w:rPr>
          <w:spacing w:val="-2"/>
          <w:rtl/>
          <w:lang w:bidi="ar-SY"/>
        </w:rPr>
        <w:t>1</w:t>
      </w:r>
      <w:r w:rsidRPr="00B0727E">
        <w:rPr>
          <w:spacing w:val="-2"/>
          <w:rtl/>
          <w:lang w:bidi="ar-SY"/>
        </w:rPr>
        <w:tab/>
        <w:t xml:space="preserve">إلحاقاً </w:t>
      </w:r>
      <w:hyperlink r:id="rId10" w:history="1">
        <w:r w:rsidRPr="00B0727E">
          <w:rPr>
            <w:rStyle w:val="Hyperlink"/>
            <w:spacing w:val="-2"/>
            <w:rtl/>
            <w:lang w:bidi="ar-SY"/>
          </w:rPr>
          <w:t>بالرسالة الم</w:t>
        </w:r>
        <w:r w:rsidRPr="00B0727E">
          <w:rPr>
            <w:rStyle w:val="Hyperlink"/>
            <w:spacing w:val="-2"/>
            <w:rtl/>
            <w:lang w:bidi="ar-SY"/>
          </w:rPr>
          <w:t>ع</w:t>
        </w:r>
        <w:r w:rsidRPr="00B0727E">
          <w:rPr>
            <w:rStyle w:val="Hyperlink"/>
            <w:spacing w:val="-2"/>
            <w:rtl/>
            <w:lang w:bidi="ar-SY"/>
          </w:rPr>
          <w:t>مّمة 158 لمكتب تقييس الاتصالات</w:t>
        </w:r>
      </w:hyperlink>
      <w:r w:rsidRPr="00B0727E">
        <w:rPr>
          <w:spacing w:val="-2"/>
          <w:rtl/>
          <w:lang w:bidi="ar-SY"/>
        </w:rPr>
        <w:t>، وعملاً بالفقرة 1.1.2.9 من القرار 1 (المراجَع في جنيف، 2022)، أودُّ إفادتكم بأن اجتماع الفريق الإقليمي لمنطقة الدول العربية التابع للجنة الدراسات 3</w:t>
      </w:r>
      <w:r w:rsidR="00A434E9">
        <w:rPr>
          <w:spacing w:val="-2"/>
          <w:rtl/>
          <w:lang w:bidi="ar-SY"/>
        </w:rPr>
        <w:t xml:space="preserve"> </w:t>
      </w:r>
      <w:r w:rsidRPr="00B0727E">
        <w:rPr>
          <w:spacing w:val="-2"/>
          <w:rtl/>
          <w:lang w:bidi="ar-SY"/>
        </w:rPr>
        <w:t>(</w:t>
      </w:r>
      <w:r w:rsidRPr="00B0727E">
        <w:rPr>
          <w:spacing w:val="-2"/>
          <w:lang w:bidi="ar-SY"/>
        </w:rPr>
        <w:t>SG3RG-ARB</w:t>
      </w:r>
      <w:r w:rsidRPr="00B0727E">
        <w:rPr>
          <w:spacing w:val="-2"/>
          <w:rtl/>
          <w:lang w:bidi="ar-SY"/>
        </w:rPr>
        <w:t>) قد توصّل إلى القرار التالي في جلسته العامة التي عُقدت في 7 مارس 2024 فيما يتعلق بمشروع نص قطاع تقييس الاتصالات المبيّن فيما يلي: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2F025E" w:rsidRPr="00B0727E" w14:paraId="34C69101" w14:textId="77777777" w:rsidTr="002F025E">
        <w:trPr>
          <w:jc w:val="center"/>
        </w:trPr>
        <w:tc>
          <w:tcPr>
            <w:tcW w:w="195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88DCD3" w14:textId="2A5ECE32" w:rsidR="002F025E" w:rsidRPr="00B0727E" w:rsidRDefault="002F025E" w:rsidP="002F025E">
            <w:pPr>
              <w:pStyle w:val="TableHead"/>
              <w:rPr>
                <w:lang w:val="ar-SA" w:eastAsia="zh-TW" w:bidi="en-GB"/>
              </w:rPr>
            </w:pPr>
            <w:r w:rsidRPr="00B0727E">
              <w:rPr>
                <w:rtl/>
              </w:rPr>
              <w:t>الرقم</w:t>
            </w:r>
          </w:p>
        </w:tc>
        <w:tc>
          <w:tcPr>
            <w:tcW w:w="533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8C7AF9" w14:textId="77777777" w:rsidR="002F025E" w:rsidRPr="00B0727E" w:rsidRDefault="002F025E" w:rsidP="002F025E">
            <w:pPr>
              <w:pStyle w:val="TableHead"/>
              <w:rPr>
                <w:lang w:val="ar-SA" w:eastAsia="zh-TW" w:bidi="en-GB"/>
              </w:rPr>
            </w:pPr>
            <w:r w:rsidRPr="00B0727E">
              <w:rPr>
                <w:rtl/>
              </w:rPr>
              <w:t>العنوان</w:t>
            </w:r>
          </w:p>
        </w:tc>
        <w:tc>
          <w:tcPr>
            <w:tcW w:w="23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5660A6" w14:textId="77777777" w:rsidR="002F025E" w:rsidRPr="00B0727E" w:rsidRDefault="002F025E" w:rsidP="002F025E">
            <w:pPr>
              <w:pStyle w:val="TableHead"/>
              <w:rPr>
                <w:lang w:val="ar-SA" w:eastAsia="zh-TW" w:bidi="en-GB"/>
              </w:rPr>
            </w:pPr>
            <w:r w:rsidRPr="00B0727E">
              <w:rPr>
                <w:rtl/>
              </w:rPr>
              <w:t>القرار</w:t>
            </w:r>
          </w:p>
        </w:tc>
      </w:tr>
      <w:tr w:rsidR="002F025E" w:rsidRPr="00B0727E" w14:paraId="44F666E3" w14:textId="77777777" w:rsidTr="002F025E">
        <w:trPr>
          <w:trHeight w:val="24"/>
          <w:jc w:val="center"/>
        </w:trPr>
        <w:tc>
          <w:tcPr>
            <w:tcW w:w="195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0B59EE4" w14:textId="77777777" w:rsidR="002F025E" w:rsidRPr="00B0727E" w:rsidRDefault="002F025E" w:rsidP="002F025E">
            <w:pPr>
              <w:pStyle w:val="Tabletexte"/>
              <w:spacing w:before="40" w:after="40" w:line="240" w:lineRule="exact"/>
              <w:jc w:val="center"/>
              <w:rPr>
                <w:lang w:val="ar-SA" w:eastAsia="zh-TW" w:bidi="en-GB"/>
              </w:rPr>
            </w:pPr>
            <w:r w:rsidRPr="00B0727E">
              <w:rPr>
                <w:rtl/>
              </w:rPr>
              <w:t>D.700R</w:t>
            </w:r>
          </w:p>
        </w:tc>
        <w:tc>
          <w:tcPr>
            <w:tcW w:w="533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29D6E44" w14:textId="77777777" w:rsidR="002F025E" w:rsidRPr="00B0727E" w:rsidRDefault="002F025E" w:rsidP="002F025E">
            <w:pPr>
              <w:pStyle w:val="Tabletexte"/>
              <w:spacing w:before="40" w:after="40" w:line="240" w:lineRule="exact"/>
              <w:jc w:val="center"/>
              <w:rPr>
                <w:lang w:val="ar-SA" w:eastAsia="zh-TW" w:bidi="en-GB"/>
              </w:rPr>
            </w:pPr>
            <w:r w:rsidRPr="00B0727E">
              <w:rPr>
                <w:rtl/>
              </w:rPr>
              <w:t>مبادئ التعامل مع الخدمات المتاحة بحرية على الإنترنت (</w:t>
            </w:r>
            <w:r w:rsidRPr="00B0727E">
              <w:t>OTT</w:t>
            </w:r>
            <w:r w:rsidRPr="00B0727E">
              <w:rPr>
                <w:rtl/>
              </w:rPr>
              <w:t>)</w:t>
            </w:r>
          </w:p>
        </w:tc>
        <w:tc>
          <w:tcPr>
            <w:tcW w:w="23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C9BED96" w14:textId="77777777" w:rsidR="002F025E" w:rsidRPr="00B0727E" w:rsidRDefault="002F025E" w:rsidP="002F025E">
            <w:pPr>
              <w:pStyle w:val="Tabletexte"/>
              <w:spacing w:before="40" w:after="40" w:line="240" w:lineRule="exact"/>
              <w:jc w:val="center"/>
              <w:rPr>
                <w:lang w:val="ar-SA" w:eastAsia="zh-TW" w:bidi="en-GB"/>
              </w:rPr>
            </w:pPr>
            <w:r w:rsidRPr="00B0727E">
              <w:rPr>
                <w:rtl/>
              </w:rPr>
              <w:t>تمت الموافقة عليها</w:t>
            </w:r>
          </w:p>
        </w:tc>
      </w:tr>
    </w:tbl>
    <w:p w14:paraId="0E7E479B" w14:textId="706823C6" w:rsidR="002F025E" w:rsidRPr="00B0727E" w:rsidRDefault="002F025E" w:rsidP="00B14F61">
      <w:pPr>
        <w:spacing w:before="240"/>
        <w:rPr>
          <w:rtl/>
          <w:lang w:bidi="ar-SY"/>
        </w:rPr>
      </w:pPr>
      <w:r w:rsidRPr="00B0727E">
        <w:rPr>
          <w:rtl/>
          <w:lang w:bidi="ar-SY"/>
        </w:rPr>
        <w:t>2</w:t>
      </w:r>
      <w:r w:rsidRPr="00B0727E">
        <w:rPr>
          <w:rtl/>
          <w:lang w:bidi="ar-SY"/>
        </w:rPr>
        <w:tab/>
        <w:t xml:space="preserve">ويمكن الاطلاع على المعلومات الخاصة ببراءات الاختراع في </w:t>
      </w:r>
      <w:hyperlink r:id="rId11" w:history="1">
        <w:r w:rsidRPr="00B0727E">
          <w:rPr>
            <w:rStyle w:val="Hyperlink"/>
            <w:rtl/>
            <w:lang w:bidi="ar-SY"/>
          </w:rPr>
          <w:t>الموق</w:t>
        </w:r>
        <w:r w:rsidRPr="00B0727E">
          <w:rPr>
            <w:rStyle w:val="Hyperlink"/>
            <w:rtl/>
            <w:lang w:bidi="ar-SY"/>
          </w:rPr>
          <w:t>ع</w:t>
        </w:r>
        <w:r w:rsidRPr="00B0727E">
          <w:rPr>
            <w:rStyle w:val="Hyperlink"/>
            <w:rtl/>
            <w:lang w:bidi="ar-SY"/>
          </w:rPr>
          <w:t xml:space="preserve"> الإلكتروني لقطاع تقييس الاتصالات</w:t>
        </w:r>
      </w:hyperlink>
      <w:r w:rsidRPr="00B0727E">
        <w:rPr>
          <w:rtl/>
          <w:lang w:bidi="ar-SY"/>
        </w:rPr>
        <w:t>.</w:t>
      </w:r>
    </w:p>
    <w:p w14:paraId="1D8DBE8E" w14:textId="6C93F5FE" w:rsidR="002F025E" w:rsidRDefault="002F025E" w:rsidP="002F025E">
      <w:pPr>
        <w:rPr>
          <w:lang w:bidi="ar-SY"/>
        </w:rPr>
      </w:pPr>
      <w:r w:rsidRPr="00B0727E">
        <w:rPr>
          <w:rtl/>
          <w:lang w:bidi="ar-SY"/>
        </w:rPr>
        <w:t>3</w:t>
      </w:r>
      <w:r w:rsidRPr="00B0727E">
        <w:rPr>
          <w:rtl/>
          <w:lang w:bidi="ar-SY"/>
        </w:rPr>
        <w:tab/>
        <w:t>وسيُتاح نصُّ التوصية بصيغتها السابقة للنشر في الموقع الإلكتروني لقطاع تقييس الاتصالات في العنوان</w:t>
      </w:r>
      <w:r w:rsidR="00A434E9">
        <w:rPr>
          <w:rtl/>
          <w:lang w:bidi="ar-SY"/>
        </w:rPr>
        <w:t xml:space="preserve"> </w:t>
      </w:r>
      <w:hyperlink r:id="rId12" w:history="1">
        <w:r w:rsidR="00B14F61" w:rsidRPr="0000143D">
          <w:rPr>
            <w:rStyle w:val="Hyperlink"/>
            <w:lang w:bidi="ar-SY"/>
          </w:rPr>
          <w:t>https://www.itu.int/itu-t/reco</w:t>
        </w:r>
        <w:r w:rsidR="00B14F61" w:rsidRPr="0000143D">
          <w:rPr>
            <w:rStyle w:val="Hyperlink"/>
            <w:lang w:bidi="ar-SY"/>
          </w:rPr>
          <w:t>m</w:t>
        </w:r>
        <w:r w:rsidR="00B14F61" w:rsidRPr="0000143D">
          <w:rPr>
            <w:rStyle w:val="Hyperlink"/>
            <w:lang w:bidi="ar-SY"/>
          </w:rPr>
          <w:t>mendations/</w:t>
        </w:r>
      </w:hyperlink>
      <w:r w:rsidR="00B14F61">
        <w:rPr>
          <w:rFonts w:hint="cs"/>
          <w:rtl/>
          <w:lang w:bidi="ar-SY"/>
        </w:rPr>
        <w:t>.</w:t>
      </w:r>
    </w:p>
    <w:p w14:paraId="39D17E30" w14:textId="609453CA" w:rsidR="002F025E" w:rsidRPr="00B0727E" w:rsidRDefault="002F025E" w:rsidP="002F025E">
      <w:pPr>
        <w:rPr>
          <w:rtl/>
          <w:lang w:bidi="ar-SY"/>
        </w:rPr>
      </w:pPr>
      <w:r w:rsidRPr="00B0727E">
        <w:rPr>
          <w:rtl/>
          <w:lang w:bidi="ar-SY"/>
        </w:rPr>
        <w:t>4</w:t>
      </w:r>
      <w:r w:rsidRPr="00B0727E">
        <w:rPr>
          <w:rtl/>
          <w:lang w:bidi="ar-SY"/>
        </w:rPr>
        <w:tab/>
        <w:t>وسوف ينشر الاتحاد نصَّ التوصية الموافَق عليها في أقرب وقت ممكن.</w:t>
      </w:r>
    </w:p>
    <w:p w14:paraId="6E75FE77" w14:textId="12D6E067" w:rsidR="00E84438" w:rsidRPr="00B0727E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B0727E">
        <w:rPr>
          <w:rtl/>
          <w:lang w:bidi="ar-EG"/>
        </w:rPr>
        <w:t>وتفضلوا بقبول فائق التقدير والاحترام.</w:t>
      </w:r>
    </w:p>
    <w:p w14:paraId="628C3DE5" w14:textId="586B7F39" w:rsidR="00E84438" w:rsidRPr="00B0727E" w:rsidRDefault="00C3397F" w:rsidP="008D3D9F">
      <w:pPr>
        <w:spacing w:before="840"/>
        <w:jc w:val="left"/>
        <w:rPr>
          <w:rtl/>
          <w:lang w:bidi="ar-SY"/>
        </w:rPr>
      </w:pPr>
      <w:r>
        <w:rPr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1BF28D5" wp14:editId="1BDA1333">
            <wp:simplePos x="0" y="0"/>
            <wp:positionH relativeFrom="column">
              <wp:posOffset>5409565</wp:posOffset>
            </wp:positionH>
            <wp:positionV relativeFrom="paragraph">
              <wp:posOffset>53975</wp:posOffset>
            </wp:positionV>
            <wp:extent cx="756708" cy="523875"/>
            <wp:effectExtent l="0" t="0" r="5715" b="0"/>
            <wp:wrapNone/>
            <wp:docPr id="1291742150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42150" name="Picture 2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 w:rsidRPr="00B0727E">
        <w:rPr>
          <w:rtl/>
          <w:lang w:bidi="ar-SY"/>
        </w:rPr>
        <w:t>سيزو</w:t>
      </w:r>
      <w:proofErr w:type="spellEnd"/>
      <w:r w:rsidR="00807031" w:rsidRPr="00B0727E">
        <w:rPr>
          <w:rtl/>
          <w:lang w:bidi="ar-SY"/>
        </w:rPr>
        <w:t xml:space="preserve"> </w:t>
      </w:r>
      <w:proofErr w:type="spellStart"/>
      <w:r w:rsidR="00807031" w:rsidRPr="00B0727E">
        <w:rPr>
          <w:rtl/>
          <w:lang w:bidi="ar-SY"/>
        </w:rPr>
        <w:t>أونوي</w:t>
      </w:r>
      <w:proofErr w:type="spellEnd"/>
      <w:r w:rsidR="00E84438" w:rsidRPr="00B0727E">
        <w:rPr>
          <w:rtl/>
          <w:lang w:bidi="ar-SY"/>
        </w:rPr>
        <w:br/>
        <w:t>مدير مكتب تقييس الاتصالات</w:t>
      </w:r>
    </w:p>
    <w:sectPr w:rsidR="00E84438" w:rsidRPr="00B0727E" w:rsidSect="00E808AB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E99D" w14:textId="77777777" w:rsidR="00E808AB" w:rsidRDefault="00E808AB" w:rsidP="006C3242">
      <w:pPr>
        <w:spacing w:before="0" w:line="240" w:lineRule="auto"/>
      </w:pPr>
      <w:r>
        <w:separator/>
      </w:r>
    </w:p>
  </w:endnote>
  <w:endnote w:type="continuationSeparator" w:id="0">
    <w:p w14:paraId="14961C24" w14:textId="77777777" w:rsidR="00E808AB" w:rsidRDefault="00E808A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102E" w14:textId="134739C8" w:rsidR="006C3242" w:rsidRPr="00C3397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3397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397F" w:rsidRPr="00C3397F">
      <w:rPr>
        <w:noProof/>
        <w:sz w:val="16"/>
        <w:szCs w:val="16"/>
        <w:lang w:val="en-GB"/>
      </w:rPr>
      <w:t>M:\OFFICE\Correspondence\Circular\Study Period 2022-2024\191 -SG3-Status of Recommendation ITU-T D.700R (D7_R_OTT) after SG3RG-ARB meeting\191A.DOCX</w:t>
    </w:r>
    <w:r w:rsidRPr="0026373E">
      <w:rPr>
        <w:sz w:val="16"/>
        <w:szCs w:val="16"/>
      </w:rPr>
      <w:fldChar w:fldCharType="end"/>
    </w:r>
    <w:proofErr w:type="gramStart"/>
    <w:r w:rsidRPr="00C3397F">
      <w:rPr>
        <w:sz w:val="16"/>
        <w:szCs w:val="16"/>
        <w:lang w:val="en-GB"/>
      </w:rPr>
      <w:t xml:space="preserve">   (</w:t>
    </w:r>
    <w:proofErr w:type="gramEnd"/>
    <w:r w:rsidR="002F025E" w:rsidRPr="00C3397F">
      <w:rPr>
        <w:sz w:val="16"/>
        <w:szCs w:val="16"/>
        <w:lang w:val="en-GB"/>
      </w:rPr>
      <w:t>535251</w:t>
    </w:r>
    <w:r w:rsidRPr="00C3397F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76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7AB2" w14:textId="77777777" w:rsidR="00E808AB" w:rsidRDefault="00E808AB" w:rsidP="006C3242">
      <w:pPr>
        <w:spacing w:before="0" w:line="240" w:lineRule="auto"/>
      </w:pPr>
      <w:r>
        <w:separator/>
      </w:r>
    </w:p>
  </w:footnote>
  <w:footnote w:type="continuationSeparator" w:id="0">
    <w:p w14:paraId="3B412518" w14:textId="77777777" w:rsidR="00E808AB" w:rsidRDefault="00E808A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064" w14:textId="0942443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F025E">
      <w:rPr>
        <w:rFonts w:hint="cs"/>
        <w:sz w:val="20"/>
        <w:szCs w:val="20"/>
        <w:rtl/>
        <w:lang w:val="en-GB"/>
      </w:rPr>
      <w:t>191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B"/>
    <w:rsid w:val="00002A63"/>
    <w:rsid w:val="0006468A"/>
    <w:rsid w:val="00090574"/>
    <w:rsid w:val="000A53AB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2F025E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85393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726BE"/>
    <w:rsid w:val="00783E26"/>
    <w:rsid w:val="007C3BC7"/>
    <w:rsid w:val="007C3BCD"/>
    <w:rsid w:val="007D4ACF"/>
    <w:rsid w:val="007E7539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D3D9F"/>
    <w:rsid w:val="0091702E"/>
    <w:rsid w:val="00923B0C"/>
    <w:rsid w:val="00926F44"/>
    <w:rsid w:val="0094021C"/>
    <w:rsid w:val="0094432F"/>
    <w:rsid w:val="00952F86"/>
    <w:rsid w:val="00982B28"/>
    <w:rsid w:val="009D313F"/>
    <w:rsid w:val="00A434E9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0727E"/>
    <w:rsid w:val="00B1259C"/>
    <w:rsid w:val="00B14F61"/>
    <w:rsid w:val="00B64B47"/>
    <w:rsid w:val="00B916A7"/>
    <w:rsid w:val="00BB0F08"/>
    <w:rsid w:val="00C002DE"/>
    <w:rsid w:val="00C3397F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08AB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73C9"/>
  <w15:chartTrackingRefBased/>
  <w15:docId w15:val="{AD8B7FF8-0459-4D96-9124-BE2522C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2F025E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/>
      <w:sz w:val="24"/>
      <w:szCs w:val="30"/>
    </w:rPr>
  </w:style>
  <w:style w:type="character" w:customStyle="1" w:styleId="TabletextChar">
    <w:name w:val="Table_text Char"/>
    <w:link w:val="Tabletext"/>
    <w:qFormat/>
    <w:locked/>
    <w:rsid w:val="002F025E"/>
    <w:rPr>
      <w:rFonts w:ascii="Times New Roman" w:eastAsia="Times New Roman" w:hAnsi="CG Times" w:cs="Simplified Arabic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B14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5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</dc:creator>
  <cp:keywords/>
  <dc:description/>
  <cp:lastModifiedBy>Braud, Olivia</cp:lastModifiedBy>
  <cp:revision>11</cp:revision>
  <cp:lastPrinted>2024-03-21T11:11:00Z</cp:lastPrinted>
  <dcterms:created xsi:type="dcterms:W3CDTF">2024-03-21T08:14:00Z</dcterms:created>
  <dcterms:modified xsi:type="dcterms:W3CDTF">2024-03-21T11:12:00Z</dcterms:modified>
</cp:coreProperties>
</file>