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7B6316" w14:paraId="6757A4FF" w14:textId="77777777" w:rsidTr="007B6316">
        <w:trPr>
          <w:cantSplit/>
          <w:trHeight w:val="340"/>
        </w:trPr>
        <w:tc>
          <w:tcPr>
            <w:tcW w:w="1410" w:type="dxa"/>
            <w:gridSpan w:val="2"/>
          </w:tcPr>
          <w:p w14:paraId="409E75E8"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3C0E83DD" wp14:editId="13E58FF4">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1A1E28DD"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12126920"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14:paraId="11B1D65B" w14:textId="77777777" w:rsidTr="00303D62">
        <w:trPr>
          <w:cantSplit/>
          <w:trHeight w:val="340"/>
        </w:trPr>
        <w:tc>
          <w:tcPr>
            <w:tcW w:w="993" w:type="dxa"/>
          </w:tcPr>
          <w:p w14:paraId="2861C991" w14:textId="77777777" w:rsidR="007B6316" w:rsidRPr="007B6316" w:rsidRDefault="007B6316" w:rsidP="00303D62">
            <w:pPr>
              <w:tabs>
                <w:tab w:val="left" w:pos="4111"/>
              </w:tabs>
              <w:spacing w:before="10"/>
              <w:ind w:left="57"/>
              <w:rPr>
                <w:b/>
                <w:bCs/>
                <w:sz w:val="22"/>
              </w:rPr>
            </w:pPr>
          </w:p>
        </w:tc>
        <w:tc>
          <w:tcPr>
            <w:tcW w:w="3884" w:type="dxa"/>
            <w:gridSpan w:val="2"/>
          </w:tcPr>
          <w:p w14:paraId="4A7E8DFA" w14:textId="77777777" w:rsidR="007B6316" w:rsidRDefault="007B6316" w:rsidP="00303D62">
            <w:pPr>
              <w:tabs>
                <w:tab w:val="left" w:pos="4111"/>
              </w:tabs>
              <w:spacing w:before="0"/>
              <w:ind w:left="57"/>
              <w:rPr>
                <w:b/>
              </w:rPr>
            </w:pPr>
          </w:p>
        </w:tc>
        <w:tc>
          <w:tcPr>
            <w:tcW w:w="5329" w:type="dxa"/>
          </w:tcPr>
          <w:p w14:paraId="7419828A" w14:textId="1B0E85C5" w:rsidR="007B6316" w:rsidRDefault="007B6316" w:rsidP="007B6316">
            <w:pPr>
              <w:tabs>
                <w:tab w:val="clear" w:pos="794"/>
                <w:tab w:val="clear" w:pos="1191"/>
                <w:tab w:val="clear" w:pos="1588"/>
                <w:tab w:val="clear" w:pos="1985"/>
                <w:tab w:val="left" w:pos="284"/>
              </w:tabs>
              <w:spacing w:after="120"/>
              <w:ind w:left="284" w:hanging="227"/>
            </w:pPr>
            <w:r w:rsidRPr="00081FE5">
              <w:rPr>
                <w:szCs w:val="24"/>
              </w:rPr>
              <w:t>Ginebra,</w:t>
            </w:r>
            <w:r w:rsidR="00487F89">
              <w:rPr>
                <w:szCs w:val="24"/>
              </w:rPr>
              <w:t xml:space="preserve"> 12 de marzo de 2024</w:t>
            </w:r>
          </w:p>
        </w:tc>
      </w:tr>
      <w:tr w:rsidR="001350B9" w14:paraId="394D0A6B" w14:textId="77777777" w:rsidTr="00303D62">
        <w:trPr>
          <w:cantSplit/>
          <w:trHeight w:val="340"/>
        </w:trPr>
        <w:tc>
          <w:tcPr>
            <w:tcW w:w="993" w:type="dxa"/>
          </w:tcPr>
          <w:p w14:paraId="6E791C06" w14:textId="77777777" w:rsidR="001350B9" w:rsidRPr="001350B9" w:rsidRDefault="001350B9" w:rsidP="00303D62">
            <w:pPr>
              <w:tabs>
                <w:tab w:val="left" w:pos="4111"/>
              </w:tabs>
              <w:spacing w:before="10"/>
              <w:ind w:left="57"/>
              <w:rPr>
                <w:sz w:val="22"/>
              </w:rPr>
            </w:pPr>
            <w:r w:rsidRPr="001350B9">
              <w:rPr>
                <w:sz w:val="22"/>
              </w:rPr>
              <w:t>Ref.:</w:t>
            </w:r>
          </w:p>
          <w:p w14:paraId="37351082" w14:textId="77777777" w:rsidR="001350B9" w:rsidRPr="001350B9" w:rsidRDefault="001350B9" w:rsidP="007B6316">
            <w:pPr>
              <w:tabs>
                <w:tab w:val="left" w:pos="4111"/>
              </w:tabs>
              <w:spacing w:before="10"/>
              <w:ind w:left="57"/>
              <w:rPr>
                <w:sz w:val="22"/>
              </w:rPr>
            </w:pPr>
          </w:p>
        </w:tc>
        <w:tc>
          <w:tcPr>
            <w:tcW w:w="3884" w:type="dxa"/>
            <w:gridSpan w:val="2"/>
          </w:tcPr>
          <w:p w14:paraId="09C72EA9" w14:textId="32424073" w:rsidR="001350B9" w:rsidRDefault="001350B9" w:rsidP="00303D62">
            <w:pPr>
              <w:tabs>
                <w:tab w:val="left" w:pos="4111"/>
              </w:tabs>
              <w:spacing w:before="0"/>
              <w:ind w:left="57"/>
              <w:rPr>
                <w:b/>
              </w:rPr>
            </w:pPr>
            <w:r>
              <w:rPr>
                <w:b/>
              </w:rPr>
              <w:t xml:space="preserve">Circular TSB </w:t>
            </w:r>
            <w:r w:rsidR="00487F89">
              <w:rPr>
                <w:b/>
              </w:rPr>
              <w:t>188</w:t>
            </w:r>
          </w:p>
          <w:p w14:paraId="3955BE4B" w14:textId="4615BA2C" w:rsidR="001350B9" w:rsidRDefault="00487F89" w:rsidP="00303D62">
            <w:pPr>
              <w:tabs>
                <w:tab w:val="left" w:pos="4111"/>
              </w:tabs>
              <w:spacing w:before="0"/>
              <w:ind w:left="57"/>
              <w:rPr>
                <w:b/>
              </w:rPr>
            </w:pPr>
            <w:r>
              <w:t>SG2/CB</w:t>
            </w:r>
          </w:p>
          <w:p w14:paraId="2972263A" w14:textId="77777777" w:rsidR="001350B9" w:rsidRDefault="001350B9" w:rsidP="007B6316">
            <w:pPr>
              <w:tabs>
                <w:tab w:val="left" w:pos="4111"/>
              </w:tabs>
              <w:spacing w:before="0"/>
              <w:ind w:left="57"/>
            </w:pPr>
          </w:p>
        </w:tc>
        <w:tc>
          <w:tcPr>
            <w:tcW w:w="5329" w:type="dxa"/>
            <w:vMerge w:val="restart"/>
          </w:tcPr>
          <w:p w14:paraId="1B3156E4" w14:textId="77777777" w:rsidR="001350B9" w:rsidRDefault="001350B9" w:rsidP="00303D62">
            <w:pPr>
              <w:tabs>
                <w:tab w:val="clear" w:pos="794"/>
                <w:tab w:val="clear" w:pos="1191"/>
                <w:tab w:val="clear" w:pos="1588"/>
                <w:tab w:val="clear" w:pos="1985"/>
                <w:tab w:val="left" w:pos="284"/>
              </w:tabs>
              <w:spacing w:before="0"/>
              <w:ind w:left="284" w:hanging="227"/>
            </w:pPr>
            <w:bookmarkStart w:id="0" w:name="Addressee_S"/>
            <w:bookmarkEnd w:id="0"/>
            <w:r>
              <w:t>-</w:t>
            </w:r>
            <w:r>
              <w:tab/>
              <w:t>A las Administraciones de los Estados Miembros de la Unión</w:t>
            </w:r>
          </w:p>
          <w:p w14:paraId="4EDF17CF" w14:textId="77777777" w:rsidR="001350B9" w:rsidRDefault="001350B9" w:rsidP="00303D62">
            <w:pPr>
              <w:tabs>
                <w:tab w:val="left" w:pos="4111"/>
              </w:tabs>
              <w:spacing w:before="0"/>
            </w:pPr>
          </w:p>
          <w:p w14:paraId="5FA135C4" w14:textId="77777777" w:rsidR="001350B9" w:rsidRDefault="001350B9" w:rsidP="00303D62">
            <w:pPr>
              <w:tabs>
                <w:tab w:val="clear" w:pos="794"/>
                <w:tab w:val="left" w:pos="226"/>
                <w:tab w:val="left" w:pos="4111"/>
              </w:tabs>
              <w:spacing w:before="0"/>
            </w:pPr>
            <w:r>
              <w:t>-</w:t>
            </w:r>
            <w:r>
              <w:tab/>
              <w:t>A los Miembros del Sector UIT</w:t>
            </w:r>
            <w:r>
              <w:noBreakHyphen/>
              <w:t>T;</w:t>
            </w:r>
          </w:p>
          <w:p w14:paraId="46988AAD" w14:textId="2C43673D" w:rsidR="001350B9" w:rsidRDefault="001350B9" w:rsidP="00BC1C8E">
            <w:pPr>
              <w:tabs>
                <w:tab w:val="clear" w:pos="794"/>
                <w:tab w:val="left" w:pos="226"/>
                <w:tab w:val="left" w:pos="4111"/>
              </w:tabs>
              <w:spacing w:before="0"/>
              <w:ind w:left="226" w:hanging="226"/>
            </w:pPr>
            <w:r>
              <w:t>-</w:t>
            </w:r>
            <w:r>
              <w:tab/>
              <w:t>A los Asociados del UIT</w:t>
            </w:r>
            <w:r>
              <w:noBreakHyphen/>
              <w:t>T</w:t>
            </w:r>
            <w:r w:rsidR="00BC1C8E">
              <w:t xml:space="preserve"> </w:t>
            </w:r>
            <w:r w:rsidR="00BC1C8E" w:rsidRPr="00BC1C8E">
              <w:t>que participan en los trabajos de la Comisión de Estudio 2</w:t>
            </w:r>
            <w:r>
              <w:t>;</w:t>
            </w:r>
          </w:p>
          <w:p w14:paraId="650CECF5" w14:textId="77777777" w:rsidR="001350B9" w:rsidRDefault="001350B9" w:rsidP="00303D62">
            <w:pPr>
              <w:tabs>
                <w:tab w:val="clear" w:pos="794"/>
                <w:tab w:val="left" w:pos="226"/>
                <w:tab w:val="left" w:pos="4111"/>
              </w:tabs>
              <w:spacing w:before="0"/>
            </w:pPr>
            <w:r w:rsidRPr="00665FBD">
              <w:t>-</w:t>
            </w:r>
            <w:r>
              <w:tab/>
              <w:t xml:space="preserve">A las Instituciones Académicas del </w:t>
            </w:r>
            <w:r w:rsidRPr="00665FBD">
              <w:t>UIT-T</w:t>
            </w:r>
            <w:r>
              <w:t>;</w:t>
            </w:r>
          </w:p>
          <w:p w14:paraId="3BEB523D" w14:textId="5A09718F" w:rsidR="001350B9" w:rsidRDefault="001350B9" w:rsidP="00303D62">
            <w:pPr>
              <w:tabs>
                <w:tab w:val="left" w:pos="226"/>
                <w:tab w:val="left" w:pos="4111"/>
              </w:tabs>
              <w:spacing w:before="0"/>
              <w:ind w:left="226" w:hanging="226"/>
            </w:pPr>
            <w:r>
              <w:t>-</w:t>
            </w:r>
            <w:r>
              <w:tab/>
              <w:t>Al Presidente y a los Vicepresidentes de la</w:t>
            </w:r>
            <w:r>
              <w:br/>
              <w:t xml:space="preserve">Comisión de Estudio </w:t>
            </w:r>
            <w:r w:rsidR="00BC1C8E">
              <w:t>2 del UIT-T</w:t>
            </w:r>
            <w:r>
              <w:t>;</w:t>
            </w:r>
          </w:p>
          <w:p w14:paraId="4DBEC2D4" w14:textId="77777777" w:rsidR="001350B9" w:rsidRDefault="001350B9" w:rsidP="00303D62">
            <w:pPr>
              <w:tabs>
                <w:tab w:val="clear" w:pos="794"/>
                <w:tab w:val="clear" w:pos="1191"/>
                <w:tab w:val="clear" w:pos="1588"/>
                <w:tab w:val="clear" w:pos="1985"/>
                <w:tab w:val="left" w:pos="226"/>
                <w:tab w:val="left" w:pos="510"/>
              </w:tabs>
              <w:spacing w:before="0"/>
              <w:ind w:left="226" w:hanging="169"/>
            </w:pPr>
            <w:r>
              <w:t>-</w:t>
            </w:r>
            <w:r>
              <w:tab/>
              <w:t>A la Directora de la Oficina de Desarrollo de las Telecomunicaciones;</w:t>
            </w:r>
          </w:p>
          <w:p w14:paraId="2A452299" w14:textId="77777777" w:rsidR="001350B9" w:rsidRDefault="001350B9" w:rsidP="00303D62">
            <w:pPr>
              <w:tabs>
                <w:tab w:val="left" w:pos="226"/>
                <w:tab w:val="left" w:pos="510"/>
              </w:tabs>
              <w:spacing w:before="0"/>
              <w:ind w:left="226" w:hanging="169"/>
            </w:pPr>
            <w:r>
              <w:t>-</w:t>
            </w:r>
            <w:r>
              <w:tab/>
              <w:t>Al Director de la Oficina de Radiocomunicaciones</w:t>
            </w:r>
          </w:p>
        </w:tc>
      </w:tr>
      <w:tr w:rsidR="001350B9" w14:paraId="015CC598" w14:textId="77777777" w:rsidTr="00303D62">
        <w:trPr>
          <w:cantSplit/>
        </w:trPr>
        <w:tc>
          <w:tcPr>
            <w:tcW w:w="993" w:type="dxa"/>
          </w:tcPr>
          <w:p w14:paraId="5B95859C" w14:textId="77777777" w:rsidR="001350B9" w:rsidRPr="001350B9" w:rsidRDefault="001350B9" w:rsidP="00303D62">
            <w:pPr>
              <w:tabs>
                <w:tab w:val="left" w:pos="4111"/>
              </w:tabs>
              <w:spacing w:before="10"/>
              <w:ind w:left="57"/>
              <w:rPr>
                <w:sz w:val="22"/>
              </w:rPr>
            </w:pPr>
            <w:r w:rsidRPr="001350B9">
              <w:rPr>
                <w:sz w:val="22"/>
              </w:rPr>
              <w:t>Tel.:</w:t>
            </w:r>
          </w:p>
        </w:tc>
        <w:tc>
          <w:tcPr>
            <w:tcW w:w="3884" w:type="dxa"/>
            <w:gridSpan w:val="2"/>
          </w:tcPr>
          <w:p w14:paraId="12338A3E" w14:textId="31D4739D" w:rsidR="001350B9" w:rsidRDefault="001350B9" w:rsidP="00303D62">
            <w:pPr>
              <w:tabs>
                <w:tab w:val="left" w:pos="4111"/>
              </w:tabs>
              <w:spacing w:before="0"/>
              <w:ind w:left="57"/>
              <w:rPr>
                <w:rStyle w:val="Hyperlink"/>
              </w:rPr>
            </w:pPr>
            <w:r>
              <w:t>+41 22 730</w:t>
            </w:r>
            <w:r w:rsidR="00487F89">
              <w:t xml:space="preserve"> 5415</w:t>
            </w:r>
          </w:p>
        </w:tc>
        <w:tc>
          <w:tcPr>
            <w:tcW w:w="5329" w:type="dxa"/>
            <w:vMerge/>
          </w:tcPr>
          <w:p w14:paraId="5E4B1475" w14:textId="77777777" w:rsidR="001350B9" w:rsidRDefault="001350B9" w:rsidP="00303D62">
            <w:pPr>
              <w:tabs>
                <w:tab w:val="left" w:pos="226"/>
                <w:tab w:val="left" w:pos="510"/>
              </w:tabs>
              <w:spacing w:before="0"/>
              <w:ind w:left="226" w:hanging="169"/>
              <w:rPr>
                <w:b/>
              </w:rPr>
            </w:pPr>
          </w:p>
        </w:tc>
      </w:tr>
      <w:tr w:rsidR="001350B9" w14:paraId="089C21A1" w14:textId="77777777" w:rsidTr="00303D62">
        <w:trPr>
          <w:cantSplit/>
        </w:trPr>
        <w:tc>
          <w:tcPr>
            <w:tcW w:w="993" w:type="dxa"/>
          </w:tcPr>
          <w:p w14:paraId="5F14F9B6" w14:textId="77777777" w:rsidR="001350B9" w:rsidRPr="001350B9" w:rsidRDefault="001350B9" w:rsidP="00303D62">
            <w:pPr>
              <w:tabs>
                <w:tab w:val="left" w:pos="4111"/>
              </w:tabs>
              <w:spacing w:before="10"/>
              <w:ind w:left="57"/>
              <w:rPr>
                <w:sz w:val="22"/>
              </w:rPr>
            </w:pPr>
            <w:r w:rsidRPr="001350B9">
              <w:rPr>
                <w:sz w:val="22"/>
              </w:rPr>
              <w:t>Fax:</w:t>
            </w:r>
          </w:p>
        </w:tc>
        <w:tc>
          <w:tcPr>
            <w:tcW w:w="3884" w:type="dxa"/>
            <w:gridSpan w:val="2"/>
          </w:tcPr>
          <w:p w14:paraId="42BC9C60" w14:textId="77777777" w:rsidR="001350B9" w:rsidRDefault="001350B9" w:rsidP="00303D62">
            <w:pPr>
              <w:tabs>
                <w:tab w:val="left" w:pos="4111"/>
              </w:tabs>
              <w:spacing w:before="0"/>
              <w:ind w:left="57"/>
              <w:rPr>
                <w:rStyle w:val="Hyperlink"/>
              </w:rPr>
            </w:pPr>
            <w:r>
              <w:t>+41 22 730 5853</w:t>
            </w:r>
          </w:p>
        </w:tc>
        <w:tc>
          <w:tcPr>
            <w:tcW w:w="5329" w:type="dxa"/>
            <w:vMerge/>
          </w:tcPr>
          <w:p w14:paraId="58C7EB56" w14:textId="77777777" w:rsidR="001350B9" w:rsidRDefault="001350B9" w:rsidP="00303D62">
            <w:pPr>
              <w:tabs>
                <w:tab w:val="left" w:pos="226"/>
                <w:tab w:val="left" w:pos="510"/>
              </w:tabs>
              <w:spacing w:before="0"/>
              <w:ind w:left="226" w:hanging="169"/>
              <w:rPr>
                <w:b/>
              </w:rPr>
            </w:pPr>
          </w:p>
        </w:tc>
      </w:tr>
      <w:tr w:rsidR="001350B9" w14:paraId="66B1F025" w14:textId="77777777" w:rsidTr="00303D62">
        <w:trPr>
          <w:cantSplit/>
        </w:trPr>
        <w:tc>
          <w:tcPr>
            <w:tcW w:w="993" w:type="dxa"/>
          </w:tcPr>
          <w:p w14:paraId="68C2D9BA" w14:textId="77777777" w:rsidR="001350B9" w:rsidRPr="001350B9" w:rsidRDefault="001350B9" w:rsidP="00303D62">
            <w:pPr>
              <w:tabs>
                <w:tab w:val="left" w:pos="4111"/>
              </w:tabs>
              <w:spacing w:before="10"/>
              <w:ind w:left="57"/>
              <w:rPr>
                <w:sz w:val="22"/>
              </w:rPr>
            </w:pPr>
            <w:r w:rsidRPr="001350B9">
              <w:rPr>
                <w:sz w:val="22"/>
              </w:rPr>
              <w:t>Correo-e:</w:t>
            </w:r>
          </w:p>
        </w:tc>
        <w:tc>
          <w:tcPr>
            <w:tcW w:w="3884" w:type="dxa"/>
            <w:gridSpan w:val="2"/>
          </w:tcPr>
          <w:p w14:paraId="1627B646" w14:textId="4FDDE7A6" w:rsidR="001350B9" w:rsidRDefault="00005F7A" w:rsidP="00303D62">
            <w:pPr>
              <w:tabs>
                <w:tab w:val="left" w:pos="4111"/>
              </w:tabs>
              <w:spacing w:before="0"/>
              <w:ind w:left="57"/>
            </w:pPr>
            <w:hyperlink r:id="rId9" w:history="1">
              <w:r w:rsidR="00487F89" w:rsidRPr="003F78D3">
                <w:rPr>
                  <w:rStyle w:val="Hyperlink"/>
                </w:rPr>
                <w:t>tsbsg2@itu.int</w:t>
              </w:r>
            </w:hyperlink>
            <w:r w:rsidR="001350B9">
              <w:t xml:space="preserve"> </w:t>
            </w:r>
          </w:p>
        </w:tc>
        <w:tc>
          <w:tcPr>
            <w:tcW w:w="5329" w:type="dxa"/>
            <w:vMerge/>
          </w:tcPr>
          <w:p w14:paraId="0C885F05" w14:textId="77777777" w:rsidR="001350B9" w:rsidRDefault="001350B9" w:rsidP="00303D62">
            <w:pPr>
              <w:tabs>
                <w:tab w:val="clear" w:pos="794"/>
                <w:tab w:val="clear" w:pos="1191"/>
                <w:tab w:val="clear" w:pos="1588"/>
                <w:tab w:val="clear" w:pos="1985"/>
                <w:tab w:val="left" w:pos="226"/>
                <w:tab w:val="left" w:pos="510"/>
              </w:tabs>
              <w:spacing w:before="0"/>
              <w:ind w:left="226" w:hanging="169"/>
            </w:pPr>
          </w:p>
        </w:tc>
      </w:tr>
      <w:tr w:rsidR="007B6316" w14:paraId="17A278E8" w14:textId="77777777" w:rsidTr="00DA30ED">
        <w:trPr>
          <w:cantSplit/>
        </w:trPr>
        <w:tc>
          <w:tcPr>
            <w:tcW w:w="993" w:type="dxa"/>
          </w:tcPr>
          <w:p w14:paraId="691192AB" w14:textId="77777777" w:rsidR="007B6316" w:rsidRPr="001350B9" w:rsidRDefault="007B6316" w:rsidP="00303D62">
            <w:pPr>
              <w:tabs>
                <w:tab w:val="left" w:pos="4111"/>
              </w:tabs>
              <w:spacing w:before="10"/>
              <w:ind w:left="57"/>
              <w:rPr>
                <w:sz w:val="22"/>
              </w:rPr>
            </w:pPr>
            <w:r w:rsidRPr="001350B9">
              <w:rPr>
                <w:sz w:val="22"/>
              </w:rPr>
              <w:t>Asunto:</w:t>
            </w:r>
          </w:p>
        </w:tc>
        <w:tc>
          <w:tcPr>
            <w:tcW w:w="9213" w:type="dxa"/>
            <w:gridSpan w:val="3"/>
          </w:tcPr>
          <w:p w14:paraId="62349E1C" w14:textId="39A4467A" w:rsidR="007B6316" w:rsidRDefault="00BC1C8E" w:rsidP="00303D62">
            <w:pPr>
              <w:tabs>
                <w:tab w:val="left" w:pos="4111"/>
              </w:tabs>
              <w:spacing w:before="0"/>
              <w:rPr>
                <w:b/>
              </w:rPr>
            </w:pPr>
            <w:r w:rsidRPr="00BC1C8E">
              <w:rPr>
                <w:b/>
              </w:rPr>
              <w:t xml:space="preserve">Consulta a los Estados Miembros sobre el proyecto de nueva Recomendación UIT-T E.1121 (ex </w:t>
            </w:r>
            <w:proofErr w:type="spellStart"/>
            <w:r w:rsidRPr="00BC1C8E">
              <w:rPr>
                <w:b/>
              </w:rPr>
              <w:t>E.audit</w:t>
            </w:r>
            <w:proofErr w:type="spellEnd"/>
            <w:r w:rsidRPr="00BC1C8E">
              <w:rPr>
                <w:b/>
              </w:rPr>
              <w:t>) determinado, propuesto para aprobación en la reunión de la Comisión de Estudio 2 del UIT-T (Ginebra, 19-28 de junio de 2024)</w:t>
            </w:r>
          </w:p>
        </w:tc>
      </w:tr>
    </w:tbl>
    <w:p w14:paraId="4F0522DD" w14:textId="77777777" w:rsidR="00C34772" w:rsidRDefault="00C34772" w:rsidP="007B6316">
      <w:pPr>
        <w:spacing w:before="320"/>
      </w:pPr>
      <w:bookmarkStart w:id="1" w:name="StartTyping_S"/>
      <w:bookmarkStart w:id="2" w:name="suitetext"/>
      <w:bookmarkStart w:id="3" w:name="text"/>
      <w:bookmarkEnd w:id="1"/>
      <w:bookmarkEnd w:id="2"/>
      <w:bookmarkEnd w:id="3"/>
      <w:r>
        <w:t>Muy Señora mía/Muy Señor mío:</w:t>
      </w:r>
    </w:p>
    <w:p w14:paraId="1375EBA8" w14:textId="77777777" w:rsidR="00BC1C8E" w:rsidRDefault="00BC1C8E" w:rsidP="00BC1C8E">
      <w:r>
        <w:t>1</w:t>
      </w:r>
      <w:r>
        <w:tab/>
        <w:t>La Comisión de Estudio 2 del UIT-T (</w:t>
      </w:r>
      <w:r w:rsidRPr="0027483C">
        <w:rPr>
          <w:i/>
          <w:iCs/>
        </w:rPr>
        <w:t>Aspectos operativos de la prestación de servicios y de la gestión de las telecomunicaciones</w:t>
      </w:r>
      <w:r>
        <w:t>) ha previsto aplicar el procedimiento de aprobación tradicional descrito en la cláusula 9 de la Resolución 1 (Rev. Ginebra, 2022) de la AMNT para la aprobación del citado proyecto de texto en su próxima reunión, que se celebrará el 28 de junio de 2024. El orden del día y toda la información pertinente sobre la reunión de la Comisión de Estudio 2 del UIT-T se incluirán en la Carta Colectiva 5/2.</w:t>
      </w:r>
    </w:p>
    <w:p w14:paraId="2DDE3EFC" w14:textId="77777777" w:rsidR="00BC1C8E" w:rsidRDefault="00BC1C8E" w:rsidP="00BC1C8E">
      <w:r>
        <w:t>2</w:t>
      </w:r>
      <w:r>
        <w:tab/>
        <w:t>El título, el resumen y la ubicación del proyecto de texto del UIT-T cuya aprobación se propone figuran en el Anexo 1.</w:t>
      </w:r>
    </w:p>
    <w:p w14:paraId="56487EB5" w14:textId="740E1CAB" w:rsidR="00BC1C8E" w:rsidRDefault="00BC1C8E" w:rsidP="00BC1C8E">
      <w:r>
        <w:t>3</w:t>
      </w:r>
      <w:r>
        <w:tab/>
        <w:t xml:space="preserve">Con la presente Circular se inicia la consulta formal a los Estados Miembros de la UIT sobre si dicho texto puede considerarse para aprobación en la próxima reunión, de acuerdo con la cláusula 9.4 de la Resolución 1. Se ruega a los Estados Miembros que cumplimenten y devuelvan el formulario incluido el </w:t>
      </w:r>
      <w:r w:rsidRPr="0027483C">
        <w:rPr>
          <w:b/>
          <w:bCs/>
        </w:rPr>
        <w:t>Anexo 2</w:t>
      </w:r>
      <w:r>
        <w:t xml:space="preserve"> antes de las 23.59 horas UTC del </w:t>
      </w:r>
      <w:r w:rsidRPr="0027483C">
        <w:rPr>
          <w:b/>
          <w:bCs/>
        </w:rPr>
        <w:t>7 de junio de 2024</w:t>
      </w:r>
      <w:r>
        <w:t>.</w:t>
      </w:r>
    </w:p>
    <w:p w14:paraId="5C6ECFB2" w14:textId="2222B802" w:rsidR="00BC1C8E" w:rsidRDefault="00BC1C8E">
      <w:pPr>
        <w:tabs>
          <w:tab w:val="clear" w:pos="794"/>
          <w:tab w:val="clear" w:pos="1191"/>
          <w:tab w:val="clear" w:pos="1588"/>
          <w:tab w:val="clear" w:pos="1985"/>
        </w:tabs>
        <w:overflowPunct/>
        <w:autoSpaceDE/>
        <w:autoSpaceDN/>
        <w:adjustRightInd/>
        <w:spacing w:before="0"/>
        <w:textAlignment w:val="auto"/>
      </w:pPr>
    </w:p>
    <w:p w14:paraId="3856C69C" w14:textId="28F9DE20" w:rsidR="00BC1C8E" w:rsidRDefault="00BC1C8E">
      <w:pPr>
        <w:tabs>
          <w:tab w:val="clear" w:pos="794"/>
          <w:tab w:val="clear" w:pos="1191"/>
          <w:tab w:val="clear" w:pos="1588"/>
          <w:tab w:val="clear" w:pos="1985"/>
        </w:tabs>
        <w:overflowPunct/>
        <w:autoSpaceDE/>
        <w:autoSpaceDN/>
        <w:adjustRightInd/>
        <w:spacing w:before="0"/>
        <w:textAlignment w:val="auto"/>
      </w:pPr>
      <w:r>
        <w:br w:type="page"/>
      </w:r>
    </w:p>
    <w:p w14:paraId="1317562C" w14:textId="3631D7B9" w:rsidR="007B6316" w:rsidRDefault="00BC1C8E" w:rsidP="00BC1C8E">
      <w:r>
        <w:lastRenderedPageBreak/>
        <w:t>Los Estados Miembros que no otorguen autoridad para proceder deben informar al Director de la TSB de los motivos de su decisión e indicar los posibles cambios que harían posible el avance de los trabajos.</w:t>
      </w:r>
    </w:p>
    <w:p w14:paraId="0151A051" w14:textId="77777777" w:rsidR="007B6316" w:rsidRDefault="007B6316" w:rsidP="007B6316"/>
    <w:p w14:paraId="337FFE19" w14:textId="77777777" w:rsidR="007B6316" w:rsidRPr="00081FE5" w:rsidRDefault="007B6316" w:rsidP="007B6316">
      <w:r w:rsidRPr="00081FE5">
        <w:t>Atentamente,</w:t>
      </w:r>
    </w:p>
    <w:p w14:paraId="5043C12D" w14:textId="77777777" w:rsidR="007B6316" w:rsidRPr="00081FE5" w:rsidRDefault="007B6316" w:rsidP="007B6316">
      <w:pPr>
        <w:spacing w:before="480" w:line="480" w:lineRule="auto"/>
        <w:rPr>
          <w:sz w:val="28"/>
          <w:szCs w:val="22"/>
        </w:rPr>
      </w:pPr>
      <w:r w:rsidRPr="00081FE5">
        <w:rPr>
          <w:i/>
          <w:iCs/>
          <w:szCs w:val="24"/>
        </w:rPr>
        <w:t>(firmado)</w:t>
      </w:r>
    </w:p>
    <w:p w14:paraId="5256B440" w14:textId="77777777" w:rsidR="007B6316" w:rsidRPr="00081FE5" w:rsidRDefault="001350B9" w:rsidP="007B6316">
      <w:pPr>
        <w:spacing w:before="360"/>
      </w:pPr>
      <w:proofErr w:type="spellStart"/>
      <w:r w:rsidRPr="001350B9">
        <w:rPr>
          <w:rFonts w:cstheme="minorHAnsi"/>
          <w:szCs w:val="22"/>
          <w:lang w:val="es-ES"/>
        </w:rPr>
        <w:t>Seizo</w:t>
      </w:r>
      <w:proofErr w:type="spellEnd"/>
      <w:r w:rsidRPr="001350B9">
        <w:rPr>
          <w:rFonts w:cstheme="minorHAnsi"/>
          <w:szCs w:val="22"/>
          <w:lang w:val="es-ES"/>
        </w:rPr>
        <w:t xml:space="preserve"> </w:t>
      </w:r>
      <w:proofErr w:type="spellStart"/>
      <w:r w:rsidRPr="001350B9">
        <w:rPr>
          <w:rFonts w:cstheme="minorHAnsi"/>
          <w:szCs w:val="22"/>
          <w:lang w:val="es-ES"/>
        </w:rPr>
        <w:t>Onoe</w:t>
      </w:r>
      <w:proofErr w:type="spellEnd"/>
      <w:r w:rsidR="007B6316" w:rsidRPr="00081FE5">
        <w:br/>
        <w:t xml:space="preserve">Director de la Oficina de </w:t>
      </w:r>
      <w:r w:rsidR="007B6316" w:rsidRPr="00081FE5">
        <w:br/>
        <w:t>Normalización de las Telecomunicaciones</w:t>
      </w:r>
    </w:p>
    <w:p w14:paraId="0C314629" w14:textId="77777777" w:rsidR="00BC1C8E" w:rsidRPr="00BC1C8E" w:rsidRDefault="00BC1C8E" w:rsidP="00BC1C8E">
      <w:pPr>
        <w:spacing w:before="880"/>
        <w:rPr>
          <w:szCs w:val="22"/>
        </w:rPr>
      </w:pPr>
      <w:r w:rsidRPr="00BC1C8E">
        <w:rPr>
          <w:b/>
          <w:bCs/>
        </w:rPr>
        <w:t>Anexos:</w:t>
      </w:r>
      <w:r w:rsidRPr="00BC1C8E">
        <w:rPr>
          <w:bCs/>
        </w:rPr>
        <w:t xml:space="preserve"> 2</w:t>
      </w:r>
    </w:p>
    <w:p w14:paraId="595D5654" w14:textId="77777777" w:rsidR="00BC1C8E" w:rsidRPr="00BC1C8E" w:rsidRDefault="00BC1C8E" w:rsidP="00BC1C8E">
      <w:pPr>
        <w:rPr>
          <w:rFonts w:ascii="Calibri" w:hAnsi="Calibri"/>
        </w:rPr>
      </w:pPr>
      <w:r w:rsidRPr="00BC1C8E">
        <w:rPr>
          <w:rFonts w:ascii="Calibri" w:hAnsi="Calibri"/>
        </w:rPr>
        <w:br w:type="page"/>
      </w:r>
    </w:p>
    <w:p w14:paraId="6CC5C0A2" w14:textId="6D24395F" w:rsidR="00BC1C8E" w:rsidRPr="00BC1C8E" w:rsidRDefault="00BC1C8E" w:rsidP="00BC1C8E">
      <w:pPr>
        <w:pStyle w:val="AnnexNotitle"/>
      </w:pPr>
      <w:r w:rsidRPr="00BC1C8E">
        <w:lastRenderedPageBreak/>
        <w:t>Anexo 1</w:t>
      </w:r>
      <w:r w:rsidRPr="00BC1C8E">
        <w:br/>
      </w:r>
      <w:r w:rsidRPr="00BC1C8E">
        <w:br/>
        <w:t>Resumen y ubicación del proyecto de nueva Recomendación</w:t>
      </w:r>
      <w:r w:rsidR="0027483C">
        <w:br/>
      </w:r>
      <w:r w:rsidRPr="00BC1C8E">
        <w:t xml:space="preserve">UIT-T E.1121 (ex </w:t>
      </w:r>
      <w:proofErr w:type="spellStart"/>
      <w:r w:rsidRPr="00BC1C8E">
        <w:t>E.audit</w:t>
      </w:r>
      <w:proofErr w:type="spellEnd"/>
      <w:r w:rsidRPr="00BC1C8E">
        <w:t>) determinado</w:t>
      </w:r>
    </w:p>
    <w:p w14:paraId="797C0B2C" w14:textId="46046743" w:rsidR="00BC1C8E" w:rsidRPr="00BC1C8E" w:rsidRDefault="00BC1C8E" w:rsidP="00BC1C8E">
      <w:pPr>
        <w:pStyle w:val="Heading1"/>
      </w:pPr>
      <w:bookmarkStart w:id="4" w:name="lt_pId111"/>
      <w:r w:rsidRPr="00BC1C8E">
        <w:t>1</w:t>
      </w:r>
      <w:r w:rsidRPr="00BC1C8E">
        <w:tab/>
        <w:t xml:space="preserve">Proyecto de nueva Recomendación UIT-T E.1121 (ex </w:t>
      </w:r>
      <w:proofErr w:type="spellStart"/>
      <w:r w:rsidRPr="00BC1C8E">
        <w:t>E.audit</w:t>
      </w:r>
      <w:proofErr w:type="spellEnd"/>
      <w:r w:rsidRPr="00BC1C8E">
        <w:t>) [</w:t>
      </w:r>
      <w:hyperlink r:id="rId10" w:history="1">
        <w:r w:rsidRPr="00BC1C8E">
          <w:rPr>
            <w:bCs/>
            <w:color w:val="0000FF"/>
            <w:u w:val="single"/>
          </w:rPr>
          <w:t>SG2-R17</w:t>
        </w:r>
      </w:hyperlink>
      <w:r w:rsidRPr="00BC1C8E">
        <w:t>]</w:t>
      </w:r>
    </w:p>
    <w:p w14:paraId="26C58ECC" w14:textId="77777777" w:rsidR="00BC1C8E" w:rsidRPr="00BC1C8E" w:rsidRDefault="00BC1C8E" w:rsidP="00BC1C8E">
      <w:pPr>
        <w:rPr>
          <w:b/>
        </w:rPr>
      </w:pPr>
      <w:r w:rsidRPr="00BC1C8E">
        <w:t>Mecanismos y procesos para la realización de auditorías de recursos globales de denominación, numeración, direccionamiento e identificación asignados</w:t>
      </w:r>
    </w:p>
    <w:p w14:paraId="0403ECAC" w14:textId="77777777" w:rsidR="00BC1C8E" w:rsidRPr="00BC1C8E" w:rsidRDefault="00BC1C8E" w:rsidP="00BC1C8E">
      <w:pPr>
        <w:pStyle w:val="headingb"/>
      </w:pPr>
      <w:r w:rsidRPr="00BC1C8E">
        <w:t>Resumen</w:t>
      </w:r>
    </w:p>
    <w:p w14:paraId="259B3DAE" w14:textId="77777777" w:rsidR="00BC1C8E" w:rsidRPr="00BC1C8E" w:rsidRDefault="00BC1C8E" w:rsidP="00BC1C8E">
      <w:r w:rsidRPr="00BC1C8E">
        <w:t xml:space="preserve">En la Recomendación UIT-T E.1121 (ex </w:t>
      </w:r>
      <w:proofErr w:type="spellStart"/>
      <w:r w:rsidRPr="00BC1C8E">
        <w:t>E.audit</w:t>
      </w:r>
      <w:proofErr w:type="spellEnd"/>
      <w:r w:rsidRPr="00BC1C8E">
        <w:t>) se especifican las funciones, las responsabilidades y los mecanismos en que se basarán las auditorías de los recursos globales asignados. La realización de auditorías constituye un mecanismo adicional y complementario a los principios asociados a los identificadores y a la notificación de usos indebidos que se especifican en las Recomendaciones de la serie E.</w:t>
      </w:r>
    </w:p>
    <w:p w14:paraId="4F9A02B8" w14:textId="77777777" w:rsidR="00BC1C8E" w:rsidRPr="00BC1C8E" w:rsidRDefault="00BC1C8E" w:rsidP="00BC1C8E">
      <w:r w:rsidRPr="00BC1C8E">
        <w:t>Esta Recomendación no se aplica a los recursos globales administrados por los Estados Miembros.</w:t>
      </w:r>
    </w:p>
    <w:p w14:paraId="626723C2" w14:textId="77777777" w:rsidR="00BC1C8E" w:rsidRPr="00BC1C8E" w:rsidRDefault="00BC1C8E" w:rsidP="00BC1C8E">
      <w:pPr>
        <w:rPr>
          <w:sz w:val="28"/>
        </w:rPr>
      </w:pPr>
      <w:r w:rsidRPr="00BC1C8E">
        <w:br w:type="page"/>
      </w:r>
    </w:p>
    <w:p w14:paraId="29D3BE4B" w14:textId="524E87E5" w:rsidR="00BC1C8E" w:rsidRPr="00BC1C8E" w:rsidRDefault="00BC1C8E" w:rsidP="005216D1">
      <w:pPr>
        <w:pStyle w:val="AnnexNotitle"/>
        <w:spacing w:after="240"/>
      </w:pPr>
      <w:r w:rsidRPr="00BC1C8E">
        <w:lastRenderedPageBreak/>
        <w:t>Anexo 2</w:t>
      </w:r>
      <w:bookmarkStart w:id="5" w:name="lt_pId112"/>
      <w:bookmarkEnd w:id="4"/>
      <w:r w:rsidRPr="00BC1C8E">
        <w:br/>
      </w:r>
      <w:r w:rsidRPr="00BC1C8E">
        <w:br/>
        <w:t>Asunto: Respuesta del Estado Miembro a la Circular TSB 188:</w:t>
      </w:r>
      <w:r w:rsidR="005216D1">
        <w:br/>
      </w:r>
      <w:r w:rsidRPr="00BC1C8E">
        <w:t>Consulta sobre el proyecto de nueva Recomendación</w:t>
      </w:r>
      <w:bookmarkEnd w:id="5"/>
      <w:r w:rsidR="005216D1">
        <w:br/>
      </w:r>
      <w:r w:rsidRPr="00BC1C8E">
        <w:t xml:space="preserve">UIT-T E.1121 (ex </w:t>
      </w:r>
      <w:proofErr w:type="spellStart"/>
      <w:r w:rsidRPr="00BC1C8E">
        <w:t>E.audit</w:t>
      </w:r>
      <w:proofErr w:type="spellEnd"/>
      <w:r w:rsidRPr="00BC1C8E">
        <w:t>) determinado</w:t>
      </w:r>
    </w:p>
    <w:tbl>
      <w:tblPr>
        <w:tblW w:w="10240" w:type="dxa"/>
        <w:tblInd w:w="-176" w:type="dxa"/>
        <w:tblLayout w:type="fixed"/>
        <w:tblLook w:val="04A0" w:firstRow="1" w:lastRow="0" w:firstColumn="1" w:lastColumn="0" w:noHBand="0" w:noVBand="1"/>
      </w:tblPr>
      <w:tblGrid>
        <w:gridCol w:w="1169"/>
        <w:gridCol w:w="4788"/>
        <w:gridCol w:w="1165"/>
        <w:gridCol w:w="3118"/>
      </w:tblGrid>
      <w:tr w:rsidR="00BC1C8E" w:rsidRPr="00BC1C8E" w14:paraId="307302C3" w14:textId="77777777" w:rsidTr="004E6C19">
        <w:tc>
          <w:tcPr>
            <w:tcW w:w="1169" w:type="dxa"/>
            <w:shd w:val="clear" w:color="auto" w:fill="auto"/>
          </w:tcPr>
          <w:p w14:paraId="6E067D1C" w14:textId="77777777" w:rsidR="00BC1C8E" w:rsidRPr="00BC1C8E" w:rsidRDefault="00BC1C8E" w:rsidP="00BC1C8E">
            <w:pPr>
              <w:jc w:val="right"/>
              <w:rPr>
                <w:b/>
                <w:bCs/>
              </w:rPr>
            </w:pPr>
            <w:bookmarkStart w:id="6" w:name="lt_pId114"/>
            <w:r w:rsidRPr="00BC1C8E">
              <w:rPr>
                <w:b/>
                <w:bCs/>
              </w:rPr>
              <w:t>A:</w:t>
            </w:r>
            <w:bookmarkEnd w:id="6"/>
          </w:p>
        </w:tc>
        <w:tc>
          <w:tcPr>
            <w:tcW w:w="4788" w:type="dxa"/>
            <w:tcBorders>
              <w:right w:val="single" w:sz="8" w:space="0" w:color="auto"/>
            </w:tcBorders>
            <w:shd w:val="clear" w:color="auto" w:fill="auto"/>
          </w:tcPr>
          <w:p w14:paraId="09FA7D2F" w14:textId="466C400A" w:rsidR="00BC1C8E" w:rsidRPr="00BC1C8E" w:rsidRDefault="00BC1C8E" w:rsidP="00BC1C8E">
            <w:bookmarkStart w:id="7" w:name="lt_pId115"/>
            <w:r w:rsidRPr="00BC1C8E">
              <w:t xml:space="preserve">Director </w:t>
            </w:r>
            <w:bookmarkStart w:id="8" w:name="lt_pId116"/>
            <w:bookmarkEnd w:id="7"/>
            <w:r w:rsidRPr="00BC1C8E">
              <w:t xml:space="preserve">de la Oficina de </w:t>
            </w:r>
            <w:r w:rsidRPr="00BC1C8E">
              <w:br/>
              <w:t>Normalización de las Telecomunicaciones,</w:t>
            </w:r>
            <w:bookmarkEnd w:id="8"/>
            <w:r w:rsidRPr="00BC1C8E">
              <w:t xml:space="preserve"> </w:t>
            </w:r>
            <w:r w:rsidRPr="00BC1C8E">
              <w:br/>
              <w:t>Unión Internacional de Telecomunicaciones</w:t>
            </w:r>
            <w:bookmarkStart w:id="9" w:name="lt_pId118"/>
            <w:r w:rsidRPr="00BC1C8E">
              <w:br/>
              <w:t xml:space="preserve">Place des </w:t>
            </w:r>
            <w:bookmarkStart w:id="10" w:name="lt_pId119"/>
            <w:bookmarkEnd w:id="9"/>
            <w:r w:rsidRPr="00BC1C8E">
              <w:t>Natíos</w:t>
            </w:r>
            <w:r w:rsidRPr="00BC1C8E">
              <w:br/>
              <w:t xml:space="preserve">CH 1211 Ginebra 20, </w:t>
            </w:r>
            <w:bookmarkEnd w:id="10"/>
            <w:r w:rsidRPr="00BC1C8E">
              <w:t>Suiza</w:t>
            </w:r>
          </w:p>
        </w:tc>
        <w:tc>
          <w:tcPr>
            <w:tcW w:w="1165" w:type="dxa"/>
            <w:tcBorders>
              <w:left w:val="single" w:sz="8" w:space="0" w:color="auto"/>
            </w:tcBorders>
            <w:shd w:val="clear" w:color="auto" w:fill="auto"/>
          </w:tcPr>
          <w:p w14:paraId="69A117AA" w14:textId="77777777" w:rsidR="00BC1C8E" w:rsidRPr="00BC1C8E" w:rsidRDefault="00BC1C8E" w:rsidP="00BC1C8E">
            <w:pPr>
              <w:jc w:val="right"/>
              <w:rPr>
                <w:b/>
                <w:bCs/>
              </w:rPr>
            </w:pPr>
            <w:bookmarkStart w:id="11" w:name="lt_pId120"/>
            <w:r w:rsidRPr="00BC1C8E">
              <w:rPr>
                <w:b/>
                <w:bCs/>
              </w:rPr>
              <w:t>De:</w:t>
            </w:r>
            <w:bookmarkEnd w:id="11"/>
          </w:p>
        </w:tc>
        <w:tc>
          <w:tcPr>
            <w:tcW w:w="3118" w:type="dxa"/>
            <w:shd w:val="clear" w:color="auto" w:fill="auto"/>
          </w:tcPr>
          <w:p w14:paraId="6415B94F" w14:textId="77777777" w:rsidR="00BC1C8E" w:rsidRPr="00BC1C8E" w:rsidRDefault="00BC1C8E" w:rsidP="00BC1C8E">
            <w:pPr>
              <w:rPr>
                <w:highlight w:val="green"/>
              </w:rPr>
            </w:pPr>
            <w:bookmarkStart w:id="12" w:name="lt_pId121"/>
            <w:r w:rsidRPr="00BC1C8E">
              <w:rPr>
                <w:highlight w:val="green"/>
              </w:rPr>
              <w:t>[Nombre]</w:t>
            </w:r>
            <w:bookmarkStart w:id="13" w:name="lt_pId122"/>
            <w:bookmarkEnd w:id="12"/>
            <w:r w:rsidRPr="00BC1C8E">
              <w:rPr>
                <w:highlight w:val="green"/>
              </w:rPr>
              <w:br/>
              <w:t>[Cargo oficial/Título]</w:t>
            </w:r>
            <w:bookmarkStart w:id="14" w:name="lt_pId123"/>
            <w:bookmarkEnd w:id="13"/>
            <w:r w:rsidRPr="00BC1C8E">
              <w:rPr>
                <w:highlight w:val="green"/>
              </w:rPr>
              <w:br/>
              <w:t>[Dirección]</w:t>
            </w:r>
            <w:bookmarkEnd w:id="14"/>
          </w:p>
        </w:tc>
      </w:tr>
      <w:tr w:rsidR="00BC1C8E" w:rsidRPr="00BC1C8E" w14:paraId="787C854F" w14:textId="77777777" w:rsidTr="004E6C19">
        <w:tc>
          <w:tcPr>
            <w:tcW w:w="1169" w:type="dxa"/>
            <w:shd w:val="clear" w:color="auto" w:fill="auto"/>
          </w:tcPr>
          <w:p w14:paraId="473DBE5E" w14:textId="77777777" w:rsidR="00BC1C8E" w:rsidRPr="00BC1C8E" w:rsidRDefault="00BC1C8E" w:rsidP="005216D1">
            <w:pPr>
              <w:spacing w:before="0"/>
              <w:jc w:val="right"/>
              <w:rPr>
                <w:b/>
                <w:bCs/>
              </w:rPr>
            </w:pPr>
            <w:bookmarkStart w:id="15" w:name="lt_pId124"/>
            <w:r w:rsidRPr="00BC1C8E">
              <w:rPr>
                <w:b/>
                <w:bCs/>
              </w:rPr>
              <w:t>Fax:</w:t>
            </w:r>
            <w:bookmarkEnd w:id="15"/>
          </w:p>
          <w:p w14:paraId="26BCF996" w14:textId="77777777" w:rsidR="00BC1C8E" w:rsidRPr="00BC1C8E" w:rsidRDefault="00BC1C8E" w:rsidP="005216D1">
            <w:pPr>
              <w:spacing w:before="0"/>
              <w:jc w:val="right"/>
              <w:rPr>
                <w:b/>
                <w:bCs/>
              </w:rPr>
            </w:pPr>
            <w:bookmarkStart w:id="16" w:name="lt_pId125"/>
            <w:r w:rsidRPr="00BC1C8E">
              <w:rPr>
                <w:b/>
                <w:bCs/>
              </w:rPr>
              <w:t>Correo-e:</w:t>
            </w:r>
            <w:bookmarkEnd w:id="16"/>
          </w:p>
        </w:tc>
        <w:tc>
          <w:tcPr>
            <w:tcW w:w="4788" w:type="dxa"/>
            <w:tcBorders>
              <w:right w:val="single" w:sz="8" w:space="0" w:color="auto"/>
            </w:tcBorders>
            <w:shd w:val="clear" w:color="auto" w:fill="auto"/>
          </w:tcPr>
          <w:p w14:paraId="3ABFB660" w14:textId="77777777" w:rsidR="00BC1C8E" w:rsidRPr="00BC1C8E" w:rsidRDefault="00BC1C8E" w:rsidP="005216D1">
            <w:pPr>
              <w:spacing w:before="0"/>
            </w:pPr>
            <w:r w:rsidRPr="00BC1C8E">
              <w:t>+41-22-730-5853</w:t>
            </w:r>
          </w:p>
          <w:bookmarkStart w:id="17" w:name="lt_pId127"/>
          <w:p w14:paraId="67C45445" w14:textId="77777777" w:rsidR="00BC1C8E" w:rsidRPr="00BC1C8E" w:rsidRDefault="00BC1C8E" w:rsidP="005216D1">
            <w:pPr>
              <w:spacing w:before="0"/>
            </w:pPr>
            <w:r w:rsidRPr="00BC1C8E">
              <w:fldChar w:fldCharType="begin"/>
            </w:r>
            <w:r w:rsidRPr="00BC1C8E">
              <w:instrText xml:space="preserve"> HYPERLINK "mailto:tsbdir@itu.int" </w:instrText>
            </w:r>
            <w:r w:rsidRPr="00BC1C8E">
              <w:fldChar w:fldCharType="separate"/>
            </w:r>
            <w:r w:rsidRPr="00BC1C8E">
              <w:rPr>
                <w:color w:val="0000FF"/>
                <w:u w:val="single"/>
              </w:rPr>
              <w:t>tsbdir@itu.int</w:t>
            </w:r>
            <w:bookmarkEnd w:id="17"/>
            <w:r w:rsidRPr="00BC1C8E">
              <w:fldChar w:fldCharType="end"/>
            </w:r>
          </w:p>
        </w:tc>
        <w:tc>
          <w:tcPr>
            <w:tcW w:w="1165" w:type="dxa"/>
            <w:tcBorders>
              <w:left w:val="single" w:sz="8" w:space="0" w:color="auto"/>
            </w:tcBorders>
            <w:shd w:val="clear" w:color="auto" w:fill="auto"/>
          </w:tcPr>
          <w:p w14:paraId="71E1BB46" w14:textId="77777777" w:rsidR="00BC1C8E" w:rsidRPr="00BC1C8E" w:rsidRDefault="00BC1C8E" w:rsidP="005216D1">
            <w:pPr>
              <w:spacing w:before="0"/>
              <w:jc w:val="right"/>
              <w:rPr>
                <w:b/>
                <w:bCs/>
              </w:rPr>
            </w:pPr>
            <w:bookmarkStart w:id="18" w:name="lt_pId128"/>
            <w:r w:rsidRPr="00BC1C8E">
              <w:rPr>
                <w:b/>
                <w:bCs/>
              </w:rPr>
              <w:t>Fax:</w:t>
            </w:r>
            <w:bookmarkEnd w:id="18"/>
          </w:p>
          <w:p w14:paraId="7BDA4EF5" w14:textId="77777777" w:rsidR="00BC1C8E" w:rsidRPr="00BC1C8E" w:rsidRDefault="00BC1C8E" w:rsidP="005216D1">
            <w:pPr>
              <w:spacing w:before="0"/>
              <w:jc w:val="right"/>
              <w:rPr>
                <w:b/>
                <w:bCs/>
              </w:rPr>
            </w:pPr>
            <w:bookmarkStart w:id="19" w:name="lt_pId129"/>
            <w:r w:rsidRPr="00BC1C8E">
              <w:rPr>
                <w:b/>
                <w:bCs/>
              </w:rPr>
              <w:t>Correo-e:</w:t>
            </w:r>
            <w:bookmarkEnd w:id="19"/>
          </w:p>
        </w:tc>
        <w:tc>
          <w:tcPr>
            <w:tcW w:w="3118" w:type="dxa"/>
            <w:shd w:val="clear" w:color="auto" w:fill="auto"/>
          </w:tcPr>
          <w:p w14:paraId="011407D1" w14:textId="77777777" w:rsidR="00BC1C8E" w:rsidRPr="00BC1C8E" w:rsidRDefault="00BC1C8E" w:rsidP="005216D1">
            <w:pPr>
              <w:spacing w:before="0"/>
            </w:pPr>
          </w:p>
        </w:tc>
      </w:tr>
      <w:tr w:rsidR="00BC1C8E" w:rsidRPr="00BC1C8E" w14:paraId="5084D982" w14:textId="77777777" w:rsidTr="004E6C19">
        <w:tc>
          <w:tcPr>
            <w:tcW w:w="1169" w:type="dxa"/>
            <w:shd w:val="clear" w:color="auto" w:fill="auto"/>
          </w:tcPr>
          <w:p w14:paraId="5C13243B" w14:textId="77777777" w:rsidR="00BC1C8E" w:rsidRPr="00BC1C8E" w:rsidRDefault="00BC1C8E" w:rsidP="00BC1C8E">
            <w:pPr>
              <w:jc w:val="right"/>
              <w:rPr>
                <w:b/>
                <w:bCs/>
              </w:rPr>
            </w:pPr>
          </w:p>
        </w:tc>
        <w:tc>
          <w:tcPr>
            <w:tcW w:w="4788" w:type="dxa"/>
            <w:tcBorders>
              <w:right w:val="single" w:sz="8" w:space="0" w:color="auto"/>
            </w:tcBorders>
            <w:shd w:val="clear" w:color="auto" w:fill="auto"/>
          </w:tcPr>
          <w:p w14:paraId="6561CC77" w14:textId="77777777" w:rsidR="00BC1C8E" w:rsidRPr="00BC1C8E" w:rsidRDefault="00BC1C8E" w:rsidP="00BC1C8E"/>
        </w:tc>
        <w:tc>
          <w:tcPr>
            <w:tcW w:w="1165" w:type="dxa"/>
            <w:tcBorders>
              <w:left w:val="single" w:sz="8" w:space="0" w:color="auto"/>
            </w:tcBorders>
            <w:shd w:val="clear" w:color="auto" w:fill="auto"/>
          </w:tcPr>
          <w:p w14:paraId="73EDD3AF" w14:textId="77777777" w:rsidR="00BC1C8E" w:rsidRPr="00BC1C8E" w:rsidRDefault="00BC1C8E" w:rsidP="00BC1C8E">
            <w:pPr>
              <w:jc w:val="right"/>
              <w:rPr>
                <w:b/>
                <w:bCs/>
              </w:rPr>
            </w:pPr>
            <w:bookmarkStart w:id="20" w:name="lt_pId130"/>
            <w:r w:rsidRPr="00BC1C8E">
              <w:rPr>
                <w:b/>
                <w:bCs/>
              </w:rPr>
              <w:t>Fecha:</w:t>
            </w:r>
            <w:bookmarkEnd w:id="20"/>
          </w:p>
        </w:tc>
        <w:tc>
          <w:tcPr>
            <w:tcW w:w="3118" w:type="dxa"/>
            <w:shd w:val="clear" w:color="auto" w:fill="auto"/>
          </w:tcPr>
          <w:p w14:paraId="05DED458" w14:textId="77777777" w:rsidR="00BC1C8E" w:rsidRPr="00BC1C8E" w:rsidRDefault="00BC1C8E" w:rsidP="00BC1C8E">
            <w:pPr>
              <w:rPr>
                <w:highlight w:val="green"/>
              </w:rPr>
            </w:pPr>
            <w:bookmarkStart w:id="21" w:name="lt_pId131"/>
            <w:r w:rsidRPr="00BC1C8E">
              <w:rPr>
                <w:highlight w:val="green"/>
              </w:rPr>
              <w:t>[Lugar,] [Fecha]</w:t>
            </w:r>
            <w:bookmarkEnd w:id="21"/>
          </w:p>
        </w:tc>
      </w:tr>
    </w:tbl>
    <w:p w14:paraId="13992A25" w14:textId="77777777" w:rsidR="00BC1C8E" w:rsidRPr="00BC1C8E" w:rsidRDefault="00BC1C8E" w:rsidP="00BC1C8E">
      <w:r w:rsidRPr="00BC1C8E">
        <w:t>Muy Señora mía/Muy Señor mío:</w:t>
      </w:r>
    </w:p>
    <w:p w14:paraId="75F27FB7" w14:textId="77777777" w:rsidR="00BC1C8E" w:rsidRPr="00BC1C8E" w:rsidRDefault="00BC1C8E" w:rsidP="00BC1C8E">
      <w:pPr>
        <w:spacing w:after="120"/>
      </w:pPr>
      <w:bookmarkStart w:id="22" w:name="lt_pId133"/>
      <w:r w:rsidRPr="00BC1C8E">
        <w:t>En lo que respecta a la consulta a los Estados Miembros sobre el proyecto de texto determinado que figura en la Circular TSB 188, deseo informarle de la opinión de esta Administración, que se refleja en el siguiente cuadro:</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373"/>
      </w:tblGrid>
      <w:tr w:rsidR="00BC1C8E" w:rsidRPr="00BC1C8E" w14:paraId="299314C4" w14:textId="77777777" w:rsidTr="004E6C19">
        <w:trPr>
          <w:tblHeader/>
        </w:trPr>
        <w:tc>
          <w:tcPr>
            <w:tcW w:w="3256" w:type="dxa"/>
            <w:shd w:val="clear" w:color="auto" w:fill="auto"/>
            <w:vAlign w:val="center"/>
          </w:tcPr>
          <w:p w14:paraId="731A8B1C" w14:textId="77777777" w:rsidR="00BC1C8E" w:rsidRPr="00BC1C8E" w:rsidRDefault="00BC1C8E" w:rsidP="00BC1C8E">
            <w:pPr>
              <w:jc w:val="center"/>
              <w:rPr>
                <w:b/>
                <w:bCs/>
              </w:rPr>
            </w:pPr>
          </w:p>
        </w:tc>
        <w:tc>
          <w:tcPr>
            <w:tcW w:w="6373" w:type="dxa"/>
            <w:shd w:val="clear" w:color="auto" w:fill="auto"/>
            <w:vAlign w:val="center"/>
          </w:tcPr>
          <w:p w14:paraId="5C57A649" w14:textId="77777777" w:rsidR="00BC1C8E" w:rsidRPr="00BC1C8E" w:rsidRDefault="00BC1C8E" w:rsidP="00BC1C8E">
            <w:pPr>
              <w:jc w:val="center"/>
              <w:rPr>
                <w:b/>
                <w:bCs/>
              </w:rPr>
            </w:pPr>
            <w:bookmarkStart w:id="23" w:name="lt_pId134"/>
            <w:r w:rsidRPr="00BC1C8E">
              <w:rPr>
                <w:b/>
                <w:bCs/>
              </w:rPr>
              <w:t>Seleccione una de las dos casillas</w:t>
            </w:r>
            <w:bookmarkEnd w:id="23"/>
          </w:p>
        </w:tc>
      </w:tr>
      <w:tr w:rsidR="00BC1C8E" w:rsidRPr="00BC1C8E" w14:paraId="37C886AB" w14:textId="77777777" w:rsidTr="004E6C19">
        <w:trPr>
          <w:trHeight w:val="748"/>
        </w:trPr>
        <w:tc>
          <w:tcPr>
            <w:tcW w:w="3256" w:type="dxa"/>
            <w:vMerge w:val="restart"/>
            <w:shd w:val="clear" w:color="auto" w:fill="auto"/>
            <w:vAlign w:val="center"/>
          </w:tcPr>
          <w:p w14:paraId="0A90594E" w14:textId="56C725C8" w:rsidR="00BC1C8E" w:rsidRPr="00BC1C8E" w:rsidRDefault="00BC1C8E" w:rsidP="00BC1C8E">
            <w:pPr>
              <w:jc w:val="center"/>
              <w:rPr>
                <w:b/>
                <w:bCs/>
              </w:rPr>
            </w:pPr>
            <w:r w:rsidRPr="00BC1C8E">
              <w:rPr>
                <w:b/>
                <w:bCs/>
              </w:rPr>
              <w:t>Proyecto de nueva Recomendación</w:t>
            </w:r>
            <w:r w:rsidR="005216D1">
              <w:rPr>
                <w:b/>
                <w:bCs/>
              </w:rPr>
              <w:br/>
            </w:r>
            <w:r w:rsidRPr="00BC1C8E">
              <w:rPr>
                <w:b/>
                <w:bCs/>
              </w:rPr>
              <w:t xml:space="preserve">UIT-T E.1121 (ex </w:t>
            </w:r>
            <w:proofErr w:type="spellStart"/>
            <w:r w:rsidRPr="00BC1C8E">
              <w:rPr>
                <w:b/>
                <w:bCs/>
              </w:rPr>
              <w:t>E.audit</w:t>
            </w:r>
            <w:proofErr w:type="spellEnd"/>
            <w:r w:rsidRPr="00BC1C8E">
              <w:rPr>
                <w:b/>
                <w:bCs/>
              </w:rPr>
              <w:t>)</w:t>
            </w:r>
          </w:p>
        </w:tc>
        <w:tc>
          <w:tcPr>
            <w:tcW w:w="6373" w:type="dxa"/>
            <w:shd w:val="clear" w:color="auto" w:fill="auto"/>
            <w:vAlign w:val="center"/>
          </w:tcPr>
          <w:p w14:paraId="5EBEBE5B" w14:textId="77777777" w:rsidR="00BC1C8E" w:rsidRPr="00BC1C8E" w:rsidRDefault="00BC1C8E" w:rsidP="00BC1C8E">
            <w:pPr>
              <w:pStyle w:val="enumlev1"/>
            </w:pPr>
            <w:r w:rsidRPr="00BC1C8E">
              <w:rPr>
                <w:sz w:val="20"/>
              </w:rPr>
              <w:fldChar w:fldCharType="begin">
                <w:ffData>
                  <w:name w:val="Check1"/>
                  <w:enabled/>
                  <w:calcOnExit w:val="0"/>
                  <w:checkBox>
                    <w:sizeAuto/>
                    <w:default w:val="0"/>
                  </w:checkBox>
                </w:ffData>
              </w:fldChar>
            </w:r>
            <w:r w:rsidRPr="00BC1C8E">
              <w:rPr>
                <w:sz w:val="20"/>
              </w:rPr>
              <w:instrText xml:space="preserve"> FORMCHECKBOX </w:instrText>
            </w:r>
            <w:r w:rsidR="00005F7A">
              <w:rPr>
                <w:sz w:val="20"/>
              </w:rPr>
            </w:r>
            <w:r w:rsidR="00005F7A">
              <w:rPr>
                <w:sz w:val="20"/>
              </w:rPr>
              <w:fldChar w:fldCharType="separate"/>
            </w:r>
            <w:r w:rsidRPr="00BC1C8E">
              <w:rPr>
                <w:sz w:val="20"/>
              </w:rPr>
              <w:fldChar w:fldCharType="end"/>
            </w:r>
            <w:r w:rsidRPr="00BC1C8E">
              <w:rPr>
                <w:sz w:val="18"/>
                <w:szCs w:val="18"/>
              </w:rPr>
              <w:tab/>
            </w:r>
            <w:bookmarkStart w:id="24" w:name="lt_pId136"/>
            <w:r w:rsidRPr="00BC1C8E">
              <w:rPr>
                <w:b/>
                <w:bCs/>
              </w:rPr>
              <w:t>otorga autoridad</w:t>
            </w:r>
            <w:r w:rsidRPr="00BC1C8E">
              <w:t xml:space="preserve"> a la Comisión de Estudio 2 a fin de examinar este texto para aprobación (en ese caso, seleccione una de las dos opciones siguientes):</w:t>
            </w:r>
            <w:bookmarkEnd w:id="24"/>
          </w:p>
          <w:p w14:paraId="56998BAA" w14:textId="77777777" w:rsidR="00BC1C8E" w:rsidRPr="00BC1C8E" w:rsidRDefault="00BC1C8E" w:rsidP="00BC1C8E">
            <w:pPr>
              <w:pStyle w:val="enumlev2"/>
            </w:pPr>
            <w:r w:rsidRPr="00BC1C8E">
              <w:rPr>
                <w:sz w:val="18"/>
                <w:szCs w:val="18"/>
              </w:rPr>
              <w:t>⃝</w:t>
            </w:r>
            <w:r w:rsidRPr="00BC1C8E">
              <w:rPr>
                <w:sz w:val="18"/>
                <w:szCs w:val="18"/>
              </w:rPr>
              <w:tab/>
            </w:r>
            <w:bookmarkStart w:id="25" w:name="lt_pId138"/>
            <w:r w:rsidRPr="00BC1C8E">
              <w:t xml:space="preserve">Sin comentarios o cambios </w:t>
            </w:r>
            <w:bookmarkEnd w:id="25"/>
            <w:r w:rsidRPr="00BC1C8E">
              <w:t>propuestos</w:t>
            </w:r>
          </w:p>
          <w:p w14:paraId="5B8FD418" w14:textId="77777777" w:rsidR="00BC1C8E" w:rsidRPr="00BC1C8E" w:rsidRDefault="00BC1C8E" w:rsidP="00BC1C8E">
            <w:pPr>
              <w:pStyle w:val="enumlev2"/>
            </w:pPr>
            <w:r w:rsidRPr="00BC1C8E">
              <w:rPr>
                <w:sz w:val="18"/>
                <w:szCs w:val="18"/>
              </w:rPr>
              <w:t>⃝</w:t>
            </w:r>
            <w:r w:rsidRPr="00BC1C8E">
              <w:rPr>
                <w:sz w:val="18"/>
                <w:szCs w:val="18"/>
              </w:rPr>
              <w:tab/>
            </w:r>
            <w:bookmarkStart w:id="26" w:name="lt_pId140"/>
            <w:r w:rsidRPr="00BC1C8E">
              <w:t>Se adjuntan comentarios o cambios propuestos</w:t>
            </w:r>
            <w:bookmarkEnd w:id="26"/>
          </w:p>
        </w:tc>
      </w:tr>
      <w:tr w:rsidR="00BC1C8E" w:rsidRPr="00BC1C8E" w14:paraId="3AAB9FFD" w14:textId="77777777" w:rsidTr="004E6C19">
        <w:trPr>
          <w:trHeight w:val="747"/>
        </w:trPr>
        <w:tc>
          <w:tcPr>
            <w:tcW w:w="3256" w:type="dxa"/>
            <w:vMerge/>
            <w:shd w:val="clear" w:color="auto" w:fill="auto"/>
            <w:vAlign w:val="center"/>
          </w:tcPr>
          <w:p w14:paraId="22E321D1" w14:textId="77777777" w:rsidR="00BC1C8E" w:rsidRPr="00BC1C8E" w:rsidRDefault="00BC1C8E" w:rsidP="00BC1C8E">
            <w:pPr>
              <w:jc w:val="center"/>
              <w:rPr>
                <w:b/>
                <w:bCs/>
                <w:sz w:val="22"/>
                <w:szCs w:val="22"/>
              </w:rPr>
            </w:pPr>
          </w:p>
        </w:tc>
        <w:tc>
          <w:tcPr>
            <w:tcW w:w="6373" w:type="dxa"/>
            <w:shd w:val="clear" w:color="auto" w:fill="auto"/>
            <w:vAlign w:val="center"/>
          </w:tcPr>
          <w:p w14:paraId="7E9524A4" w14:textId="77777777" w:rsidR="00BC1C8E" w:rsidRPr="00BC1C8E" w:rsidRDefault="00BC1C8E" w:rsidP="00BC1C8E">
            <w:pPr>
              <w:pStyle w:val="enumlev1"/>
              <w:rPr>
                <w:sz w:val="18"/>
                <w:szCs w:val="18"/>
              </w:rPr>
            </w:pPr>
            <w:r w:rsidRPr="00BC1C8E">
              <w:rPr>
                <w:sz w:val="20"/>
              </w:rPr>
              <w:fldChar w:fldCharType="begin">
                <w:ffData>
                  <w:name w:val="Check1"/>
                  <w:enabled/>
                  <w:calcOnExit w:val="0"/>
                  <w:checkBox>
                    <w:sizeAuto/>
                    <w:default w:val="0"/>
                  </w:checkBox>
                </w:ffData>
              </w:fldChar>
            </w:r>
            <w:r w:rsidRPr="00BC1C8E">
              <w:rPr>
                <w:sz w:val="20"/>
              </w:rPr>
              <w:instrText xml:space="preserve"> FORMCHECKBOX </w:instrText>
            </w:r>
            <w:r w:rsidR="00005F7A">
              <w:rPr>
                <w:sz w:val="20"/>
              </w:rPr>
            </w:r>
            <w:r w:rsidR="00005F7A">
              <w:rPr>
                <w:sz w:val="20"/>
              </w:rPr>
              <w:fldChar w:fldCharType="separate"/>
            </w:r>
            <w:r w:rsidRPr="00BC1C8E">
              <w:rPr>
                <w:sz w:val="20"/>
              </w:rPr>
              <w:fldChar w:fldCharType="end"/>
            </w:r>
            <w:r w:rsidRPr="00BC1C8E">
              <w:rPr>
                <w:sz w:val="20"/>
              </w:rPr>
              <w:tab/>
            </w:r>
            <w:bookmarkStart w:id="27" w:name="lt_pId141"/>
            <w:r w:rsidRPr="00BC1C8E">
              <w:rPr>
                <w:b/>
                <w:bCs/>
              </w:rPr>
              <w:t>no otorga autoridad</w:t>
            </w:r>
            <w:r w:rsidRPr="00BC1C8E">
              <w:t xml:space="preserve"> a la Comisión de Estudio 2 a fin de examinar este texto para aprobación (se adjuntan los motivos de esta decisión y las posibles modificaciones que permitirían el avance de los trabajos)</w:t>
            </w:r>
            <w:bookmarkEnd w:id="27"/>
          </w:p>
        </w:tc>
      </w:tr>
    </w:tbl>
    <w:p w14:paraId="652582DA" w14:textId="77777777" w:rsidR="00BC1C8E" w:rsidRPr="00BC1C8E" w:rsidRDefault="00BC1C8E" w:rsidP="00BC1C8E">
      <w:pPr>
        <w:spacing w:before="360"/>
      </w:pPr>
      <w:bookmarkStart w:id="28" w:name="lt_pId163"/>
      <w:r w:rsidRPr="00BC1C8E">
        <w:t>Atentamente,</w:t>
      </w:r>
      <w:bookmarkEnd w:id="28"/>
    </w:p>
    <w:p w14:paraId="1AD7562C" w14:textId="52118411" w:rsidR="005216D1" w:rsidRPr="00150519" w:rsidRDefault="00BC1C8E" w:rsidP="00150519">
      <w:pPr>
        <w:spacing w:before="600"/>
      </w:pPr>
      <w:bookmarkStart w:id="29" w:name="lt_pId164"/>
      <w:r w:rsidRPr="00BC1C8E">
        <w:rPr>
          <w:highlight w:val="green"/>
        </w:rPr>
        <w:t>[Nombre]</w:t>
      </w:r>
      <w:bookmarkStart w:id="30" w:name="lt_pId165"/>
      <w:bookmarkEnd w:id="29"/>
      <w:r w:rsidRPr="00BC1C8E">
        <w:rPr>
          <w:highlight w:val="green"/>
        </w:rPr>
        <w:br/>
        <w:t>[Cargo oficial/Título]</w:t>
      </w:r>
      <w:bookmarkStart w:id="31" w:name="lt_pId166"/>
      <w:bookmarkEnd w:id="30"/>
      <w:r w:rsidRPr="00BC1C8E">
        <w:br/>
        <w:t xml:space="preserve">Administración de </w:t>
      </w:r>
      <w:r w:rsidRPr="00BC1C8E">
        <w:rPr>
          <w:highlight w:val="green"/>
        </w:rPr>
        <w:t>[Estado Miembro]</w:t>
      </w:r>
      <w:bookmarkEnd w:id="31"/>
    </w:p>
    <w:sectPr w:rsidR="005216D1" w:rsidRPr="00150519" w:rsidSect="00B87E9E">
      <w:headerReference w:type="default" r:id="rId11"/>
      <w:footerReference w:type="first" r:id="rId12"/>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C4425" w14:textId="77777777" w:rsidR="00487F89" w:rsidRDefault="00487F89">
      <w:r>
        <w:separator/>
      </w:r>
    </w:p>
  </w:endnote>
  <w:endnote w:type="continuationSeparator" w:id="0">
    <w:p w14:paraId="3E911137" w14:textId="77777777" w:rsidR="00487F89" w:rsidRDefault="00487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A405C"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319CD" w14:textId="77777777" w:rsidR="00487F89" w:rsidRDefault="00487F89">
      <w:r>
        <w:t>____________________</w:t>
      </w:r>
    </w:p>
  </w:footnote>
  <w:footnote w:type="continuationSeparator" w:id="0">
    <w:p w14:paraId="783D48E1" w14:textId="77777777" w:rsidR="00487F89" w:rsidRDefault="00487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473F0" w14:textId="082AC4CB"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14:paraId="6BCC64FA" w14:textId="714EA4BC" w:rsidR="00BC1C8E" w:rsidRPr="00303D62" w:rsidRDefault="00BC1C8E">
    <w:pPr>
      <w:pStyle w:val="Header"/>
      <w:rPr>
        <w:sz w:val="18"/>
        <w:szCs w:val="18"/>
      </w:rPr>
    </w:pPr>
    <w:r>
      <w:rPr>
        <w:rStyle w:val="PageNumber"/>
        <w:sz w:val="18"/>
        <w:szCs w:val="18"/>
      </w:rPr>
      <w:t>Circular TSB 188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0"/>
  </w:num>
  <w:num w:numId="2" w16cid:durableId="1345282128">
    <w:abstractNumId w:val="3"/>
  </w:num>
  <w:num w:numId="3" w16cid:durableId="1069613404">
    <w:abstractNumId w:val="2"/>
  </w:num>
  <w:num w:numId="4" w16cid:durableId="374936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F89"/>
    <w:rsid w:val="00002529"/>
    <w:rsid w:val="00005F7A"/>
    <w:rsid w:val="00085662"/>
    <w:rsid w:val="000C382F"/>
    <w:rsid w:val="001173CC"/>
    <w:rsid w:val="001350B9"/>
    <w:rsid w:val="0014464D"/>
    <w:rsid w:val="00150519"/>
    <w:rsid w:val="001A54CC"/>
    <w:rsid w:val="00257FB4"/>
    <w:rsid w:val="0027483C"/>
    <w:rsid w:val="002E496E"/>
    <w:rsid w:val="00303D62"/>
    <w:rsid w:val="00335367"/>
    <w:rsid w:val="00370C2D"/>
    <w:rsid w:val="003D1E8D"/>
    <w:rsid w:val="003D673B"/>
    <w:rsid w:val="003F2855"/>
    <w:rsid w:val="00401C20"/>
    <w:rsid w:val="00487F89"/>
    <w:rsid w:val="004A7957"/>
    <w:rsid w:val="004C4144"/>
    <w:rsid w:val="005216D1"/>
    <w:rsid w:val="0055719E"/>
    <w:rsid w:val="006969B4"/>
    <w:rsid w:val="006E4F7B"/>
    <w:rsid w:val="00781E2A"/>
    <w:rsid w:val="007933A2"/>
    <w:rsid w:val="007B6316"/>
    <w:rsid w:val="00814503"/>
    <w:rsid w:val="008258C2"/>
    <w:rsid w:val="008505BD"/>
    <w:rsid w:val="00850C78"/>
    <w:rsid w:val="00876165"/>
    <w:rsid w:val="00884D12"/>
    <w:rsid w:val="008C17AD"/>
    <w:rsid w:val="008D02CD"/>
    <w:rsid w:val="0091370C"/>
    <w:rsid w:val="0095172A"/>
    <w:rsid w:val="009A0BA0"/>
    <w:rsid w:val="00A54E47"/>
    <w:rsid w:val="00AB6E3A"/>
    <w:rsid w:val="00AE7093"/>
    <w:rsid w:val="00B422BC"/>
    <w:rsid w:val="00B43F77"/>
    <w:rsid w:val="00B55A3E"/>
    <w:rsid w:val="00B87E9E"/>
    <w:rsid w:val="00B95F0A"/>
    <w:rsid w:val="00B96180"/>
    <w:rsid w:val="00BC1C8E"/>
    <w:rsid w:val="00C116FE"/>
    <w:rsid w:val="00C17AC0"/>
    <w:rsid w:val="00C34772"/>
    <w:rsid w:val="00C5465A"/>
    <w:rsid w:val="00D54642"/>
    <w:rsid w:val="00D834E7"/>
    <w:rsid w:val="00DD77C9"/>
    <w:rsid w:val="00DF3538"/>
    <w:rsid w:val="00E839B0"/>
    <w:rsid w:val="00E92C09"/>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A43535"/>
  <w15:docId w15:val="{747783D1-D78C-4215-84ED-D3CB97B0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487F89"/>
    <w:rPr>
      <w:color w:val="605E5C"/>
      <w:shd w:val="clear" w:color="auto" w:fill="E1DFDD"/>
    </w:rPr>
  </w:style>
  <w:style w:type="paragraph" w:customStyle="1" w:styleId="Reas">
    <w:name w:val="Reas"/>
    <w:basedOn w:val="Normal"/>
    <w:rsid w:val="00BC1C8E"/>
    <w:pPr>
      <w:tabs>
        <w:tab w:val="clear" w:pos="794"/>
        <w:tab w:val="clear" w:pos="1191"/>
        <w:tab w:val="clear" w:pos="1588"/>
        <w:tab w:val="clear" w:pos="1985"/>
      </w:tabs>
      <w:overflowPunct/>
      <w:autoSpaceDE/>
      <w:autoSpaceDN/>
      <w:adjustRightInd/>
      <w:spacing w:before="0"/>
      <w:textAlignment w:val="auto"/>
    </w:pPr>
    <w:rPr>
      <w:rFonts w:ascii="Times New Roman" w:hAnsi="Times New Roman"/>
    </w:rPr>
  </w:style>
  <w:style w:type="paragraph" w:customStyle="1" w:styleId="Reason">
    <w:name w:val="Reason"/>
    <w:basedOn w:val="Normal"/>
    <w:rsid w:val="00150519"/>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tu.int/md/T22-SG02-R-0017/es" TargetMode="Externa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23</TotalTime>
  <Pages>4</Pages>
  <Words>706</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4596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Marin Matas, Juan Gabriel</dc:creator>
  <cp:lastModifiedBy>Bilani, Joumana</cp:lastModifiedBy>
  <cp:revision>4</cp:revision>
  <cp:lastPrinted>2011-04-15T08:24:00Z</cp:lastPrinted>
  <dcterms:created xsi:type="dcterms:W3CDTF">2024-03-13T10:18:00Z</dcterms:created>
  <dcterms:modified xsi:type="dcterms:W3CDTF">2024-04-15T08:12:00Z</dcterms:modified>
</cp:coreProperties>
</file>