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CellMar>
          <w:left w:w="0" w:type="dxa"/>
          <w:right w:w="0" w:type="dxa"/>
        </w:tblCellMar>
        <w:tblLook w:val="0000" w:firstRow="0" w:lastRow="0" w:firstColumn="0" w:lastColumn="0" w:noHBand="0" w:noVBand="0"/>
      </w:tblPr>
      <w:tblGrid>
        <w:gridCol w:w="1421"/>
        <w:gridCol w:w="3399"/>
        <w:gridCol w:w="5051"/>
      </w:tblGrid>
      <w:tr w:rsidR="00EF6A23" w:rsidRPr="00EE361F" w14:paraId="3FDAE1F3" w14:textId="77777777" w:rsidTr="005370EE">
        <w:trPr>
          <w:cantSplit/>
        </w:trPr>
        <w:tc>
          <w:tcPr>
            <w:tcW w:w="1421" w:type="dxa"/>
            <w:vAlign w:val="center"/>
          </w:tcPr>
          <w:p w14:paraId="3DE42CAA" w14:textId="77777777" w:rsidR="00EF6A23" w:rsidRPr="00EE361F" w:rsidRDefault="00EF6A23" w:rsidP="00D14F31">
            <w:pPr>
              <w:tabs>
                <w:tab w:val="right" w:pos="8732"/>
              </w:tabs>
              <w:spacing w:before="0"/>
              <w:rPr>
                <w:b/>
                <w:bCs/>
                <w:iCs/>
                <w:color w:val="FFFFFF"/>
                <w:sz w:val="30"/>
                <w:szCs w:val="30"/>
              </w:rPr>
            </w:pPr>
            <w:r w:rsidRPr="00EE361F">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EE361F" w:rsidRDefault="00EF6A23" w:rsidP="00EF6A23">
            <w:pPr>
              <w:spacing w:before="0"/>
              <w:rPr>
                <w:rFonts w:cs="Times New Roman Bold"/>
                <w:b/>
                <w:bCs/>
                <w:iCs/>
                <w:smallCaps/>
                <w:sz w:val="34"/>
                <w:szCs w:val="34"/>
              </w:rPr>
            </w:pPr>
            <w:r w:rsidRPr="00EE361F">
              <w:rPr>
                <w:rFonts w:cs="Times New Roman Bold"/>
                <w:b/>
                <w:bCs/>
                <w:iCs/>
                <w:smallCaps/>
                <w:sz w:val="34"/>
                <w:szCs w:val="34"/>
              </w:rPr>
              <w:t>Union internationale des télécommunications</w:t>
            </w:r>
          </w:p>
          <w:p w14:paraId="089E66D0" w14:textId="77777777" w:rsidR="00EF6A23" w:rsidRPr="00EE361F" w:rsidRDefault="00EF6A23" w:rsidP="00EF6A23">
            <w:pPr>
              <w:spacing w:before="0"/>
              <w:rPr>
                <w:color w:val="FFFFFF"/>
                <w:sz w:val="26"/>
                <w:szCs w:val="26"/>
              </w:rPr>
            </w:pPr>
            <w:r w:rsidRPr="00EE361F">
              <w:rPr>
                <w:rFonts w:cs="Times New Roman Bold"/>
                <w:b/>
                <w:bCs/>
                <w:iCs/>
                <w:smallCaps/>
                <w:sz w:val="28"/>
                <w:szCs w:val="28"/>
              </w:rPr>
              <w:t>B</w:t>
            </w:r>
            <w:r w:rsidRPr="00EE361F">
              <w:rPr>
                <w:b/>
                <w:bCs/>
                <w:iCs/>
                <w:smallCaps/>
                <w:sz w:val="28"/>
                <w:szCs w:val="28"/>
              </w:rPr>
              <w:t>ureau de la Normalisation des Télécommunications</w:t>
            </w:r>
          </w:p>
        </w:tc>
      </w:tr>
      <w:tr w:rsidR="00036F4F" w:rsidRPr="005370EE" w14:paraId="18B25741" w14:textId="77777777" w:rsidTr="005370EE">
        <w:trPr>
          <w:cantSplit/>
        </w:trPr>
        <w:tc>
          <w:tcPr>
            <w:tcW w:w="1421" w:type="dxa"/>
          </w:tcPr>
          <w:p w14:paraId="4B1AFD72" w14:textId="77777777" w:rsidR="00036F4F" w:rsidRPr="005370EE"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5370EE" w:rsidRDefault="00036F4F" w:rsidP="00A5280F">
            <w:pPr>
              <w:tabs>
                <w:tab w:val="left" w:pos="4111"/>
              </w:tabs>
              <w:spacing w:before="10"/>
              <w:ind w:left="57"/>
              <w:rPr>
                <w:rFonts w:cstheme="minorHAnsi"/>
                <w:b/>
                <w:sz w:val="22"/>
                <w:szCs w:val="22"/>
              </w:rPr>
            </w:pPr>
          </w:p>
        </w:tc>
        <w:tc>
          <w:tcPr>
            <w:tcW w:w="5051" w:type="dxa"/>
          </w:tcPr>
          <w:p w14:paraId="0DC34ECA" w14:textId="5F35DD90" w:rsidR="00036F4F" w:rsidRPr="005370EE"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5370EE">
              <w:rPr>
                <w:rFonts w:cstheme="minorHAnsi"/>
                <w:sz w:val="22"/>
                <w:szCs w:val="22"/>
              </w:rPr>
              <w:t>Genève, le</w:t>
            </w:r>
            <w:r w:rsidR="004419E9" w:rsidRPr="005370EE">
              <w:rPr>
                <w:rFonts w:cstheme="minorHAnsi"/>
                <w:sz w:val="22"/>
                <w:szCs w:val="22"/>
              </w:rPr>
              <w:t xml:space="preserve"> </w:t>
            </w:r>
            <w:r w:rsidR="00EC7F02" w:rsidRPr="005370EE">
              <w:rPr>
                <w:rFonts w:cstheme="minorHAnsi"/>
                <w:sz w:val="22"/>
                <w:szCs w:val="22"/>
              </w:rPr>
              <w:t>7 mars 2024</w:t>
            </w:r>
          </w:p>
        </w:tc>
      </w:tr>
      <w:tr w:rsidR="00445B68" w:rsidRPr="005370EE" w14:paraId="16CDDFEF" w14:textId="77777777" w:rsidTr="005370EE">
        <w:trPr>
          <w:cantSplit/>
          <w:trHeight w:val="340"/>
        </w:trPr>
        <w:tc>
          <w:tcPr>
            <w:tcW w:w="1421" w:type="dxa"/>
          </w:tcPr>
          <w:p w14:paraId="3EFF375D" w14:textId="58556577" w:rsidR="00445B68" w:rsidRPr="005370EE" w:rsidRDefault="00445B68" w:rsidP="005370EE">
            <w:pPr>
              <w:tabs>
                <w:tab w:val="left" w:pos="4111"/>
              </w:tabs>
              <w:spacing w:before="10"/>
              <w:ind w:left="135"/>
              <w:rPr>
                <w:rFonts w:cstheme="minorHAnsi"/>
                <w:b/>
                <w:bCs/>
                <w:sz w:val="22"/>
                <w:szCs w:val="22"/>
              </w:rPr>
            </w:pPr>
            <w:proofErr w:type="gramStart"/>
            <w:r w:rsidRPr="005370EE">
              <w:rPr>
                <w:rFonts w:cstheme="minorHAnsi"/>
                <w:b/>
                <w:bCs/>
                <w:sz w:val="22"/>
                <w:szCs w:val="22"/>
              </w:rPr>
              <w:t>Réf.:</w:t>
            </w:r>
            <w:proofErr w:type="gramEnd"/>
          </w:p>
        </w:tc>
        <w:tc>
          <w:tcPr>
            <w:tcW w:w="3399" w:type="dxa"/>
          </w:tcPr>
          <w:p w14:paraId="5FFBBC9B" w14:textId="0684C70A" w:rsidR="00445B68" w:rsidRPr="005370EE" w:rsidRDefault="00445B68" w:rsidP="00A5280F">
            <w:pPr>
              <w:tabs>
                <w:tab w:val="left" w:pos="4111"/>
              </w:tabs>
              <w:spacing w:before="10"/>
              <w:ind w:left="57"/>
              <w:rPr>
                <w:rFonts w:cstheme="minorHAnsi"/>
                <w:b/>
                <w:sz w:val="22"/>
                <w:szCs w:val="22"/>
              </w:rPr>
            </w:pPr>
            <w:r w:rsidRPr="005370EE">
              <w:rPr>
                <w:rFonts w:cstheme="minorHAnsi"/>
                <w:b/>
                <w:sz w:val="22"/>
                <w:szCs w:val="22"/>
              </w:rPr>
              <w:t xml:space="preserve">Circulaire TSB </w:t>
            </w:r>
            <w:r w:rsidR="00EC7F02" w:rsidRPr="005370EE">
              <w:rPr>
                <w:rFonts w:cstheme="minorHAnsi"/>
                <w:b/>
                <w:sz w:val="22"/>
                <w:szCs w:val="22"/>
              </w:rPr>
              <w:t>187</w:t>
            </w:r>
          </w:p>
          <w:p w14:paraId="577F6DA2" w14:textId="0A08A766" w:rsidR="00445B68" w:rsidRPr="005370EE" w:rsidRDefault="00EC7F02" w:rsidP="00307FB4">
            <w:pPr>
              <w:tabs>
                <w:tab w:val="left" w:pos="4111"/>
              </w:tabs>
              <w:spacing w:before="10"/>
              <w:ind w:left="57"/>
              <w:rPr>
                <w:rFonts w:cstheme="minorHAnsi"/>
                <w:b/>
                <w:bCs/>
                <w:sz w:val="22"/>
                <w:szCs w:val="22"/>
              </w:rPr>
            </w:pPr>
            <w:r w:rsidRPr="005370EE">
              <w:rPr>
                <w:rFonts w:cstheme="minorHAnsi"/>
                <w:sz w:val="22"/>
                <w:szCs w:val="22"/>
              </w:rPr>
              <w:t>Groupe FG-MV/CB</w:t>
            </w:r>
          </w:p>
        </w:tc>
        <w:tc>
          <w:tcPr>
            <w:tcW w:w="5051" w:type="dxa"/>
            <w:vMerge w:val="restart"/>
          </w:tcPr>
          <w:p w14:paraId="56FFB697" w14:textId="77777777" w:rsidR="00307FB4" w:rsidRPr="005370EE"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5370EE">
              <w:rPr>
                <w:rFonts w:cstheme="minorHAnsi"/>
                <w:b/>
                <w:bCs/>
                <w:sz w:val="22"/>
                <w:szCs w:val="22"/>
              </w:rPr>
              <w:t>Aux:</w:t>
            </w:r>
            <w:proofErr w:type="gramEnd"/>
          </w:p>
          <w:p w14:paraId="35271D8E" w14:textId="536C0CE8" w:rsidR="00307FB4" w:rsidRPr="005370EE" w:rsidRDefault="00307FB4" w:rsidP="00307FB4">
            <w:pPr>
              <w:tabs>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 xml:space="preserve">Administrations des États Membres de </w:t>
            </w:r>
            <w:proofErr w:type="gramStart"/>
            <w:r w:rsidRPr="005370EE">
              <w:rPr>
                <w:rFonts w:cstheme="minorHAnsi"/>
                <w:sz w:val="22"/>
                <w:szCs w:val="22"/>
              </w:rPr>
              <w:t>l'Union;</w:t>
            </w:r>
            <w:proofErr w:type="gramEnd"/>
          </w:p>
          <w:p w14:paraId="38A5A6AE" w14:textId="47344D7B" w:rsidR="00307FB4" w:rsidRPr="005370EE" w:rsidRDefault="00307FB4" w:rsidP="00307FB4">
            <w:pPr>
              <w:tabs>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Membres du Secteur de l'UIT-</w:t>
            </w:r>
            <w:proofErr w:type="gramStart"/>
            <w:r w:rsidRPr="005370EE">
              <w:rPr>
                <w:rFonts w:cstheme="minorHAnsi"/>
                <w:sz w:val="22"/>
                <w:szCs w:val="22"/>
              </w:rPr>
              <w:t>T;</w:t>
            </w:r>
            <w:proofErr w:type="gramEnd"/>
          </w:p>
          <w:p w14:paraId="45F82FBC" w14:textId="7313CB0A" w:rsidR="00307FB4" w:rsidRPr="005370EE" w:rsidRDefault="00307FB4" w:rsidP="00307FB4">
            <w:pPr>
              <w:tabs>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Associés de l'UIT-</w:t>
            </w:r>
            <w:proofErr w:type="gramStart"/>
            <w:r w:rsidRPr="005370EE">
              <w:rPr>
                <w:rFonts w:cstheme="minorHAnsi"/>
                <w:sz w:val="22"/>
                <w:szCs w:val="22"/>
              </w:rPr>
              <w:t>T;</w:t>
            </w:r>
            <w:proofErr w:type="gramEnd"/>
          </w:p>
          <w:p w14:paraId="461460AE" w14:textId="5666B808" w:rsidR="00445B68" w:rsidRPr="005370EE" w:rsidRDefault="00307FB4" w:rsidP="00307FB4">
            <w:pPr>
              <w:tabs>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Établissements universitaires participant aux travaux de l'UIT</w:t>
            </w:r>
          </w:p>
        </w:tc>
      </w:tr>
      <w:tr w:rsidR="00F61E0E" w:rsidRPr="005370EE" w14:paraId="06A3F0E7" w14:textId="77777777" w:rsidTr="005370EE">
        <w:trPr>
          <w:cantSplit/>
          <w:trHeight w:val="340"/>
        </w:trPr>
        <w:tc>
          <w:tcPr>
            <w:tcW w:w="1421" w:type="dxa"/>
          </w:tcPr>
          <w:p w14:paraId="5CF43A7B" w14:textId="44AB3381" w:rsidR="00F61E0E" w:rsidRPr="005370EE" w:rsidRDefault="00F61E0E" w:rsidP="005370EE">
            <w:pPr>
              <w:tabs>
                <w:tab w:val="left" w:pos="4111"/>
              </w:tabs>
              <w:spacing w:before="10"/>
              <w:ind w:left="135"/>
              <w:rPr>
                <w:rFonts w:cstheme="minorHAnsi"/>
                <w:b/>
                <w:bCs/>
                <w:sz w:val="22"/>
                <w:szCs w:val="22"/>
              </w:rPr>
            </w:pPr>
            <w:proofErr w:type="gramStart"/>
            <w:r w:rsidRPr="005370EE">
              <w:rPr>
                <w:rFonts w:cstheme="minorHAnsi"/>
                <w:b/>
                <w:bCs/>
                <w:sz w:val="22"/>
                <w:szCs w:val="22"/>
              </w:rPr>
              <w:t>Tél.:</w:t>
            </w:r>
            <w:proofErr w:type="gramEnd"/>
          </w:p>
        </w:tc>
        <w:tc>
          <w:tcPr>
            <w:tcW w:w="3399" w:type="dxa"/>
          </w:tcPr>
          <w:p w14:paraId="2074781F" w14:textId="76E3C236" w:rsidR="00F61E0E" w:rsidRPr="005370EE" w:rsidRDefault="00F61E0E" w:rsidP="00F61E0E">
            <w:pPr>
              <w:tabs>
                <w:tab w:val="left" w:pos="4111"/>
              </w:tabs>
              <w:spacing w:before="10"/>
              <w:ind w:left="57"/>
              <w:rPr>
                <w:rFonts w:cstheme="minorHAnsi"/>
                <w:b/>
                <w:sz w:val="22"/>
                <w:szCs w:val="22"/>
              </w:rPr>
            </w:pPr>
            <w:r w:rsidRPr="005370EE">
              <w:rPr>
                <w:rFonts w:cstheme="minorHAnsi"/>
                <w:sz w:val="22"/>
                <w:szCs w:val="22"/>
              </w:rPr>
              <w:t>+41 22 730 6301</w:t>
            </w:r>
          </w:p>
        </w:tc>
        <w:tc>
          <w:tcPr>
            <w:tcW w:w="5051" w:type="dxa"/>
            <w:vMerge/>
          </w:tcPr>
          <w:p w14:paraId="2F310545" w14:textId="77777777" w:rsidR="00F61E0E" w:rsidRPr="005370EE" w:rsidRDefault="00F61E0E" w:rsidP="00F61E0E">
            <w:pPr>
              <w:tabs>
                <w:tab w:val="clear" w:pos="794"/>
                <w:tab w:val="clear" w:pos="1191"/>
                <w:tab w:val="clear" w:pos="1588"/>
                <w:tab w:val="clear" w:pos="1985"/>
                <w:tab w:val="left" w:pos="284"/>
              </w:tabs>
              <w:spacing w:before="0"/>
              <w:ind w:left="284" w:hanging="227"/>
              <w:rPr>
                <w:rFonts w:cstheme="minorHAnsi"/>
                <w:sz w:val="22"/>
                <w:szCs w:val="22"/>
              </w:rPr>
            </w:pPr>
          </w:p>
        </w:tc>
      </w:tr>
      <w:tr w:rsidR="00F61E0E" w:rsidRPr="005370EE" w14:paraId="724FD23E" w14:textId="77777777" w:rsidTr="005370EE">
        <w:trPr>
          <w:cantSplit/>
        </w:trPr>
        <w:tc>
          <w:tcPr>
            <w:tcW w:w="1421" w:type="dxa"/>
          </w:tcPr>
          <w:p w14:paraId="73149CCD" w14:textId="1A9E9678" w:rsidR="00F61E0E" w:rsidRPr="005370EE" w:rsidRDefault="00F61E0E" w:rsidP="005370EE">
            <w:pPr>
              <w:tabs>
                <w:tab w:val="left" w:pos="4111"/>
              </w:tabs>
              <w:spacing w:before="10"/>
              <w:ind w:left="135"/>
              <w:rPr>
                <w:rFonts w:cstheme="minorHAnsi"/>
                <w:b/>
                <w:bCs/>
                <w:sz w:val="22"/>
                <w:szCs w:val="22"/>
              </w:rPr>
            </w:pPr>
            <w:proofErr w:type="gramStart"/>
            <w:r w:rsidRPr="005370EE">
              <w:rPr>
                <w:rFonts w:cstheme="minorHAnsi"/>
                <w:b/>
                <w:bCs/>
                <w:sz w:val="22"/>
                <w:szCs w:val="22"/>
              </w:rPr>
              <w:t>Télécopie:</w:t>
            </w:r>
            <w:proofErr w:type="gramEnd"/>
          </w:p>
        </w:tc>
        <w:tc>
          <w:tcPr>
            <w:tcW w:w="3399" w:type="dxa"/>
          </w:tcPr>
          <w:p w14:paraId="78D06186" w14:textId="50FF2F04" w:rsidR="00F61E0E" w:rsidRPr="005370EE" w:rsidRDefault="00F61E0E" w:rsidP="00F61E0E">
            <w:pPr>
              <w:tabs>
                <w:tab w:val="left" w:pos="4111"/>
              </w:tabs>
              <w:spacing w:before="0"/>
              <w:ind w:left="57"/>
              <w:rPr>
                <w:rFonts w:cstheme="minorHAnsi"/>
                <w:sz w:val="22"/>
                <w:szCs w:val="22"/>
              </w:rPr>
            </w:pPr>
            <w:r w:rsidRPr="005370EE">
              <w:rPr>
                <w:rFonts w:cstheme="minorHAnsi"/>
                <w:sz w:val="22"/>
                <w:szCs w:val="22"/>
              </w:rPr>
              <w:t>+41 22 730 5853</w:t>
            </w:r>
          </w:p>
        </w:tc>
        <w:tc>
          <w:tcPr>
            <w:tcW w:w="5051" w:type="dxa"/>
            <w:vMerge/>
          </w:tcPr>
          <w:p w14:paraId="6D3A5806" w14:textId="77777777" w:rsidR="00F61E0E" w:rsidRPr="005370EE" w:rsidRDefault="00F61E0E" w:rsidP="00F61E0E">
            <w:pPr>
              <w:tabs>
                <w:tab w:val="left" w:pos="226"/>
                <w:tab w:val="left" w:pos="4111"/>
              </w:tabs>
              <w:spacing w:before="0"/>
              <w:ind w:left="226" w:hanging="226"/>
              <w:rPr>
                <w:rFonts w:cstheme="minorHAnsi"/>
                <w:b/>
                <w:sz w:val="22"/>
                <w:szCs w:val="22"/>
              </w:rPr>
            </w:pPr>
          </w:p>
        </w:tc>
      </w:tr>
      <w:tr w:rsidR="00F61E0E" w:rsidRPr="005370EE" w14:paraId="030F9AE5" w14:textId="77777777" w:rsidTr="005370EE">
        <w:trPr>
          <w:cantSplit/>
          <w:trHeight w:val="586"/>
        </w:trPr>
        <w:tc>
          <w:tcPr>
            <w:tcW w:w="1421" w:type="dxa"/>
            <w:vMerge w:val="restart"/>
          </w:tcPr>
          <w:p w14:paraId="7B417C4C" w14:textId="0ADE2A6F" w:rsidR="00F61E0E" w:rsidRPr="005370EE" w:rsidRDefault="00F61E0E" w:rsidP="005370EE">
            <w:pPr>
              <w:tabs>
                <w:tab w:val="left" w:pos="4111"/>
              </w:tabs>
              <w:spacing w:before="10"/>
              <w:ind w:left="135"/>
              <w:rPr>
                <w:rFonts w:cstheme="minorHAnsi"/>
                <w:b/>
                <w:bCs/>
                <w:sz w:val="22"/>
                <w:szCs w:val="22"/>
              </w:rPr>
            </w:pPr>
            <w:proofErr w:type="gramStart"/>
            <w:r w:rsidRPr="005370EE">
              <w:rPr>
                <w:rFonts w:cstheme="minorHAnsi"/>
                <w:b/>
                <w:bCs/>
                <w:sz w:val="22"/>
                <w:szCs w:val="22"/>
              </w:rPr>
              <w:t>Courriel:</w:t>
            </w:r>
            <w:proofErr w:type="gramEnd"/>
          </w:p>
        </w:tc>
        <w:tc>
          <w:tcPr>
            <w:tcW w:w="3399" w:type="dxa"/>
            <w:vMerge w:val="restart"/>
          </w:tcPr>
          <w:p w14:paraId="1A4A5F7B" w14:textId="080E8885" w:rsidR="00F61E0E" w:rsidRPr="005370EE" w:rsidRDefault="00525CA8" w:rsidP="00F61E0E">
            <w:pPr>
              <w:tabs>
                <w:tab w:val="left" w:pos="4111"/>
              </w:tabs>
              <w:spacing w:before="0"/>
              <w:ind w:left="57"/>
              <w:rPr>
                <w:rFonts w:cstheme="minorHAnsi"/>
                <w:sz w:val="22"/>
                <w:szCs w:val="22"/>
              </w:rPr>
            </w:pPr>
            <w:hyperlink r:id="rId9" w:history="1">
              <w:r w:rsidR="00F61E0E" w:rsidRPr="005370EE">
                <w:rPr>
                  <w:rStyle w:val="Hyperlink"/>
                  <w:rFonts w:cstheme="minorHAnsi"/>
                  <w:sz w:val="22"/>
                  <w:szCs w:val="22"/>
                </w:rPr>
                <w:t>virtualworlds@itu.int</w:t>
              </w:r>
            </w:hyperlink>
          </w:p>
        </w:tc>
        <w:tc>
          <w:tcPr>
            <w:tcW w:w="5051" w:type="dxa"/>
            <w:vMerge/>
          </w:tcPr>
          <w:p w14:paraId="323DAC81" w14:textId="77777777" w:rsidR="00F61E0E" w:rsidRPr="005370EE" w:rsidRDefault="00F61E0E" w:rsidP="00F61E0E">
            <w:pPr>
              <w:tabs>
                <w:tab w:val="left" w:pos="226"/>
                <w:tab w:val="left" w:pos="4111"/>
              </w:tabs>
              <w:spacing w:before="0"/>
              <w:ind w:left="226" w:hanging="226"/>
              <w:rPr>
                <w:rFonts w:cstheme="minorHAnsi"/>
                <w:b/>
                <w:sz w:val="22"/>
                <w:szCs w:val="22"/>
              </w:rPr>
            </w:pPr>
          </w:p>
        </w:tc>
      </w:tr>
      <w:tr w:rsidR="00F61E0E" w:rsidRPr="005370EE" w14:paraId="640FB6B9" w14:textId="77777777" w:rsidTr="005370EE">
        <w:trPr>
          <w:cantSplit/>
        </w:trPr>
        <w:tc>
          <w:tcPr>
            <w:tcW w:w="1421" w:type="dxa"/>
            <w:vMerge/>
          </w:tcPr>
          <w:p w14:paraId="15527369" w14:textId="5CCE0D75" w:rsidR="00F61E0E" w:rsidRPr="005370EE" w:rsidRDefault="00F61E0E" w:rsidP="005370EE">
            <w:pPr>
              <w:tabs>
                <w:tab w:val="left" w:pos="4111"/>
              </w:tabs>
              <w:spacing w:before="10"/>
              <w:ind w:left="135"/>
              <w:rPr>
                <w:rFonts w:cstheme="minorHAnsi"/>
                <w:b/>
                <w:bCs/>
                <w:sz w:val="22"/>
                <w:szCs w:val="22"/>
              </w:rPr>
            </w:pPr>
          </w:p>
        </w:tc>
        <w:tc>
          <w:tcPr>
            <w:tcW w:w="3399" w:type="dxa"/>
            <w:vMerge/>
          </w:tcPr>
          <w:p w14:paraId="172249CE" w14:textId="5491148B" w:rsidR="00F61E0E" w:rsidRPr="005370EE" w:rsidRDefault="00F61E0E" w:rsidP="00F61E0E">
            <w:pPr>
              <w:tabs>
                <w:tab w:val="left" w:pos="4111"/>
              </w:tabs>
              <w:spacing w:before="0"/>
              <w:ind w:left="57"/>
              <w:rPr>
                <w:rStyle w:val="Hyperlink"/>
                <w:rFonts w:cstheme="minorHAnsi"/>
                <w:sz w:val="22"/>
                <w:szCs w:val="22"/>
              </w:rPr>
            </w:pPr>
          </w:p>
        </w:tc>
        <w:tc>
          <w:tcPr>
            <w:tcW w:w="5051" w:type="dxa"/>
          </w:tcPr>
          <w:p w14:paraId="55E5D357" w14:textId="77777777" w:rsidR="00F61E0E" w:rsidRPr="005370EE" w:rsidRDefault="00F61E0E" w:rsidP="00F61E0E">
            <w:pPr>
              <w:tabs>
                <w:tab w:val="clear" w:pos="794"/>
                <w:tab w:val="left" w:pos="226"/>
                <w:tab w:val="left" w:pos="4111"/>
              </w:tabs>
              <w:spacing w:before="0"/>
              <w:ind w:left="226" w:hanging="226"/>
              <w:rPr>
                <w:rFonts w:cstheme="minorHAnsi"/>
                <w:b/>
                <w:bCs/>
                <w:sz w:val="22"/>
                <w:szCs w:val="22"/>
              </w:rPr>
            </w:pPr>
            <w:proofErr w:type="gramStart"/>
            <w:r w:rsidRPr="005370EE">
              <w:rPr>
                <w:rFonts w:cstheme="minorHAnsi"/>
                <w:b/>
                <w:bCs/>
                <w:sz w:val="22"/>
                <w:szCs w:val="22"/>
              </w:rPr>
              <w:t>Copie:</w:t>
            </w:r>
            <w:proofErr w:type="gramEnd"/>
          </w:p>
          <w:p w14:paraId="6CE98CB1" w14:textId="2C6D8686" w:rsidR="00F61E0E" w:rsidRPr="005370EE" w:rsidRDefault="00F61E0E" w:rsidP="00F61E0E">
            <w:pPr>
              <w:tabs>
                <w:tab w:val="clear" w:pos="794"/>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 xml:space="preserve">Aux présidents et vice-présidents des commissions </w:t>
            </w:r>
            <w:proofErr w:type="gramStart"/>
            <w:r w:rsidRPr="005370EE">
              <w:rPr>
                <w:rFonts w:cstheme="minorHAnsi"/>
                <w:sz w:val="22"/>
                <w:szCs w:val="22"/>
              </w:rPr>
              <w:t>d'études;</w:t>
            </w:r>
            <w:proofErr w:type="gramEnd"/>
          </w:p>
          <w:p w14:paraId="56C75C35" w14:textId="1A09D40C" w:rsidR="00F61E0E" w:rsidRPr="005370EE" w:rsidRDefault="00F61E0E" w:rsidP="00F61E0E">
            <w:pPr>
              <w:tabs>
                <w:tab w:val="clear" w:pos="794"/>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 xml:space="preserve">Au Directeur du Bureau de développement des </w:t>
            </w:r>
            <w:proofErr w:type="gramStart"/>
            <w:r w:rsidRPr="005370EE">
              <w:rPr>
                <w:rFonts w:cstheme="minorHAnsi"/>
                <w:sz w:val="22"/>
                <w:szCs w:val="22"/>
              </w:rPr>
              <w:t>télécommunications;</w:t>
            </w:r>
            <w:proofErr w:type="gramEnd"/>
          </w:p>
          <w:p w14:paraId="19762254" w14:textId="061893F3" w:rsidR="00F61E0E" w:rsidRPr="005370EE" w:rsidRDefault="00F61E0E" w:rsidP="00F61E0E">
            <w:pPr>
              <w:tabs>
                <w:tab w:val="clear" w:pos="794"/>
                <w:tab w:val="left" w:pos="4111"/>
              </w:tabs>
              <w:spacing w:before="0"/>
              <w:ind w:left="426" w:hanging="426"/>
              <w:rPr>
                <w:rFonts w:cstheme="minorHAnsi"/>
                <w:sz w:val="22"/>
                <w:szCs w:val="22"/>
              </w:rPr>
            </w:pPr>
            <w:r w:rsidRPr="005370EE">
              <w:rPr>
                <w:rFonts w:cstheme="minorHAnsi"/>
                <w:sz w:val="22"/>
                <w:szCs w:val="22"/>
              </w:rPr>
              <w:t>–</w:t>
            </w:r>
            <w:r w:rsidRPr="005370EE">
              <w:rPr>
                <w:rFonts w:cstheme="minorHAnsi"/>
                <w:sz w:val="22"/>
                <w:szCs w:val="22"/>
              </w:rPr>
              <w:tab/>
              <w:t>Au Directeur du Bureau des radiocommunications</w:t>
            </w:r>
          </w:p>
        </w:tc>
      </w:tr>
      <w:tr w:rsidR="00F61E0E" w:rsidRPr="005370EE" w14:paraId="5435C04A" w14:textId="77777777" w:rsidTr="005370EE">
        <w:trPr>
          <w:cantSplit/>
          <w:trHeight w:val="397"/>
        </w:trPr>
        <w:tc>
          <w:tcPr>
            <w:tcW w:w="1421" w:type="dxa"/>
          </w:tcPr>
          <w:p w14:paraId="2A0B9B4F" w14:textId="77777777" w:rsidR="00F61E0E" w:rsidRPr="005370EE" w:rsidRDefault="00F61E0E" w:rsidP="005370EE">
            <w:pPr>
              <w:tabs>
                <w:tab w:val="left" w:pos="4111"/>
              </w:tabs>
              <w:ind w:left="135"/>
              <w:rPr>
                <w:rFonts w:cstheme="minorHAnsi"/>
                <w:b/>
                <w:bCs/>
                <w:sz w:val="22"/>
                <w:szCs w:val="22"/>
              </w:rPr>
            </w:pPr>
            <w:proofErr w:type="gramStart"/>
            <w:r w:rsidRPr="005370EE">
              <w:rPr>
                <w:rFonts w:cstheme="minorHAnsi"/>
                <w:b/>
                <w:bCs/>
                <w:sz w:val="22"/>
                <w:szCs w:val="22"/>
              </w:rPr>
              <w:t>Objet:</w:t>
            </w:r>
            <w:proofErr w:type="gramEnd"/>
          </w:p>
        </w:tc>
        <w:tc>
          <w:tcPr>
            <w:tcW w:w="0" w:type="auto"/>
            <w:gridSpan w:val="2"/>
          </w:tcPr>
          <w:p w14:paraId="1A51EE75" w14:textId="40C6CE93" w:rsidR="00F61E0E" w:rsidRPr="005370EE" w:rsidRDefault="00F61E0E" w:rsidP="00F61E0E">
            <w:pPr>
              <w:tabs>
                <w:tab w:val="left" w:pos="4111"/>
              </w:tabs>
              <w:spacing w:after="120"/>
              <w:ind w:left="57"/>
              <w:rPr>
                <w:rFonts w:cstheme="minorHAnsi"/>
                <w:b/>
                <w:bCs/>
                <w:sz w:val="22"/>
                <w:szCs w:val="22"/>
              </w:rPr>
            </w:pPr>
            <w:r w:rsidRPr="005370EE">
              <w:rPr>
                <w:rFonts w:cstheme="minorHAnsi"/>
                <w:b/>
                <w:bCs/>
                <w:sz w:val="22"/>
                <w:szCs w:val="22"/>
              </w:rPr>
              <w:t>Marathon de pensée "</w:t>
            </w:r>
            <w:proofErr w:type="spellStart"/>
            <w:r w:rsidRPr="005370EE">
              <w:rPr>
                <w:rFonts w:cstheme="minorHAnsi"/>
                <w:b/>
                <w:bCs/>
                <w:sz w:val="22"/>
                <w:szCs w:val="22"/>
              </w:rPr>
              <w:t>Think</w:t>
            </w:r>
            <w:proofErr w:type="spellEnd"/>
            <w:r w:rsidRPr="005370EE">
              <w:rPr>
                <w:rFonts w:cstheme="minorHAnsi"/>
                <w:b/>
                <w:bCs/>
                <w:sz w:val="22"/>
                <w:szCs w:val="22"/>
              </w:rPr>
              <w:t>-a-Thon" sur le métavers de 2024</w:t>
            </w:r>
          </w:p>
        </w:tc>
      </w:tr>
    </w:tbl>
    <w:p w14:paraId="2D1EC328" w14:textId="77777777" w:rsidR="00517A03" w:rsidRPr="005370EE" w:rsidRDefault="00517A03" w:rsidP="0048088B">
      <w:pPr>
        <w:spacing w:before="360"/>
        <w:rPr>
          <w:rFonts w:cstheme="minorHAnsi"/>
          <w:sz w:val="22"/>
          <w:szCs w:val="22"/>
        </w:rPr>
      </w:pPr>
      <w:bookmarkStart w:id="1" w:name="StartTyping_F"/>
      <w:bookmarkEnd w:id="1"/>
      <w:r w:rsidRPr="005370EE">
        <w:rPr>
          <w:rFonts w:cstheme="minorHAnsi"/>
          <w:sz w:val="22"/>
          <w:szCs w:val="22"/>
        </w:rPr>
        <w:t>Madame, Monsieur,</w:t>
      </w:r>
    </w:p>
    <w:p w14:paraId="1D63487F" w14:textId="05EACF34" w:rsidR="00EC7F02" w:rsidRPr="005370EE" w:rsidRDefault="00EC7F02" w:rsidP="00EC7F02">
      <w:pPr>
        <w:rPr>
          <w:rFonts w:cstheme="minorHAnsi"/>
          <w:bCs/>
          <w:sz w:val="22"/>
          <w:szCs w:val="22"/>
        </w:rPr>
      </w:pPr>
      <w:r w:rsidRPr="005370EE">
        <w:rPr>
          <w:rFonts w:cstheme="minorHAnsi"/>
          <w:bCs/>
          <w:sz w:val="22"/>
          <w:szCs w:val="22"/>
        </w:rPr>
        <w:t>1</w:t>
      </w:r>
      <w:r w:rsidRPr="005370EE">
        <w:rPr>
          <w:rFonts w:cstheme="minorHAnsi"/>
          <w:bCs/>
          <w:sz w:val="22"/>
          <w:szCs w:val="22"/>
        </w:rPr>
        <w:tab/>
        <w:t>J</w:t>
      </w:r>
      <w:r w:rsidR="00F61E0E" w:rsidRPr="005370EE">
        <w:rPr>
          <w:rFonts w:cstheme="minorHAnsi"/>
          <w:bCs/>
          <w:sz w:val="22"/>
          <w:szCs w:val="22"/>
        </w:rPr>
        <w:t>'</w:t>
      </w:r>
      <w:r w:rsidRPr="005370EE">
        <w:rPr>
          <w:rFonts w:cstheme="minorHAnsi"/>
          <w:bCs/>
          <w:sz w:val="22"/>
          <w:szCs w:val="22"/>
        </w:rPr>
        <w:t>ai l'honneur de vous inviter à participer à l</w:t>
      </w:r>
      <w:r w:rsidR="00F61E0E" w:rsidRPr="005370EE">
        <w:rPr>
          <w:rFonts w:cstheme="minorHAnsi"/>
          <w:bCs/>
          <w:sz w:val="22"/>
          <w:szCs w:val="22"/>
        </w:rPr>
        <w:t>'</w:t>
      </w:r>
      <w:r w:rsidRPr="005370EE">
        <w:rPr>
          <w:rFonts w:cstheme="minorHAnsi"/>
          <w:bCs/>
          <w:sz w:val="22"/>
          <w:szCs w:val="22"/>
        </w:rPr>
        <w:t>édition de 2024 de la manifestation "Think</w:t>
      </w:r>
      <w:r w:rsidR="00F61E0E" w:rsidRPr="005370EE">
        <w:rPr>
          <w:rFonts w:cstheme="minorHAnsi"/>
          <w:bCs/>
          <w:sz w:val="22"/>
          <w:szCs w:val="22"/>
        </w:rPr>
        <w:noBreakHyphen/>
      </w:r>
      <w:r w:rsidRPr="005370EE">
        <w:rPr>
          <w:rFonts w:cstheme="minorHAnsi"/>
          <w:bCs/>
          <w:sz w:val="22"/>
          <w:szCs w:val="22"/>
        </w:rPr>
        <w:t>a</w:t>
      </w:r>
      <w:r w:rsidR="00F61E0E" w:rsidRPr="005370EE">
        <w:rPr>
          <w:rFonts w:cstheme="minorHAnsi"/>
          <w:bCs/>
          <w:sz w:val="22"/>
          <w:szCs w:val="22"/>
        </w:rPr>
        <w:noBreakHyphen/>
      </w:r>
      <w:r w:rsidRPr="005370EE">
        <w:rPr>
          <w:rFonts w:cstheme="minorHAnsi"/>
          <w:bCs/>
          <w:sz w:val="22"/>
          <w:szCs w:val="22"/>
        </w:rPr>
        <w:t xml:space="preserve">Thon" (marathon de pensée) sur le métavers, placée sur le thème </w:t>
      </w:r>
      <w:r w:rsidR="00F61E0E" w:rsidRPr="005370EE">
        <w:rPr>
          <w:rFonts w:cstheme="minorHAnsi"/>
          <w:bCs/>
          <w:sz w:val="22"/>
          <w:szCs w:val="22"/>
        </w:rPr>
        <w:t>"</w:t>
      </w:r>
      <w:r w:rsidRPr="005370EE">
        <w:rPr>
          <w:rFonts w:cstheme="minorHAnsi"/>
          <w:bCs/>
          <w:sz w:val="22"/>
          <w:szCs w:val="22"/>
        </w:rPr>
        <w:t>Des mondes virtuels qui révolutionnent les villes et les communautés intelligentes et durables</w:t>
      </w:r>
      <w:r w:rsidR="00F61E0E" w:rsidRPr="005370EE">
        <w:rPr>
          <w:rFonts w:cstheme="minorHAnsi"/>
          <w:bCs/>
          <w:sz w:val="22"/>
          <w:szCs w:val="22"/>
        </w:rPr>
        <w:t>"</w:t>
      </w:r>
      <w:r w:rsidRPr="005370EE">
        <w:rPr>
          <w:rFonts w:cstheme="minorHAnsi"/>
          <w:bCs/>
          <w:sz w:val="22"/>
          <w:szCs w:val="22"/>
        </w:rPr>
        <w:t xml:space="preserve"> et co-organisée par l</w:t>
      </w:r>
      <w:r w:rsidR="00F61E0E" w:rsidRPr="005370EE">
        <w:rPr>
          <w:rFonts w:cstheme="minorHAnsi"/>
          <w:bCs/>
          <w:sz w:val="22"/>
          <w:szCs w:val="22"/>
        </w:rPr>
        <w:t>'</w:t>
      </w:r>
      <w:r w:rsidRPr="005370EE">
        <w:rPr>
          <w:rFonts w:cstheme="minorHAnsi"/>
          <w:bCs/>
          <w:sz w:val="22"/>
          <w:szCs w:val="22"/>
        </w:rPr>
        <w:t>Union internationale des télécommunications (UIT), le Centre international de calcul des Nations</w:t>
      </w:r>
      <w:r w:rsidR="00F61E0E" w:rsidRPr="005370EE">
        <w:rPr>
          <w:rFonts w:cstheme="minorHAnsi"/>
          <w:bCs/>
          <w:sz w:val="22"/>
          <w:szCs w:val="22"/>
        </w:rPr>
        <w:t> </w:t>
      </w:r>
      <w:r w:rsidRPr="005370EE">
        <w:rPr>
          <w:rFonts w:cstheme="minorHAnsi"/>
          <w:bCs/>
          <w:sz w:val="22"/>
          <w:szCs w:val="22"/>
        </w:rPr>
        <w:t>Unies (UNICC) et l</w:t>
      </w:r>
      <w:r w:rsidR="00F61E0E" w:rsidRPr="005370EE">
        <w:rPr>
          <w:rFonts w:cstheme="minorHAnsi"/>
          <w:bCs/>
          <w:sz w:val="22"/>
          <w:szCs w:val="22"/>
        </w:rPr>
        <w:t>'</w:t>
      </w:r>
      <w:r w:rsidRPr="005370EE">
        <w:rPr>
          <w:rFonts w:cstheme="minorHAnsi"/>
          <w:bCs/>
          <w:sz w:val="22"/>
          <w:szCs w:val="22"/>
        </w:rPr>
        <w:t>Organisation des Nations Unies pour l</w:t>
      </w:r>
      <w:r w:rsidR="00F61E0E" w:rsidRPr="005370EE">
        <w:rPr>
          <w:rFonts w:cstheme="minorHAnsi"/>
          <w:bCs/>
          <w:sz w:val="22"/>
          <w:szCs w:val="22"/>
        </w:rPr>
        <w:t>'</w:t>
      </w:r>
      <w:r w:rsidRPr="005370EE">
        <w:rPr>
          <w:rFonts w:cstheme="minorHAnsi"/>
          <w:bCs/>
          <w:sz w:val="22"/>
          <w:szCs w:val="22"/>
        </w:rPr>
        <w:t>alimentation et l</w:t>
      </w:r>
      <w:r w:rsidR="00F61E0E" w:rsidRPr="005370EE">
        <w:rPr>
          <w:rFonts w:cstheme="minorHAnsi"/>
          <w:bCs/>
          <w:sz w:val="22"/>
          <w:szCs w:val="22"/>
        </w:rPr>
        <w:t>'</w:t>
      </w:r>
      <w:r w:rsidRPr="005370EE">
        <w:rPr>
          <w:rFonts w:cstheme="minorHAnsi"/>
          <w:bCs/>
          <w:sz w:val="22"/>
          <w:szCs w:val="22"/>
        </w:rPr>
        <w:t>agriculture (FAO).</w:t>
      </w:r>
    </w:p>
    <w:p w14:paraId="04E0F8AC" w14:textId="77777777" w:rsidR="00EC7F02" w:rsidRPr="005370EE" w:rsidRDefault="00EC7F02" w:rsidP="00EC7F02">
      <w:pPr>
        <w:rPr>
          <w:rFonts w:cstheme="minorHAnsi"/>
          <w:bCs/>
          <w:sz w:val="22"/>
          <w:szCs w:val="22"/>
        </w:rPr>
      </w:pPr>
      <w:r w:rsidRPr="005370EE">
        <w:rPr>
          <w:rFonts w:cstheme="minorHAnsi"/>
          <w:bCs/>
          <w:sz w:val="22"/>
          <w:szCs w:val="22"/>
        </w:rPr>
        <w:t>2</w:t>
      </w:r>
      <w:r w:rsidRPr="005370EE">
        <w:rPr>
          <w:rFonts w:cstheme="minorHAnsi"/>
          <w:bCs/>
          <w:sz w:val="22"/>
          <w:szCs w:val="22"/>
        </w:rPr>
        <w:tab/>
        <w:t>L'édition de 2024 de cette manifestation vise à exploiter le potentiel offert par les technologies virtuelles et les approches innovantes pour générer des informations exploitables, proposer des solutions pratiques et favoriser une vision collective afin de créer des villes et des communautés plus intelligentes et plus durables.</w:t>
      </w:r>
    </w:p>
    <w:p w14:paraId="45B08B5E" w14:textId="1312C156" w:rsidR="00EC7F02" w:rsidRPr="005370EE" w:rsidRDefault="00EC7F02" w:rsidP="00EC7F02">
      <w:pPr>
        <w:rPr>
          <w:rFonts w:cstheme="minorHAnsi"/>
          <w:bCs/>
          <w:sz w:val="22"/>
          <w:szCs w:val="22"/>
        </w:rPr>
      </w:pPr>
      <w:r w:rsidRPr="005370EE">
        <w:rPr>
          <w:rFonts w:cstheme="minorHAnsi"/>
          <w:bCs/>
          <w:sz w:val="22"/>
          <w:szCs w:val="22"/>
        </w:rPr>
        <w:t>3</w:t>
      </w:r>
      <w:r w:rsidRPr="005370EE">
        <w:rPr>
          <w:rFonts w:cstheme="minorHAnsi"/>
          <w:bCs/>
          <w:sz w:val="22"/>
          <w:szCs w:val="22"/>
        </w:rPr>
        <w:tab/>
        <w:t xml:space="preserve">Les sous-thèmes de travail proposés sont les </w:t>
      </w:r>
      <w:proofErr w:type="gramStart"/>
      <w:r w:rsidRPr="005370EE">
        <w:rPr>
          <w:rFonts w:cstheme="minorHAnsi"/>
          <w:bCs/>
          <w:sz w:val="22"/>
          <w:szCs w:val="22"/>
        </w:rPr>
        <w:t>suivants</w:t>
      </w:r>
      <w:r w:rsidR="00F61E0E" w:rsidRPr="005370EE">
        <w:rPr>
          <w:rFonts w:cstheme="minorHAnsi"/>
          <w:bCs/>
          <w:sz w:val="22"/>
          <w:szCs w:val="22"/>
        </w:rPr>
        <w:t>:</w:t>
      </w:r>
      <w:proofErr w:type="gramEnd"/>
    </w:p>
    <w:p w14:paraId="20DF676C" w14:textId="28C96CBC" w:rsidR="00EC7F02" w:rsidRPr="005370EE" w:rsidRDefault="000F2911" w:rsidP="005370EE">
      <w:pPr>
        <w:pStyle w:val="enumlev1"/>
        <w:ind w:hanging="368"/>
        <w:rPr>
          <w:rFonts w:cstheme="minorHAnsi"/>
          <w:sz w:val="22"/>
          <w:szCs w:val="22"/>
        </w:rPr>
      </w:pPr>
      <w:r w:rsidRPr="005370EE">
        <w:rPr>
          <w:rFonts w:cstheme="minorHAnsi"/>
          <w:bCs/>
          <w:sz w:val="22"/>
          <w:szCs w:val="22"/>
        </w:rPr>
        <w:t>•</w:t>
      </w:r>
      <w:r w:rsidRPr="005370EE">
        <w:rPr>
          <w:rFonts w:cstheme="minorHAnsi"/>
          <w:bCs/>
          <w:sz w:val="22"/>
          <w:szCs w:val="22"/>
        </w:rPr>
        <w:tab/>
      </w:r>
      <w:r w:rsidR="00EC7F02" w:rsidRPr="005370EE">
        <w:rPr>
          <w:rFonts w:cstheme="minorHAnsi"/>
          <w:b/>
          <w:sz w:val="22"/>
          <w:szCs w:val="22"/>
        </w:rPr>
        <w:t>Plates-formes d</w:t>
      </w:r>
      <w:r w:rsidR="00F61E0E" w:rsidRPr="005370EE">
        <w:rPr>
          <w:rFonts w:cstheme="minorHAnsi"/>
          <w:b/>
          <w:sz w:val="22"/>
          <w:szCs w:val="22"/>
        </w:rPr>
        <w:t>'</w:t>
      </w:r>
      <w:r w:rsidR="00EC7F02" w:rsidRPr="005370EE">
        <w:rPr>
          <w:rFonts w:cstheme="minorHAnsi"/>
          <w:b/>
          <w:sz w:val="22"/>
          <w:szCs w:val="22"/>
        </w:rPr>
        <w:t xml:space="preserve">éducation </w:t>
      </w:r>
      <w:proofErr w:type="gramStart"/>
      <w:r w:rsidR="00EC7F02" w:rsidRPr="005370EE">
        <w:rPr>
          <w:rFonts w:cstheme="minorHAnsi"/>
          <w:b/>
          <w:sz w:val="22"/>
          <w:szCs w:val="22"/>
        </w:rPr>
        <w:t>virtuelle</w:t>
      </w:r>
      <w:r w:rsidR="00F61E0E" w:rsidRPr="005370EE">
        <w:rPr>
          <w:rFonts w:cstheme="minorHAnsi"/>
          <w:sz w:val="22"/>
          <w:szCs w:val="22"/>
        </w:rPr>
        <w:t>:</w:t>
      </w:r>
      <w:proofErr w:type="gramEnd"/>
      <w:r w:rsidR="00EC7F02" w:rsidRPr="005370EE">
        <w:rPr>
          <w:rFonts w:cstheme="minorHAnsi"/>
          <w:sz w:val="22"/>
          <w:szCs w:val="22"/>
        </w:rPr>
        <w:t xml:space="preserve"> Créer des environnements d</w:t>
      </w:r>
      <w:r w:rsidR="00F61E0E" w:rsidRPr="005370EE">
        <w:rPr>
          <w:rFonts w:cstheme="minorHAnsi"/>
          <w:sz w:val="22"/>
          <w:szCs w:val="22"/>
        </w:rPr>
        <w:t>'</w:t>
      </w:r>
      <w:r w:rsidR="00EC7F02" w:rsidRPr="005370EE">
        <w:rPr>
          <w:rFonts w:cstheme="minorHAnsi"/>
          <w:sz w:val="22"/>
          <w:szCs w:val="22"/>
        </w:rPr>
        <w:t>apprentissage virtuels immersifs pour améliorer l</w:t>
      </w:r>
      <w:r w:rsidR="00F61E0E" w:rsidRPr="005370EE">
        <w:rPr>
          <w:rFonts w:cstheme="minorHAnsi"/>
          <w:sz w:val="22"/>
          <w:szCs w:val="22"/>
        </w:rPr>
        <w:t>'</w:t>
      </w:r>
      <w:r w:rsidR="00EC7F02" w:rsidRPr="005370EE">
        <w:rPr>
          <w:rFonts w:cstheme="minorHAnsi"/>
          <w:sz w:val="22"/>
          <w:szCs w:val="22"/>
        </w:rPr>
        <w:t>accès à l</w:t>
      </w:r>
      <w:r w:rsidR="00F61E0E" w:rsidRPr="005370EE">
        <w:rPr>
          <w:rFonts w:cstheme="minorHAnsi"/>
          <w:sz w:val="22"/>
          <w:szCs w:val="22"/>
        </w:rPr>
        <w:t>'</w:t>
      </w:r>
      <w:r w:rsidR="00EC7F02" w:rsidRPr="005370EE">
        <w:rPr>
          <w:rFonts w:cstheme="minorHAnsi"/>
          <w:sz w:val="22"/>
          <w:szCs w:val="22"/>
        </w:rPr>
        <w:t>éducation dans les communautés mal desservies, en favorisant les possibilités d</w:t>
      </w:r>
      <w:r w:rsidR="00F61E0E" w:rsidRPr="005370EE">
        <w:rPr>
          <w:rFonts w:cstheme="minorHAnsi"/>
          <w:sz w:val="22"/>
          <w:szCs w:val="22"/>
        </w:rPr>
        <w:t>'</w:t>
      </w:r>
      <w:r w:rsidR="00EC7F02" w:rsidRPr="005370EE">
        <w:rPr>
          <w:rFonts w:cstheme="minorHAnsi"/>
          <w:sz w:val="22"/>
          <w:szCs w:val="22"/>
        </w:rPr>
        <w:t>apprentissage tout au long de la vie (ODD 4</w:t>
      </w:r>
      <w:r w:rsidR="00F61E0E" w:rsidRPr="005370EE">
        <w:rPr>
          <w:rFonts w:cstheme="minorHAnsi"/>
          <w:sz w:val="22"/>
          <w:szCs w:val="22"/>
        </w:rPr>
        <w:t>:</w:t>
      </w:r>
      <w:r w:rsidR="00EC7F02" w:rsidRPr="005370EE">
        <w:rPr>
          <w:rFonts w:cstheme="minorHAnsi"/>
          <w:sz w:val="22"/>
          <w:szCs w:val="22"/>
        </w:rPr>
        <w:t xml:space="preserve"> Éducation de qualité)</w:t>
      </w:r>
      <w:r w:rsidR="00F61E0E" w:rsidRPr="005370EE">
        <w:rPr>
          <w:rFonts w:cstheme="minorHAnsi"/>
          <w:sz w:val="22"/>
          <w:szCs w:val="22"/>
        </w:rPr>
        <w:t>.</w:t>
      </w:r>
    </w:p>
    <w:p w14:paraId="358F5EA5" w14:textId="377F0B5D" w:rsidR="00EC7F02" w:rsidRPr="005370EE" w:rsidRDefault="000F2911" w:rsidP="005370EE">
      <w:pPr>
        <w:pStyle w:val="enumlev1"/>
        <w:ind w:hanging="368"/>
        <w:rPr>
          <w:rFonts w:cstheme="minorHAnsi"/>
          <w:sz w:val="22"/>
          <w:szCs w:val="22"/>
        </w:rPr>
      </w:pPr>
      <w:r w:rsidRPr="005370EE">
        <w:rPr>
          <w:rFonts w:cstheme="minorHAnsi"/>
          <w:bCs/>
          <w:sz w:val="22"/>
          <w:szCs w:val="22"/>
        </w:rPr>
        <w:t>•</w:t>
      </w:r>
      <w:r w:rsidRPr="005370EE">
        <w:rPr>
          <w:rFonts w:cstheme="minorHAnsi"/>
          <w:bCs/>
          <w:sz w:val="22"/>
          <w:szCs w:val="22"/>
        </w:rPr>
        <w:tab/>
      </w:r>
      <w:r w:rsidR="00EC7F02" w:rsidRPr="005370EE">
        <w:rPr>
          <w:rFonts w:cstheme="minorHAnsi"/>
          <w:b/>
          <w:sz w:val="22"/>
          <w:szCs w:val="22"/>
        </w:rPr>
        <w:t>Préparation en prévision des catastrophes</w:t>
      </w:r>
      <w:r w:rsidR="00EC7F02" w:rsidRPr="005370EE">
        <w:rPr>
          <w:rFonts w:cstheme="minorHAnsi"/>
          <w:sz w:val="22"/>
          <w:szCs w:val="22"/>
        </w:rPr>
        <w:t xml:space="preserve"> </w:t>
      </w:r>
      <w:r w:rsidR="00EC7F02" w:rsidRPr="005370EE">
        <w:rPr>
          <w:rFonts w:cstheme="minorHAnsi"/>
          <w:b/>
          <w:sz w:val="22"/>
          <w:szCs w:val="22"/>
        </w:rPr>
        <w:t xml:space="preserve">et opérations de </w:t>
      </w:r>
      <w:proofErr w:type="gramStart"/>
      <w:r w:rsidR="00EC7F02" w:rsidRPr="005370EE">
        <w:rPr>
          <w:rFonts w:cstheme="minorHAnsi"/>
          <w:b/>
          <w:sz w:val="22"/>
          <w:szCs w:val="22"/>
        </w:rPr>
        <w:t>secours</w:t>
      </w:r>
      <w:r w:rsidR="00EC7F02" w:rsidRPr="005370EE">
        <w:rPr>
          <w:rFonts w:cstheme="minorHAnsi"/>
          <w:sz w:val="22"/>
          <w:szCs w:val="22"/>
        </w:rPr>
        <w:t>:</w:t>
      </w:r>
      <w:proofErr w:type="gramEnd"/>
      <w:r w:rsidR="00EC7F02" w:rsidRPr="005370EE">
        <w:rPr>
          <w:rFonts w:cstheme="minorHAnsi"/>
          <w:sz w:val="22"/>
          <w:szCs w:val="22"/>
        </w:rPr>
        <w:t xml:space="preserve"> Proposer des simulations virtuelles et des environnements de formation pour former les secouristes et les communautés à la préparation en prévision des catastrophes naturelles et des catastrophes causées par l</w:t>
      </w:r>
      <w:r w:rsidR="00F61E0E" w:rsidRPr="005370EE">
        <w:rPr>
          <w:rFonts w:cstheme="minorHAnsi"/>
          <w:sz w:val="22"/>
          <w:szCs w:val="22"/>
        </w:rPr>
        <w:t>'</w:t>
      </w:r>
      <w:r w:rsidR="00EC7F02" w:rsidRPr="005370EE">
        <w:rPr>
          <w:rFonts w:cstheme="minorHAnsi"/>
          <w:sz w:val="22"/>
          <w:szCs w:val="22"/>
        </w:rPr>
        <w:t>homme et aux opérations de secours (ODD 11</w:t>
      </w:r>
      <w:r w:rsidR="00F61E0E" w:rsidRPr="005370EE">
        <w:rPr>
          <w:rFonts w:cstheme="minorHAnsi"/>
          <w:sz w:val="22"/>
          <w:szCs w:val="22"/>
        </w:rPr>
        <w:t>:</w:t>
      </w:r>
      <w:r w:rsidR="00EC7F02" w:rsidRPr="005370EE">
        <w:rPr>
          <w:rFonts w:cstheme="minorHAnsi"/>
          <w:sz w:val="22"/>
          <w:szCs w:val="22"/>
        </w:rPr>
        <w:t xml:space="preserve"> Villes et communautés durables, ODD 13</w:t>
      </w:r>
      <w:r w:rsidR="00F61E0E" w:rsidRPr="005370EE">
        <w:rPr>
          <w:rFonts w:cstheme="minorHAnsi"/>
          <w:sz w:val="22"/>
          <w:szCs w:val="22"/>
        </w:rPr>
        <w:t>:</w:t>
      </w:r>
      <w:r w:rsidR="00EC7F02" w:rsidRPr="005370EE">
        <w:rPr>
          <w:rFonts w:cstheme="minorHAnsi"/>
          <w:sz w:val="22"/>
          <w:szCs w:val="22"/>
        </w:rPr>
        <w:t xml:space="preserve"> Mesures en faveur du climat).</w:t>
      </w:r>
    </w:p>
    <w:p w14:paraId="582EB38F" w14:textId="76756A19" w:rsidR="00EC7F02" w:rsidRPr="005370EE" w:rsidRDefault="000F2911" w:rsidP="005370EE">
      <w:pPr>
        <w:pStyle w:val="enumlev1"/>
        <w:keepNext/>
        <w:keepLines/>
        <w:ind w:hanging="368"/>
        <w:rPr>
          <w:rFonts w:cstheme="minorHAnsi"/>
          <w:sz w:val="22"/>
          <w:szCs w:val="22"/>
        </w:rPr>
      </w:pPr>
      <w:r w:rsidRPr="005370EE">
        <w:rPr>
          <w:rFonts w:cstheme="minorHAnsi"/>
          <w:bCs/>
          <w:sz w:val="22"/>
          <w:szCs w:val="22"/>
        </w:rPr>
        <w:t>•</w:t>
      </w:r>
      <w:r w:rsidRPr="005370EE">
        <w:rPr>
          <w:rFonts w:cstheme="minorHAnsi"/>
          <w:bCs/>
          <w:sz w:val="22"/>
          <w:szCs w:val="22"/>
        </w:rPr>
        <w:tab/>
      </w:r>
      <w:r w:rsidR="00EC7F02" w:rsidRPr="005370EE">
        <w:rPr>
          <w:rFonts w:cstheme="minorHAnsi"/>
          <w:b/>
          <w:sz w:val="22"/>
          <w:szCs w:val="22"/>
        </w:rPr>
        <w:t xml:space="preserve">Simulations de résolution des conflits </w:t>
      </w:r>
      <w:proofErr w:type="gramStart"/>
      <w:r w:rsidR="00EC7F02" w:rsidRPr="005370EE">
        <w:rPr>
          <w:rFonts w:cstheme="minorHAnsi"/>
          <w:b/>
          <w:sz w:val="22"/>
          <w:szCs w:val="22"/>
        </w:rPr>
        <w:t>urbains</w:t>
      </w:r>
      <w:r w:rsidR="00F61E0E" w:rsidRPr="005370EE">
        <w:rPr>
          <w:rFonts w:cstheme="minorHAnsi"/>
          <w:sz w:val="22"/>
          <w:szCs w:val="22"/>
        </w:rPr>
        <w:t>:</w:t>
      </w:r>
      <w:proofErr w:type="gramEnd"/>
      <w:r w:rsidR="00EC7F02" w:rsidRPr="005370EE">
        <w:rPr>
          <w:rFonts w:cstheme="minorHAnsi"/>
          <w:sz w:val="22"/>
          <w:szCs w:val="22"/>
        </w:rPr>
        <w:t xml:space="preserve"> Mener des simulations virtuelles adaptées à la gestion urbaine et la gestion des villes, afin de faciliter les négociations diplomatiques et de résoudre les conflits entre les villes, les communautés, les parties prenantes et les urbanistes. Ces simulations visent à améliorer l</w:t>
      </w:r>
      <w:r w:rsidR="00F61E0E" w:rsidRPr="005370EE">
        <w:rPr>
          <w:rFonts w:cstheme="minorHAnsi"/>
          <w:sz w:val="22"/>
          <w:szCs w:val="22"/>
        </w:rPr>
        <w:t>'</w:t>
      </w:r>
      <w:r w:rsidR="00EC7F02" w:rsidRPr="005370EE">
        <w:rPr>
          <w:rFonts w:cstheme="minorHAnsi"/>
          <w:sz w:val="22"/>
          <w:szCs w:val="22"/>
        </w:rPr>
        <w:t xml:space="preserve">analyse des conflits et les stratégies de consolidation de la paix dans les zones urbaines. (ODD </w:t>
      </w:r>
      <w:proofErr w:type="gramStart"/>
      <w:r w:rsidR="00EC7F02" w:rsidRPr="005370EE">
        <w:rPr>
          <w:rFonts w:cstheme="minorHAnsi"/>
          <w:sz w:val="22"/>
          <w:szCs w:val="22"/>
        </w:rPr>
        <w:t>16</w:t>
      </w:r>
      <w:r w:rsidR="00F61E0E" w:rsidRPr="005370EE">
        <w:rPr>
          <w:rFonts w:cstheme="minorHAnsi"/>
          <w:sz w:val="22"/>
          <w:szCs w:val="22"/>
        </w:rPr>
        <w:t>:</w:t>
      </w:r>
      <w:proofErr w:type="gramEnd"/>
      <w:r w:rsidR="00EC7F02" w:rsidRPr="005370EE">
        <w:rPr>
          <w:rFonts w:cstheme="minorHAnsi"/>
          <w:sz w:val="22"/>
          <w:szCs w:val="22"/>
        </w:rPr>
        <w:t xml:space="preserve"> Paix, justice et institutions efficaces).</w:t>
      </w:r>
      <w:sdt>
        <w:sdtPr>
          <w:rPr>
            <w:rFonts w:cstheme="minorHAnsi"/>
            <w:sz w:val="22"/>
            <w:szCs w:val="22"/>
          </w:rPr>
          <w:tag w:val="goog_rdk_0"/>
          <w:id w:val="-1254736310"/>
        </w:sdtPr>
        <w:sdtEndPr/>
        <w:sdtContent/>
      </w:sdt>
      <w:sdt>
        <w:sdtPr>
          <w:rPr>
            <w:rFonts w:cstheme="minorHAnsi"/>
            <w:sz w:val="22"/>
            <w:szCs w:val="22"/>
          </w:rPr>
          <w:tag w:val="goog_rdk_1"/>
          <w:id w:val="-42441903"/>
        </w:sdtPr>
        <w:sdtEndPr/>
        <w:sdtContent/>
      </w:sdt>
    </w:p>
    <w:p w14:paraId="12AB6A11" w14:textId="06F2AC66" w:rsidR="00EC7F02" w:rsidRPr="005370EE" w:rsidRDefault="00EC7F02" w:rsidP="00EC7F02">
      <w:pPr>
        <w:rPr>
          <w:rFonts w:cstheme="minorHAnsi"/>
          <w:bCs/>
          <w:sz w:val="22"/>
          <w:szCs w:val="22"/>
        </w:rPr>
      </w:pPr>
      <w:r w:rsidRPr="005370EE">
        <w:rPr>
          <w:rFonts w:cstheme="minorHAnsi"/>
          <w:bCs/>
          <w:sz w:val="22"/>
          <w:szCs w:val="22"/>
        </w:rPr>
        <w:t>4</w:t>
      </w:r>
      <w:r w:rsidRPr="005370EE">
        <w:rPr>
          <w:rFonts w:cstheme="minorHAnsi"/>
          <w:bCs/>
          <w:sz w:val="22"/>
          <w:szCs w:val="22"/>
        </w:rPr>
        <w:tab/>
        <w:t>Des prix seront remis à hauteur de</w:t>
      </w:r>
      <w:r w:rsidR="00F61E0E" w:rsidRPr="005370EE">
        <w:rPr>
          <w:rFonts w:cstheme="minorHAnsi"/>
          <w:bCs/>
          <w:sz w:val="22"/>
          <w:szCs w:val="22"/>
        </w:rPr>
        <w:t xml:space="preserve"> </w:t>
      </w:r>
      <w:r w:rsidRPr="005370EE">
        <w:rPr>
          <w:rFonts w:cstheme="minorHAnsi"/>
          <w:bCs/>
          <w:sz w:val="22"/>
          <w:szCs w:val="22"/>
        </w:rPr>
        <w:t>10 000 CHF pour le premier prix, 5 000 CHF pour le</w:t>
      </w:r>
      <w:r w:rsidR="006D1725" w:rsidRPr="005370EE">
        <w:rPr>
          <w:rFonts w:cstheme="minorHAnsi"/>
          <w:bCs/>
          <w:sz w:val="22"/>
          <w:szCs w:val="22"/>
        </w:rPr>
        <w:t> </w:t>
      </w:r>
      <w:r w:rsidRPr="005370EE">
        <w:rPr>
          <w:rFonts w:cstheme="minorHAnsi"/>
          <w:bCs/>
          <w:sz w:val="22"/>
          <w:szCs w:val="22"/>
        </w:rPr>
        <w:t>deuxième et 3 000 CHF pour le troisième. L</w:t>
      </w:r>
      <w:r w:rsidR="00F61E0E" w:rsidRPr="005370EE">
        <w:rPr>
          <w:rFonts w:cstheme="minorHAnsi"/>
          <w:bCs/>
          <w:sz w:val="22"/>
          <w:szCs w:val="22"/>
        </w:rPr>
        <w:t>'</w:t>
      </w:r>
      <w:r w:rsidRPr="005370EE">
        <w:rPr>
          <w:rFonts w:cstheme="minorHAnsi"/>
          <w:bCs/>
          <w:sz w:val="22"/>
          <w:szCs w:val="22"/>
        </w:rPr>
        <w:t>annonce des lauréats aura lieu le 3 mai 2024 et la cérémonie de remise des prix se tiendra lors de la "</w:t>
      </w:r>
      <w:hyperlink r:id="rId10" w:history="1">
        <w:r w:rsidRPr="005370EE">
          <w:rPr>
            <w:rStyle w:val="Hyperlink"/>
            <w:rFonts w:cstheme="minorHAnsi"/>
            <w:bCs/>
            <w:sz w:val="22"/>
            <w:szCs w:val="22"/>
          </w:rPr>
          <w:t xml:space="preserve">Journée des mondes virtuels des Nations </w:t>
        </w:r>
        <w:proofErr w:type="gramStart"/>
        <w:r w:rsidRPr="005370EE">
          <w:rPr>
            <w:rStyle w:val="Hyperlink"/>
            <w:rFonts w:cstheme="minorHAnsi"/>
            <w:bCs/>
            <w:sz w:val="22"/>
            <w:szCs w:val="22"/>
          </w:rPr>
          <w:t>Unies</w:t>
        </w:r>
        <w:r w:rsidR="00F61E0E" w:rsidRPr="005370EE">
          <w:rPr>
            <w:rStyle w:val="Hyperlink"/>
            <w:rFonts w:cstheme="minorHAnsi"/>
            <w:bCs/>
            <w:sz w:val="22"/>
            <w:szCs w:val="22"/>
          </w:rPr>
          <w:t>:</w:t>
        </w:r>
        <w:proofErr w:type="gramEnd"/>
        <w:r w:rsidRPr="005370EE">
          <w:rPr>
            <w:rStyle w:val="Hyperlink"/>
            <w:rFonts w:cstheme="minorHAnsi"/>
            <w:bCs/>
            <w:sz w:val="22"/>
            <w:szCs w:val="22"/>
          </w:rPr>
          <w:t xml:space="preserve"> Exploiter le métavers pour faire progresser les ODD</w:t>
        </w:r>
      </w:hyperlink>
      <w:r w:rsidRPr="005370EE">
        <w:rPr>
          <w:rFonts w:cstheme="minorHAnsi"/>
          <w:bCs/>
          <w:sz w:val="22"/>
          <w:szCs w:val="22"/>
        </w:rPr>
        <w:t>", qui aura lieu le 14 juin 2024 à Genève (Suisse).</w:t>
      </w:r>
    </w:p>
    <w:p w14:paraId="5510BDFB" w14:textId="4CA1C51A" w:rsidR="00EC7F02" w:rsidRPr="005370EE" w:rsidRDefault="00EC7F02" w:rsidP="00EC7F02">
      <w:pPr>
        <w:rPr>
          <w:rFonts w:cstheme="minorHAnsi"/>
          <w:bCs/>
          <w:sz w:val="22"/>
          <w:szCs w:val="22"/>
        </w:rPr>
      </w:pPr>
      <w:r w:rsidRPr="005370EE">
        <w:rPr>
          <w:rFonts w:cstheme="minorHAnsi"/>
          <w:bCs/>
          <w:sz w:val="22"/>
          <w:szCs w:val="22"/>
        </w:rPr>
        <w:lastRenderedPageBreak/>
        <w:t>5</w:t>
      </w:r>
      <w:r w:rsidRPr="005370EE">
        <w:rPr>
          <w:rFonts w:cstheme="minorHAnsi"/>
          <w:bCs/>
          <w:sz w:val="22"/>
          <w:szCs w:val="22"/>
        </w:rPr>
        <w:tab/>
        <w:t>La participation à la manifestation est gratuite et ouverte à tous. Les personnes intéressées peuvent s</w:t>
      </w:r>
      <w:r w:rsidR="00F61E0E" w:rsidRPr="005370EE">
        <w:rPr>
          <w:rFonts w:cstheme="minorHAnsi"/>
          <w:bCs/>
          <w:sz w:val="22"/>
          <w:szCs w:val="22"/>
        </w:rPr>
        <w:t>'</w:t>
      </w:r>
      <w:r w:rsidRPr="005370EE">
        <w:rPr>
          <w:rFonts w:cstheme="minorHAnsi"/>
          <w:bCs/>
          <w:sz w:val="22"/>
          <w:szCs w:val="22"/>
        </w:rPr>
        <w:t xml:space="preserve">inscrire à </w:t>
      </w:r>
      <w:proofErr w:type="gramStart"/>
      <w:r w:rsidRPr="005370EE">
        <w:rPr>
          <w:rFonts w:cstheme="minorHAnsi"/>
          <w:bCs/>
          <w:sz w:val="22"/>
          <w:szCs w:val="22"/>
        </w:rPr>
        <w:t>l'adresse:</w:t>
      </w:r>
      <w:proofErr w:type="gramEnd"/>
      <w:r w:rsidRPr="005370EE">
        <w:rPr>
          <w:rFonts w:cstheme="minorHAnsi"/>
          <w:bCs/>
          <w:sz w:val="22"/>
          <w:szCs w:val="22"/>
        </w:rPr>
        <w:t xml:space="preserve"> </w:t>
      </w:r>
      <w:hyperlink r:id="rId11" w:history="1">
        <w:r w:rsidRPr="005370EE">
          <w:rPr>
            <w:rStyle w:val="Hyperlink"/>
            <w:rFonts w:cstheme="minorHAnsi"/>
            <w:bCs/>
            <w:sz w:val="22"/>
            <w:szCs w:val="22"/>
          </w:rPr>
          <w:t>https://www.itu.int/meta</w:t>
        </w:r>
        <w:r w:rsidRPr="005370EE">
          <w:rPr>
            <w:rStyle w:val="Hyperlink"/>
            <w:rFonts w:cstheme="minorHAnsi"/>
            <w:bCs/>
            <w:sz w:val="22"/>
            <w:szCs w:val="22"/>
          </w:rPr>
          <w:t>v</w:t>
        </w:r>
        <w:r w:rsidRPr="005370EE">
          <w:rPr>
            <w:rStyle w:val="Hyperlink"/>
            <w:rFonts w:cstheme="minorHAnsi"/>
            <w:bCs/>
            <w:sz w:val="22"/>
            <w:szCs w:val="22"/>
          </w:rPr>
          <w:t>erse/un-virtual-worlds-day/thinkathon/</w:t>
        </w:r>
      </w:hyperlink>
      <w:r w:rsidRPr="005370EE">
        <w:rPr>
          <w:rFonts w:cstheme="minorHAnsi"/>
          <w:bCs/>
          <w:sz w:val="22"/>
          <w:szCs w:val="22"/>
        </w:rPr>
        <w:t>. Les inscriptions sont ouvertes jusqu</w:t>
      </w:r>
      <w:r w:rsidR="00F61E0E" w:rsidRPr="005370EE">
        <w:rPr>
          <w:rFonts w:cstheme="minorHAnsi"/>
          <w:bCs/>
          <w:sz w:val="22"/>
          <w:szCs w:val="22"/>
        </w:rPr>
        <w:t>'</w:t>
      </w:r>
      <w:r w:rsidRPr="005370EE">
        <w:rPr>
          <w:rFonts w:cstheme="minorHAnsi"/>
          <w:bCs/>
          <w:sz w:val="22"/>
          <w:szCs w:val="22"/>
        </w:rPr>
        <w:t>au 29 mars 2024. Les propositions doivent être soumises avant cette date.</w:t>
      </w:r>
    </w:p>
    <w:p w14:paraId="7E551BAC" w14:textId="00E92313" w:rsidR="00EC7F02" w:rsidRPr="005370EE" w:rsidRDefault="00EC7F02" w:rsidP="00EC7F02">
      <w:pPr>
        <w:rPr>
          <w:rFonts w:cstheme="minorHAnsi"/>
          <w:bCs/>
          <w:sz w:val="22"/>
          <w:szCs w:val="22"/>
        </w:rPr>
      </w:pPr>
      <w:r w:rsidRPr="005370EE">
        <w:rPr>
          <w:rFonts w:cstheme="minorHAnsi"/>
          <w:bCs/>
          <w:sz w:val="22"/>
          <w:szCs w:val="22"/>
        </w:rPr>
        <w:t>6</w:t>
      </w:r>
      <w:r w:rsidRPr="005370EE">
        <w:rPr>
          <w:rFonts w:cstheme="minorHAnsi"/>
          <w:bCs/>
          <w:sz w:val="22"/>
          <w:szCs w:val="22"/>
        </w:rPr>
        <w:tab/>
      </w:r>
      <w:r w:rsidRPr="005370EE">
        <w:rPr>
          <w:rFonts w:cstheme="minorHAnsi"/>
          <w:bCs/>
          <w:sz w:val="22"/>
          <w:szCs w:val="22"/>
        </w:rPr>
        <w:tab/>
        <w:t xml:space="preserve">Les renseignements relatifs à la manifestation "Think-a-Thon", y compris le calendrier, le format et les sous-thèmes proposés, sont disponibles à </w:t>
      </w:r>
      <w:proofErr w:type="gramStart"/>
      <w:r w:rsidRPr="005370EE">
        <w:rPr>
          <w:rFonts w:cstheme="minorHAnsi"/>
          <w:bCs/>
          <w:sz w:val="22"/>
          <w:szCs w:val="22"/>
        </w:rPr>
        <w:t>l'adresse:</w:t>
      </w:r>
      <w:proofErr w:type="gramEnd"/>
      <w:r w:rsidRPr="005370EE">
        <w:rPr>
          <w:rFonts w:cstheme="minorHAnsi"/>
          <w:bCs/>
          <w:sz w:val="22"/>
          <w:szCs w:val="22"/>
        </w:rPr>
        <w:t xml:space="preserve"> </w:t>
      </w:r>
      <w:hyperlink r:id="rId12" w:history="1">
        <w:r w:rsidRPr="005370EE">
          <w:rPr>
            <w:rStyle w:val="Hyperlink"/>
            <w:rFonts w:cstheme="minorHAnsi"/>
            <w:bCs/>
            <w:sz w:val="22"/>
            <w:szCs w:val="22"/>
          </w:rPr>
          <w:t>https://www.itu.int/metaverse/un-virtual-worlds-day/thi</w:t>
        </w:r>
        <w:r w:rsidRPr="005370EE">
          <w:rPr>
            <w:rStyle w:val="Hyperlink"/>
            <w:rFonts w:cstheme="minorHAnsi"/>
            <w:bCs/>
            <w:sz w:val="22"/>
            <w:szCs w:val="22"/>
          </w:rPr>
          <w:t>n</w:t>
        </w:r>
        <w:r w:rsidRPr="005370EE">
          <w:rPr>
            <w:rStyle w:val="Hyperlink"/>
            <w:rFonts w:cstheme="minorHAnsi"/>
            <w:bCs/>
            <w:sz w:val="22"/>
            <w:szCs w:val="22"/>
          </w:rPr>
          <w:t>kathon/</w:t>
        </w:r>
      </w:hyperlink>
      <w:r w:rsidRPr="005370EE">
        <w:rPr>
          <w:rFonts w:cstheme="minorHAnsi"/>
          <w:bCs/>
          <w:sz w:val="22"/>
          <w:szCs w:val="22"/>
        </w:rPr>
        <w:t>. Veuillez consulter régulièrement la page d</w:t>
      </w:r>
      <w:r w:rsidR="00F61E0E" w:rsidRPr="005370EE">
        <w:rPr>
          <w:rFonts w:cstheme="minorHAnsi"/>
          <w:bCs/>
          <w:sz w:val="22"/>
          <w:szCs w:val="22"/>
        </w:rPr>
        <w:t>'</w:t>
      </w:r>
      <w:r w:rsidRPr="005370EE">
        <w:rPr>
          <w:rFonts w:cstheme="minorHAnsi"/>
          <w:bCs/>
          <w:sz w:val="22"/>
          <w:szCs w:val="22"/>
        </w:rPr>
        <w:t>accueil pour obtenir les nouvelles mises à jour.</w:t>
      </w:r>
    </w:p>
    <w:p w14:paraId="46F2C3C2" w14:textId="56F2B4C3" w:rsidR="00307FB4" w:rsidRPr="005370EE" w:rsidRDefault="00EC7F02" w:rsidP="00EC7F02">
      <w:pPr>
        <w:rPr>
          <w:rFonts w:cstheme="minorHAnsi"/>
          <w:bCs/>
          <w:sz w:val="22"/>
          <w:szCs w:val="22"/>
        </w:rPr>
      </w:pPr>
      <w:r w:rsidRPr="005370EE">
        <w:rPr>
          <w:rFonts w:cstheme="minorHAnsi"/>
          <w:bCs/>
          <w:sz w:val="22"/>
          <w:szCs w:val="22"/>
        </w:rPr>
        <w:t>7</w:t>
      </w:r>
      <w:r w:rsidRPr="005370EE">
        <w:rPr>
          <w:rFonts w:cstheme="minorHAnsi"/>
          <w:bCs/>
          <w:sz w:val="22"/>
          <w:szCs w:val="22"/>
        </w:rPr>
        <w:tab/>
        <w:t xml:space="preserve">Pour obtenir de plus amples renseignements ou pour toute question concernant la manifestation, veuillez contacter </w:t>
      </w:r>
      <w:hyperlink r:id="rId13" w:history="1">
        <w:r w:rsidR="006D1725" w:rsidRPr="005370EE">
          <w:rPr>
            <w:rStyle w:val="Hyperlink"/>
            <w:rFonts w:cstheme="minorHAnsi"/>
            <w:sz w:val="22"/>
            <w:szCs w:val="22"/>
          </w:rPr>
          <w:t>virtualworlds@itu.int</w:t>
        </w:r>
      </w:hyperlink>
      <w:r w:rsidRPr="005370EE">
        <w:rPr>
          <w:rFonts w:cstheme="minorHAnsi"/>
          <w:bCs/>
          <w:sz w:val="22"/>
          <w:szCs w:val="22"/>
        </w:rPr>
        <w:t>.</w:t>
      </w:r>
    </w:p>
    <w:p w14:paraId="6A4CD67F" w14:textId="3A24C67B" w:rsidR="00307FB4" w:rsidRPr="005370EE" w:rsidRDefault="00EC7F02" w:rsidP="00307FB4">
      <w:pPr>
        <w:rPr>
          <w:rFonts w:cstheme="minorHAnsi"/>
          <w:bCs/>
          <w:sz w:val="22"/>
          <w:szCs w:val="22"/>
        </w:rPr>
      </w:pPr>
      <w:r w:rsidRPr="005370EE">
        <w:rPr>
          <w:rFonts w:cstheme="minorHAnsi"/>
          <w:bCs/>
          <w:sz w:val="22"/>
          <w:szCs w:val="22"/>
        </w:rPr>
        <w:t>Je vous prie d'agréer, Madame, Monsieur, l'expression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348"/>
      </w:tblGrid>
      <w:tr w:rsidR="00EC7F02" w:rsidRPr="005370EE" w14:paraId="41E438B5" w14:textId="77777777" w:rsidTr="00632177">
        <w:trPr>
          <w:cantSplit/>
          <w:trHeight w:val="1134"/>
        </w:trPr>
        <w:tc>
          <w:tcPr>
            <w:tcW w:w="7371" w:type="dxa"/>
          </w:tcPr>
          <w:p w14:paraId="6E6E9852" w14:textId="5B81A478" w:rsidR="00EC7F02" w:rsidRPr="005370EE" w:rsidRDefault="00525CA8" w:rsidP="005370EE">
            <w:pPr>
              <w:spacing w:before="840" w:after="120"/>
              <w:ind w:left="-108"/>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5107575E" wp14:editId="3D4EF4D5">
                  <wp:simplePos x="0" y="0"/>
                  <wp:positionH relativeFrom="column">
                    <wp:posOffset>-36195</wp:posOffset>
                  </wp:positionH>
                  <wp:positionV relativeFrom="paragraph">
                    <wp:posOffset>60325</wp:posOffset>
                  </wp:positionV>
                  <wp:extent cx="584200" cy="438150"/>
                  <wp:effectExtent l="0" t="0" r="6350" b="0"/>
                  <wp:wrapNone/>
                  <wp:docPr id="128067602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76023"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84200" cy="438150"/>
                          </a:xfrm>
                          <a:prstGeom prst="rect">
                            <a:avLst/>
                          </a:prstGeom>
                        </pic:spPr>
                      </pic:pic>
                    </a:graphicData>
                  </a:graphic>
                  <wp14:sizeRelH relativeFrom="margin">
                    <wp14:pctWidth>0</wp14:pctWidth>
                  </wp14:sizeRelH>
                  <wp14:sizeRelV relativeFrom="margin">
                    <wp14:pctHeight>0</wp14:pctHeight>
                  </wp14:sizeRelV>
                </wp:anchor>
              </w:drawing>
            </w:r>
            <w:r w:rsidR="00EC7F02" w:rsidRPr="005370EE">
              <w:rPr>
                <w:rFonts w:cstheme="minorHAnsi"/>
                <w:sz w:val="22"/>
                <w:szCs w:val="22"/>
              </w:rPr>
              <w:t>Seizo Onoe</w:t>
            </w:r>
            <w:r w:rsidR="00EC7F02" w:rsidRPr="005370EE">
              <w:rPr>
                <w:rFonts w:cstheme="minorHAnsi"/>
                <w:sz w:val="22"/>
                <w:szCs w:val="22"/>
              </w:rPr>
              <w:br/>
              <w:t>Directeur du Bureau de la normalisation</w:t>
            </w:r>
            <w:r w:rsidR="00EC7F02" w:rsidRPr="005370EE">
              <w:rPr>
                <w:rFonts w:cstheme="minorHAnsi"/>
                <w:sz w:val="22"/>
                <w:szCs w:val="22"/>
              </w:rPr>
              <w:br/>
              <w:t>des télécommunications</w:t>
            </w:r>
          </w:p>
        </w:tc>
        <w:tc>
          <w:tcPr>
            <w:tcW w:w="2348" w:type="dxa"/>
            <w:textDirection w:val="btLr"/>
          </w:tcPr>
          <w:p w14:paraId="23D680F2" w14:textId="7CA69A41" w:rsidR="00EC7F02" w:rsidRPr="005370EE" w:rsidRDefault="00EC7F02" w:rsidP="00632177">
            <w:pPr>
              <w:spacing w:before="0" w:after="120"/>
              <w:ind w:left="113" w:right="113"/>
              <w:jc w:val="center"/>
              <w:rPr>
                <w:rFonts w:cstheme="minorHAnsi"/>
                <w:sz w:val="22"/>
                <w:szCs w:val="22"/>
              </w:rPr>
            </w:pPr>
            <w:r w:rsidRPr="005370EE">
              <w:rPr>
                <w:rFonts w:cstheme="minorHAnsi"/>
                <w:noProof/>
                <w:sz w:val="22"/>
                <w:szCs w:val="22"/>
              </w:rPr>
              <w:drawing>
                <wp:inline distT="0" distB="0" distL="0" distR="0" wp14:anchorId="7C1603FA" wp14:editId="73A39A88">
                  <wp:extent cx="984299" cy="984299"/>
                  <wp:effectExtent l="0" t="0" r="6350" b="6350"/>
                  <wp:docPr id="7522739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92" name="Picture 1" descr="A qr code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8201" cy="988201"/>
                          </a:xfrm>
                          <a:prstGeom prst="rect">
                            <a:avLst/>
                          </a:prstGeom>
                          <a:noFill/>
                          <a:ln>
                            <a:noFill/>
                          </a:ln>
                        </pic:spPr>
                      </pic:pic>
                    </a:graphicData>
                  </a:graphic>
                </wp:inline>
              </w:drawing>
            </w:r>
          </w:p>
          <w:p w14:paraId="771D80D4" w14:textId="60B3BB7B" w:rsidR="00EC7F02" w:rsidRPr="005370EE" w:rsidRDefault="00EC7F02" w:rsidP="00632177">
            <w:pPr>
              <w:spacing w:before="0" w:after="120"/>
              <w:ind w:left="113" w:right="113"/>
              <w:jc w:val="center"/>
              <w:rPr>
                <w:rFonts w:cstheme="minorHAnsi"/>
                <w:sz w:val="22"/>
                <w:szCs w:val="22"/>
              </w:rPr>
            </w:pPr>
            <w:r w:rsidRPr="005370EE">
              <w:rPr>
                <w:rFonts w:cstheme="minorHAnsi"/>
                <w:sz w:val="22"/>
                <w:szCs w:val="22"/>
              </w:rPr>
              <w:t>Informations sur le</w:t>
            </w:r>
            <w:r w:rsidRPr="005370EE">
              <w:rPr>
                <w:rFonts w:cstheme="minorHAnsi"/>
                <w:sz w:val="22"/>
                <w:szCs w:val="22"/>
              </w:rPr>
              <w:br/>
              <w:t>Think-a-Thon</w:t>
            </w:r>
          </w:p>
        </w:tc>
      </w:tr>
    </w:tbl>
    <w:p w14:paraId="3B647157" w14:textId="5222464D" w:rsidR="00517A03" w:rsidRPr="00EE361F" w:rsidRDefault="00517A03" w:rsidP="00EC7F02">
      <w:pPr>
        <w:tabs>
          <w:tab w:val="clear" w:pos="794"/>
          <w:tab w:val="clear" w:pos="1191"/>
          <w:tab w:val="clear" w:pos="1588"/>
          <w:tab w:val="clear" w:pos="1985"/>
        </w:tabs>
        <w:overflowPunct/>
        <w:autoSpaceDE/>
        <w:autoSpaceDN/>
        <w:adjustRightInd/>
        <w:spacing w:before="0"/>
        <w:textAlignment w:val="auto"/>
        <w:rPr>
          <w:bCs/>
        </w:rPr>
      </w:pPr>
    </w:p>
    <w:sectPr w:rsidR="00517A03" w:rsidRPr="00EE361F"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4006AC05" w:rsidR="00697BC1" w:rsidRPr="00697BC1" w:rsidRDefault="00525CA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C7F02">
      <w:rPr>
        <w:noProof/>
        <w:sz w:val="18"/>
        <w:szCs w:val="16"/>
      </w:rPr>
      <w:t>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3420D77"/>
    <w:multiLevelType w:val="multilevel"/>
    <w:tmpl w:val="658661F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3"/>
  </w:num>
  <w:num w:numId="4" w16cid:durableId="1871449755">
    <w:abstractNumId w:val="0"/>
  </w:num>
  <w:num w:numId="5" w16cid:durableId="93848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F2911"/>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25CA8"/>
    <w:rsid w:val="005370EE"/>
    <w:rsid w:val="005A3DD9"/>
    <w:rsid w:val="005B1DFC"/>
    <w:rsid w:val="00601682"/>
    <w:rsid w:val="00603470"/>
    <w:rsid w:val="00625E79"/>
    <w:rsid w:val="006333F7"/>
    <w:rsid w:val="006427A1"/>
    <w:rsid w:val="00644741"/>
    <w:rsid w:val="00697BC1"/>
    <w:rsid w:val="006A6FFE"/>
    <w:rsid w:val="006C5A91"/>
    <w:rsid w:val="006D1725"/>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E76AA"/>
    <w:rsid w:val="00CF2560"/>
    <w:rsid w:val="00CF5B46"/>
    <w:rsid w:val="00D46B68"/>
    <w:rsid w:val="00D542A5"/>
    <w:rsid w:val="00DC3D47"/>
    <w:rsid w:val="00DD77DA"/>
    <w:rsid w:val="00E06C61"/>
    <w:rsid w:val="00E13DB3"/>
    <w:rsid w:val="00E2408B"/>
    <w:rsid w:val="00E62CEA"/>
    <w:rsid w:val="00E72AE1"/>
    <w:rsid w:val="00EC7F02"/>
    <w:rsid w:val="00ED6A7A"/>
    <w:rsid w:val="00EE361F"/>
    <w:rsid w:val="00EE4C36"/>
    <w:rsid w:val="00EF6A23"/>
    <w:rsid w:val="00F346CE"/>
    <w:rsid w:val="00F34F98"/>
    <w:rsid w:val="00F40540"/>
    <w:rsid w:val="00F61E0E"/>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59"/>
    <w:rsid w:val="00EC7F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rtualworld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etaverse/un-virtual-worlds-day/thinkath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etaverse/un-virtual-worlds-day/thinkatho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itu.int/metaverse/un-virtual-worlds-d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rtualworld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71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4348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2024-05-09T09:53:00Z</cp:lastPrinted>
  <dcterms:created xsi:type="dcterms:W3CDTF">2024-03-18T08:42:00Z</dcterms:created>
  <dcterms:modified xsi:type="dcterms:W3CDTF">2024-05-09T09:54:00Z</dcterms:modified>
</cp:coreProperties>
</file>