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993"/>
        <w:gridCol w:w="417"/>
        <w:gridCol w:w="3467"/>
        <w:gridCol w:w="4896"/>
      </w:tblGrid>
      <w:tr w:rsidR="007B6316" w14:paraId="048CE685" w14:textId="77777777" w:rsidTr="0093682D">
        <w:trPr>
          <w:gridBefore w:val="1"/>
          <w:wBefore w:w="150" w:type="dxa"/>
          <w:cantSplit/>
          <w:trHeight w:val="340"/>
        </w:trPr>
        <w:tc>
          <w:tcPr>
            <w:tcW w:w="1410" w:type="dxa"/>
            <w:gridSpan w:val="2"/>
          </w:tcPr>
          <w:p w14:paraId="2D341A9C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527B70E" wp14:editId="3FA67B3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vAlign w:val="center"/>
          </w:tcPr>
          <w:p w14:paraId="42ED955C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F87B73A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93682D" w14:paraId="45366163" w14:textId="77777777" w:rsidTr="0093682D">
        <w:trPr>
          <w:gridBefore w:val="1"/>
          <w:wBefore w:w="150" w:type="dxa"/>
          <w:cantSplit/>
          <w:trHeight w:val="340"/>
        </w:trPr>
        <w:tc>
          <w:tcPr>
            <w:tcW w:w="993" w:type="dxa"/>
          </w:tcPr>
          <w:p w14:paraId="2C742381" w14:textId="77777777" w:rsidR="007B6316" w:rsidRPr="0093682D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7E82E5A0" w14:textId="77777777" w:rsidR="007B6316" w:rsidRPr="0093682D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4896" w:type="dxa"/>
          </w:tcPr>
          <w:p w14:paraId="7EB01C30" w14:textId="588220CF" w:rsidR="007B6316" w:rsidRPr="0093682D" w:rsidRDefault="00CE346F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93682D">
              <w:rPr>
                <w:sz w:val="22"/>
                <w:szCs w:val="22"/>
                <w:lang w:val="es-ES"/>
              </w:rPr>
              <w:t>Ginebra, 19 de febrero de 2024</w:t>
            </w:r>
          </w:p>
        </w:tc>
      </w:tr>
      <w:tr w:rsidR="001350B9" w:rsidRPr="0093682D" w14:paraId="1D7FC1FB" w14:textId="77777777" w:rsidTr="0093682D">
        <w:trPr>
          <w:cantSplit/>
          <w:trHeight w:val="340"/>
        </w:trPr>
        <w:tc>
          <w:tcPr>
            <w:tcW w:w="1143" w:type="dxa"/>
            <w:gridSpan w:val="2"/>
          </w:tcPr>
          <w:p w14:paraId="5242E7DC" w14:textId="77777777" w:rsidR="001350B9" w:rsidRPr="0093682D" w:rsidRDefault="001350B9" w:rsidP="0093682D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93682D">
              <w:rPr>
                <w:sz w:val="22"/>
                <w:szCs w:val="22"/>
              </w:rPr>
              <w:t>Ref.:</w:t>
            </w:r>
          </w:p>
          <w:p w14:paraId="6BC5B50A" w14:textId="77777777" w:rsidR="001350B9" w:rsidRPr="0093682D" w:rsidRDefault="001350B9" w:rsidP="0093682D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1ABF43D6" w14:textId="5D87C186" w:rsidR="001350B9" w:rsidRPr="0093682D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93682D">
              <w:rPr>
                <w:b/>
                <w:sz w:val="22"/>
                <w:szCs w:val="22"/>
              </w:rPr>
              <w:t xml:space="preserve">Circular TSB </w:t>
            </w:r>
            <w:r w:rsidR="00CE346F" w:rsidRPr="0093682D">
              <w:rPr>
                <w:rStyle w:val="None"/>
                <w:rFonts w:cstheme="minorHAnsi"/>
                <w:b/>
                <w:bCs/>
                <w:sz w:val="22"/>
                <w:szCs w:val="22"/>
              </w:rPr>
              <w:t>181</w:t>
            </w:r>
          </w:p>
          <w:p w14:paraId="5189DE65" w14:textId="2D290602" w:rsidR="001350B9" w:rsidRPr="0093682D" w:rsidRDefault="00CE346F" w:rsidP="007B6316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93682D">
              <w:rPr>
                <w:rStyle w:val="None"/>
                <w:rFonts w:cstheme="minorHAnsi"/>
                <w:sz w:val="22"/>
                <w:szCs w:val="22"/>
              </w:rPr>
              <w:t>SG11/DA</w:t>
            </w:r>
          </w:p>
        </w:tc>
        <w:tc>
          <w:tcPr>
            <w:tcW w:w="4896" w:type="dxa"/>
            <w:vMerge w:val="restart"/>
          </w:tcPr>
          <w:p w14:paraId="14284D6E" w14:textId="77777777" w:rsidR="00CE346F" w:rsidRPr="0093682D" w:rsidRDefault="00CE346F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b/>
                <w:sz w:val="22"/>
                <w:szCs w:val="22"/>
                <w:lang w:val="es-ES"/>
              </w:rPr>
            </w:pPr>
            <w:bookmarkStart w:id="0" w:name="Addressee_S"/>
            <w:bookmarkEnd w:id="0"/>
            <w:r w:rsidRPr="0093682D">
              <w:rPr>
                <w:rFonts w:cstheme="minorHAnsi"/>
                <w:b/>
                <w:sz w:val="22"/>
                <w:szCs w:val="22"/>
                <w:lang w:val="es-ES"/>
              </w:rPr>
              <w:t>A:</w:t>
            </w:r>
          </w:p>
          <w:p w14:paraId="3125A1C8" w14:textId="4768A254" w:rsidR="001350B9" w:rsidRPr="0093682D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93682D">
              <w:rPr>
                <w:sz w:val="22"/>
                <w:szCs w:val="22"/>
              </w:rPr>
              <w:t>-</w:t>
            </w:r>
            <w:r w:rsidRPr="0093682D">
              <w:rPr>
                <w:sz w:val="22"/>
                <w:szCs w:val="22"/>
              </w:rPr>
              <w:tab/>
              <w:t>las Administraciones de los Estados Miembros de la Unión</w:t>
            </w:r>
          </w:p>
          <w:p w14:paraId="0BBC4E60" w14:textId="14DF9ADC" w:rsidR="001350B9" w:rsidRPr="0093682D" w:rsidRDefault="00CE346F" w:rsidP="00303D62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93682D">
              <w:rPr>
                <w:rFonts w:cstheme="minorHAnsi"/>
                <w:b/>
                <w:sz w:val="22"/>
                <w:szCs w:val="22"/>
                <w:lang w:val="es-ES"/>
              </w:rPr>
              <w:t>Copia:</w:t>
            </w:r>
          </w:p>
          <w:p w14:paraId="2D00AFD9" w14:textId="1E0606A8" w:rsidR="001350B9" w:rsidRPr="0093682D" w:rsidRDefault="001350B9" w:rsidP="00CE346F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93682D">
              <w:rPr>
                <w:sz w:val="22"/>
                <w:szCs w:val="22"/>
              </w:rPr>
              <w:t>-</w:t>
            </w:r>
            <w:r w:rsidRPr="0093682D">
              <w:rPr>
                <w:sz w:val="22"/>
                <w:szCs w:val="22"/>
              </w:rPr>
              <w:tab/>
            </w:r>
            <w:r w:rsidR="00CE346F" w:rsidRPr="0093682D">
              <w:rPr>
                <w:rFonts w:cstheme="minorHAnsi"/>
                <w:sz w:val="22"/>
                <w:szCs w:val="22"/>
                <w:lang w:val="es-ES"/>
              </w:rPr>
              <w:t xml:space="preserve">a los </w:t>
            </w:r>
            <w:proofErr w:type="gramStart"/>
            <w:r w:rsidR="00CE346F" w:rsidRPr="0093682D">
              <w:rPr>
                <w:rFonts w:cstheme="minorHAnsi"/>
                <w:sz w:val="22"/>
                <w:szCs w:val="22"/>
                <w:lang w:val="es-ES"/>
              </w:rPr>
              <w:t>Presidentes</w:t>
            </w:r>
            <w:proofErr w:type="gramEnd"/>
            <w:r w:rsidR="00CE346F" w:rsidRPr="0093682D">
              <w:rPr>
                <w:rFonts w:cstheme="minorHAnsi"/>
                <w:sz w:val="22"/>
                <w:szCs w:val="22"/>
                <w:lang w:val="es-ES"/>
              </w:rPr>
              <w:t xml:space="preserve"> y Vicepresidentes de las Comisiones de Estudio del UIT-T;</w:t>
            </w:r>
          </w:p>
          <w:p w14:paraId="0E66E5FC" w14:textId="7C26051E" w:rsidR="001350B9" w:rsidRPr="0093682D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93682D">
              <w:rPr>
                <w:sz w:val="22"/>
                <w:szCs w:val="22"/>
              </w:rPr>
              <w:t>-</w:t>
            </w:r>
            <w:r w:rsidRPr="0093682D">
              <w:rPr>
                <w:sz w:val="22"/>
                <w:szCs w:val="22"/>
              </w:rPr>
              <w:tab/>
            </w:r>
            <w:r w:rsidR="00CE346F" w:rsidRPr="0093682D">
              <w:rPr>
                <w:sz w:val="22"/>
                <w:szCs w:val="22"/>
              </w:rPr>
              <w:t>al</w:t>
            </w:r>
            <w:r w:rsidRPr="0093682D">
              <w:rPr>
                <w:sz w:val="22"/>
                <w:szCs w:val="22"/>
              </w:rPr>
              <w:t xml:space="preserve"> </w:t>
            </w:r>
            <w:proofErr w:type="gramStart"/>
            <w:r w:rsidRPr="0093682D">
              <w:rPr>
                <w:sz w:val="22"/>
                <w:szCs w:val="22"/>
              </w:rPr>
              <w:t>Director</w:t>
            </w:r>
            <w:proofErr w:type="gramEnd"/>
            <w:r w:rsidRPr="0093682D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1C91B955" w14:textId="7612E7E9" w:rsidR="001350B9" w:rsidRPr="0093682D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93682D">
              <w:rPr>
                <w:sz w:val="22"/>
                <w:szCs w:val="22"/>
              </w:rPr>
              <w:t>-</w:t>
            </w:r>
            <w:r w:rsidRPr="0093682D">
              <w:rPr>
                <w:sz w:val="22"/>
                <w:szCs w:val="22"/>
              </w:rPr>
              <w:tab/>
            </w:r>
            <w:r w:rsidR="00CE346F" w:rsidRPr="0093682D">
              <w:rPr>
                <w:sz w:val="22"/>
                <w:szCs w:val="22"/>
              </w:rPr>
              <w:t>a</w:t>
            </w:r>
            <w:r w:rsidRPr="0093682D">
              <w:rPr>
                <w:sz w:val="22"/>
                <w:szCs w:val="22"/>
              </w:rPr>
              <w:t xml:space="preserve">l </w:t>
            </w:r>
            <w:proofErr w:type="gramStart"/>
            <w:r w:rsidRPr="0093682D">
              <w:rPr>
                <w:sz w:val="22"/>
                <w:szCs w:val="22"/>
              </w:rPr>
              <w:t>Director</w:t>
            </w:r>
            <w:proofErr w:type="gramEnd"/>
            <w:r w:rsidRPr="0093682D">
              <w:rPr>
                <w:sz w:val="22"/>
                <w:szCs w:val="22"/>
              </w:rPr>
              <w:t xml:space="preserve"> de la Oficina de Radiocomunicaciones</w:t>
            </w:r>
          </w:p>
        </w:tc>
      </w:tr>
      <w:tr w:rsidR="001350B9" w:rsidRPr="0093682D" w14:paraId="55F34A19" w14:textId="77777777" w:rsidTr="0093682D">
        <w:trPr>
          <w:cantSplit/>
        </w:trPr>
        <w:tc>
          <w:tcPr>
            <w:tcW w:w="1143" w:type="dxa"/>
            <w:gridSpan w:val="2"/>
          </w:tcPr>
          <w:p w14:paraId="49417454" w14:textId="77777777" w:rsidR="001350B9" w:rsidRPr="0093682D" w:rsidRDefault="001350B9" w:rsidP="0093682D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93682D">
              <w:rPr>
                <w:sz w:val="22"/>
                <w:szCs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6F18928E" w14:textId="41E85D55" w:rsidR="001350B9" w:rsidRPr="0093682D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93682D">
              <w:rPr>
                <w:sz w:val="22"/>
                <w:szCs w:val="22"/>
              </w:rPr>
              <w:t>+41 22 730</w:t>
            </w:r>
            <w:r w:rsidR="00CE346F" w:rsidRPr="0093682D">
              <w:rPr>
                <w:sz w:val="22"/>
                <w:szCs w:val="22"/>
              </w:rPr>
              <w:t xml:space="preserve"> 5780</w:t>
            </w:r>
          </w:p>
        </w:tc>
        <w:tc>
          <w:tcPr>
            <w:tcW w:w="4896" w:type="dxa"/>
            <w:vMerge/>
          </w:tcPr>
          <w:p w14:paraId="1CBB3BD6" w14:textId="77777777" w:rsidR="001350B9" w:rsidRPr="0093682D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93682D" w14:paraId="185D0009" w14:textId="77777777" w:rsidTr="0093682D">
        <w:trPr>
          <w:cantSplit/>
        </w:trPr>
        <w:tc>
          <w:tcPr>
            <w:tcW w:w="1143" w:type="dxa"/>
            <w:gridSpan w:val="2"/>
          </w:tcPr>
          <w:p w14:paraId="716E7440" w14:textId="77777777" w:rsidR="001350B9" w:rsidRPr="0093682D" w:rsidRDefault="001350B9" w:rsidP="0093682D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93682D">
              <w:rPr>
                <w:sz w:val="22"/>
                <w:szCs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356EACEB" w14:textId="77777777" w:rsidR="001350B9" w:rsidRPr="0093682D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93682D">
              <w:rPr>
                <w:sz w:val="22"/>
                <w:szCs w:val="22"/>
              </w:rPr>
              <w:t>+41 22 730 5853</w:t>
            </w:r>
          </w:p>
        </w:tc>
        <w:tc>
          <w:tcPr>
            <w:tcW w:w="4896" w:type="dxa"/>
            <w:vMerge/>
          </w:tcPr>
          <w:p w14:paraId="71EC7BF9" w14:textId="77777777" w:rsidR="001350B9" w:rsidRPr="0093682D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93682D" w14:paraId="31E23B84" w14:textId="77777777" w:rsidTr="0093682D">
        <w:trPr>
          <w:cantSplit/>
          <w:trHeight w:val="1472"/>
        </w:trPr>
        <w:tc>
          <w:tcPr>
            <w:tcW w:w="1143" w:type="dxa"/>
            <w:gridSpan w:val="2"/>
          </w:tcPr>
          <w:p w14:paraId="42D7276B" w14:textId="77777777" w:rsidR="001350B9" w:rsidRPr="0093682D" w:rsidRDefault="001350B9" w:rsidP="0093682D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93682D">
              <w:rPr>
                <w:sz w:val="22"/>
                <w:szCs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53101F05" w14:textId="52C94BD2" w:rsidR="001350B9" w:rsidRPr="0093682D" w:rsidRDefault="00677AEB" w:rsidP="00303D6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CE346F" w:rsidRPr="0093682D">
                <w:rPr>
                  <w:rStyle w:val="Hyperlink"/>
                  <w:sz w:val="22"/>
                  <w:szCs w:val="22"/>
                </w:rPr>
                <w:t>tsbsg11@itu.int</w:t>
              </w:r>
            </w:hyperlink>
            <w:r w:rsidR="001350B9" w:rsidRPr="00936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96" w:type="dxa"/>
            <w:vMerge/>
          </w:tcPr>
          <w:p w14:paraId="2C82D2EB" w14:textId="77777777" w:rsidR="001350B9" w:rsidRPr="0093682D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</w:p>
        </w:tc>
      </w:tr>
      <w:tr w:rsidR="007B6316" w:rsidRPr="0093682D" w14:paraId="0440C77C" w14:textId="77777777" w:rsidTr="0093682D">
        <w:trPr>
          <w:cantSplit/>
          <w:trHeight w:val="854"/>
        </w:trPr>
        <w:tc>
          <w:tcPr>
            <w:tcW w:w="1143" w:type="dxa"/>
            <w:gridSpan w:val="2"/>
          </w:tcPr>
          <w:p w14:paraId="0ACFA2B4" w14:textId="77777777" w:rsidR="007B6316" w:rsidRPr="0093682D" w:rsidRDefault="007B6316" w:rsidP="0093682D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93682D">
              <w:rPr>
                <w:b/>
                <w:bCs/>
                <w:sz w:val="22"/>
                <w:szCs w:val="22"/>
              </w:rPr>
              <w:t>Asunto</w:t>
            </w:r>
            <w:r w:rsidRPr="0093682D">
              <w:rPr>
                <w:sz w:val="22"/>
                <w:szCs w:val="22"/>
              </w:rPr>
              <w:t>:</w:t>
            </w:r>
          </w:p>
        </w:tc>
        <w:tc>
          <w:tcPr>
            <w:tcW w:w="8780" w:type="dxa"/>
            <w:gridSpan w:val="3"/>
          </w:tcPr>
          <w:p w14:paraId="5AA19793" w14:textId="16FA07DE" w:rsidR="007B6316" w:rsidRPr="0093682D" w:rsidRDefault="00CE346F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93682D">
              <w:rPr>
                <w:rFonts w:cstheme="minorHAnsi"/>
                <w:b/>
                <w:sz w:val="22"/>
                <w:szCs w:val="22"/>
                <w:lang w:val="es-ES"/>
              </w:rPr>
              <w:t>Llamamiento a actualizar los casos prácticos de la lucha contra la falsificación de las TIC y el robo de dispositivos móviles y puesta en marcha del Registro Central de Identidad de Equipos (CEIR)</w:t>
            </w:r>
          </w:p>
        </w:tc>
      </w:tr>
    </w:tbl>
    <w:p w14:paraId="443194CC" w14:textId="6841EAC0" w:rsidR="00C34772" w:rsidRPr="0093682D" w:rsidRDefault="00C34772" w:rsidP="0099709B">
      <w:pPr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93682D">
        <w:rPr>
          <w:sz w:val="22"/>
          <w:szCs w:val="22"/>
        </w:rPr>
        <w:t>Muy Señora mía/Muy Señor mío</w:t>
      </w:r>
      <w:r w:rsidR="0093682D">
        <w:rPr>
          <w:sz w:val="22"/>
          <w:szCs w:val="22"/>
        </w:rPr>
        <w:t>,</w:t>
      </w:r>
    </w:p>
    <w:p w14:paraId="1E94F37C" w14:textId="35C3845A" w:rsidR="002A3420" w:rsidRPr="0093682D" w:rsidRDefault="002A3420" w:rsidP="0099709B">
      <w:pPr>
        <w:rPr>
          <w:rFonts w:cstheme="minorHAnsi"/>
          <w:sz w:val="22"/>
          <w:szCs w:val="22"/>
          <w:lang w:val="es-ES"/>
        </w:rPr>
      </w:pPr>
      <w:r w:rsidRPr="0093682D">
        <w:rPr>
          <w:rFonts w:cstheme="minorHAnsi"/>
          <w:sz w:val="22"/>
          <w:szCs w:val="22"/>
          <w:lang w:val="es-ES"/>
        </w:rPr>
        <w:t>Durante su última reunión (10-20 de octubre de 2023, Ginebra (Suiza), la Comisión de Estudio 11 (CE 11) del UIT-T acordó publicar un llamamiento a actualizar los casos</w:t>
      </w:r>
      <w:r w:rsidRPr="0093682D">
        <w:rPr>
          <w:rFonts w:cstheme="minorHAnsi"/>
          <w:b/>
          <w:sz w:val="22"/>
          <w:szCs w:val="22"/>
          <w:lang w:val="es-ES"/>
        </w:rPr>
        <w:t xml:space="preserve"> </w:t>
      </w:r>
      <w:r w:rsidRPr="0093682D">
        <w:rPr>
          <w:rFonts w:cstheme="minorHAnsi"/>
          <w:sz w:val="22"/>
          <w:szCs w:val="22"/>
          <w:lang w:val="es-ES"/>
        </w:rPr>
        <w:t xml:space="preserve">prácticos existentes, por lo que ha iniciado el proceso de revisión del </w:t>
      </w:r>
      <w:hyperlink r:id="rId10" w:history="1">
        <w:r w:rsidRPr="00920C9B">
          <w:rPr>
            <w:rStyle w:val="Hyperlink"/>
            <w:sz w:val="22"/>
            <w:szCs w:val="22"/>
            <w:lang w:val="es-ES"/>
          </w:rPr>
          <w:t>Supl.75 de la Serie Q sobre "Casos prácticos de la lucha contra la falsificación de las TIC y el robo de dispositivos móviles</w:t>
        </w:r>
        <w:r w:rsidRPr="00920C9B">
          <w:rPr>
            <w:rStyle w:val="Hyperlink"/>
            <w:rFonts w:cstheme="minorHAnsi"/>
            <w:sz w:val="22"/>
            <w:szCs w:val="22"/>
            <w:lang w:val="es-ES"/>
          </w:rPr>
          <w:t>".</w:t>
        </w:r>
      </w:hyperlink>
      <w:r w:rsidRPr="0093682D">
        <w:rPr>
          <w:rFonts w:cstheme="minorHAnsi"/>
          <w:sz w:val="22"/>
          <w:szCs w:val="22"/>
          <w:lang w:val="es-ES"/>
        </w:rPr>
        <w:t xml:space="preserve"> </w:t>
      </w:r>
    </w:p>
    <w:p w14:paraId="534D95AA" w14:textId="16085AD5" w:rsidR="002A3420" w:rsidRPr="0093682D" w:rsidRDefault="002A3420" w:rsidP="0099709B">
      <w:pPr>
        <w:rPr>
          <w:rFonts w:cstheme="minorHAnsi"/>
          <w:sz w:val="22"/>
          <w:szCs w:val="22"/>
          <w:lang w:val="es-ES"/>
        </w:rPr>
      </w:pPr>
      <w:r w:rsidRPr="0093682D">
        <w:rPr>
          <w:rFonts w:cstheme="minorHAnsi"/>
          <w:sz w:val="22"/>
          <w:szCs w:val="22"/>
          <w:lang w:val="es-ES"/>
        </w:rPr>
        <w:t xml:space="preserve">Además, reconociendo las actividades de la CE 11 del UIT-T relacionadas con el </w:t>
      </w:r>
      <w:hyperlink r:id="rId11" w:history="1">
        <w:r w:rsidRPr="0093682D">
          <w:rPr>
            <w:rStyle w:val="Hyperlink"/>
            <w:rFonts w:cstheme="minorHAnsi"/>
            <w:sz w:val="22"/>
            <w:szCs w:val="22"/>
            <w:lang w:val="es-ES"/>
          </w:rPr>
          <w:t>Registro de Identidad de Equipos (EIR)</w:t>
        </w:r>
      </w:hyperlink>
      <w:r w:rsidRPr="0093682D">
        <w:rPr>
          <w:rFonts w:cstheme="minorHAnsi"/>
          <w:sz w:val="22"/>
          <w:szCs w:val="22"/>
          <w:lang w:val="es-ES"/>
        </w:rPr>
        <w:t>, la Comisión de Estudio acordó solicitar información sobre la puesta en marcha del Registro Central de Identidades de Equipos (CEIR).</w:t>
      </w:r>
    </w:p>
    <w:p w14:paraId="62738EBF" w14:textId="77777777" w:rsidR="002A3420" w:rsidRPr="0093682D" w:rsidRDefault="002A3420" w:rsidP="0099709B">
      <w:pPr>
        <w:rPr>
          <w:rFonts w:cstheme="minorHAnsi"/>
          <w:sz w:val="22"/>
          <w:szCs w:val="22"/>
          <w:lang w:val="es-ES"/>
        </w:rPr>
      </w:pPr>
      <w:r w:rsidRPr="0093682D">
        <w:rPr>
          <w:rFonts w:cstheme="minorHAnsi"/>
          <w:sz w:val="22"/>
          <w:szCs w:val="22"/>
          <w:lang w:val="es-ES"/>
        </w:rPr>
        <w:t>Habida cuenta de lo anterior, se anima a los Miembros de la UIT a presentar sus revisiones de los casos prácticos existentes o a proponer descripciones para casos prácticos nuevos, incluida la puesta en marcha del CEIR, enviando sus contribuciones para la C15/11 a la próxima reunión de la CE 11 del UIT-T (Ginebra, 1-10 de mayo de 2024).</w:t>
      </w:r>
    </w:p>
    <w:p w14:paraId="0638161F" w14:textId="77777777" w:rsidR="002A3420" w:rsidRPr="0093682D" w:rsidRDefault="002A3420" w:rsidP="0099709B">
      <w:pPr>
        <w:rPr>
          <w:rFonts w:cstheme="minorHAnsi"/>
          <w:sz w:val="22"/>
          <w:szCs w:val="22"/>
          <w:lang w:val="es-ES"/>
        </w:rPr>
      </w:pPr>
      <w:r w:rsidRPr="0093682D">
        <w:rPr>
          <w:rFonts w:cstheme="minorHAnsi"/>
          <w:sz w:val="22"/>
          <w:szCs w:val="22"/>
          <w:lang w:val="es-ES"/>
        </w:rPr>
        <w:t xml:space="preserve">La plantilla acordada para los casos prácticos nuevos está descrita en el </w:t>
      </w:r>
      <w:r w:rsidRPr="0093682D">
        <w:rPr>
          <w:rFonts w:cstheme="minorHAnsi"/>
          <w:b/>
          <w:sz w:val="22"/>
          <w:szCs w:val="22"/>
          <w:lang w:val="es-ES"/>
        </w:rPr>
        <w:t>Anexo 1</w:t>
      </w:r>
      <w:r w:rsidRPr="0093682D">
        <w:rPr>
          <w:rFonts w:cstheme="minorHAnsi"/>
          <w:sz w:val="22"/>
          <w:szCs w:val="22"/>
          <w:lang w:val="es-ES"/>
        </w:rPr>
        <w:t xml:space="preserve"> </w:t>
      </w:r>
      <w:r w:rsidRPr="0093682D">
        <w:rPr>
          <w:rFonts w:cstheme="minorHAnsi"/>
          <w:i/>
          <w:sz w:val="22"/>
          <w:szCs w:val="22"/>
          <w:lang w:val="es-ES"/>
        </w:rPr>
        <w:t>infra</w:t>
      </w:r>
      <w:r w:rsidRPr="0093682D">
        <w:rPr>
          <w:rFonts w:cstheme="minorHAnsi"/>
          <w:sz w:val="22"/>
          <w:szCs w:val="22"/>
          <w:lang w:val="es-ES"/>
        </w:rPr>
        <w:t>.</w:t>
      </w:r>
    </w:p>
    <w:p w14:paraId="30B569D8" w14:textId="7CE40446" w:rsidR="002A3420" w:rsidRPr="0093682D" w:rsidRDefault="002A3420" w:rsidP="0099709B">
      <w:pPr>
        <w:rPr>
          <w:rFonts w:cstheme="minorHAnsi"/>
          <w:sz w:val="22"/>
          <w:szCs w:val="22"/>
          <w:lang w:val="es-ES"/>
        </w:rPr>
      </w:pPr>
      <w:r w:rsidRPr="0093682D">
        <w:rPr>
          <w:rFonts w:cstheme="minorHAnsi"/>
          <w:sz w:val="22"/>
          <w:szCs w:val="22"/>
          <w:lang w:val="es-ES"/>
        </w:rPr>
        <w:t xml:space="preserve">Se puede obtener más información sobre la próxima reunión en la página web de la CE 11, en: </w:t>
      </w:r>
      <w:hyperlink r:id="rId12" w:history="1">
        <w:r w:rsidRPr="0093682D">
          <w:rPr>
            <w:rStyle w:val="Hyperlink"/>
            <w:rFonts w:cstheme="minorHAnsi"/>
            <w:sz w:val="22"/>
            <w:szCs w:val="22"/>
            <w:lang w:val="es-ES"/>
          </w:rPr>
          <w:t>https://itu.int/go/tsg11</w:t>
        </w:r>
      </w:hyperlink>
      <w:r w:rsidRPr="0093682D">
        <w:rPr>
          <w:rFonts w:cstheme="minorHAnsi"/>
          <w:sz w:val="22"/>
          <w:szCs w:val="22"/>
          <w:lang w:val="es-ES"/>
        </w:rPr>
        <w:t>.</w:t>
      </w:r>
    </w:p>
    <w:p w14:paraId="3AAA615B" w14:textId="77777777" w:rsidR="002A3420" w:rsidRPr="0093682D" w:rsidRDefault="002A3420" w:rsidP="0099709B">
      <w:pPr>
        <w:rPr>
          <w:rFonts w:cstheme="minorHAnsi"/>
          <w:sz w:val="22"/>
          <w:szCs w:val="22"/>
          <w:lang w:val="es-ES"/>
        </w:rPr>
      </w:pPr>
      <w:r w:rsidRPr="0093682D">
        <w:rPr>
          <w:rFonts w:cstheme="minorHAnsi"/>
          <w:sz w:val="22"/>
          <w:szCs w:val="22"/>
          <w:lang w:val="es-ES"/>
        </w:rPr>
        <w:t>Se espera que la información facilitada ayude a la Comisión de Estudio a avanzar en sus temas de trabajo actuales.</w:t>
      </w:r>
    </w:p>
    <w:p w14:paraId="3D262B27" w14:textId="417CEA52" w:rsidR="007B6316" w:rsidRPr="0093682D" w:rsidRDefault="002A3420" w:rsidP="0099709B">
      <w:pPr>
        <w:rPr>
          <w:rFonts w:cstheme="minorHAnsi"/>
          <w:sz w:val="22"/>
          <w:szCs w:val="22"/>
          <w:lang w:val="es-ES"/>
        </w:rPr>
      </w:pPr>
      <w:r w:rsidRPr="0093682D">
        <w:rPr>
          <w:rFonts w:cstheme="minorHAnsi"/>
          <w:sz w:val="22"/>
          <w:szCs w:val="22"/>
          <w:lang w:val="es-ES"/>
        </w:rPr>
        <w:t>Deseo agradecerle por anticipado su valiosa información.</w:t>
      </w:r>
    </w:p>
    <w:p w14:paraId="7DE920A9" w14:textId="21665B23" w:rsidR="007B6316" w:rsidRPr="0093682D" w:rsidRDefault="007B6316" w:rsidP="0099709B">
      <w:pPr>
        <w:rPr>
          <w:sz w:val="22"/>
          <w:szCs w:val="22"/>
        </w:rPr>
      </w:pPr>
      <w:r w:rsidRPr="0093682D">
        <w:rPr>
          <w:sz w:val="22"/>
          <w:szCs w:val="22"/>
        </w:rPr>
        <w:t>Atentamente,</w:t>
      </w:r>
    </w:p>
    <w:p w14:paraId="0179416B" w14:textId="5806B4A9" w:rsidR="007B6316" w:rsidRPr="0093682D" w:rsidRDefault="00677AEB" w:rsidP="0093682D">
      <w:pPr>
        <w:spacing w:before="840"/>
        <w:rPr>
          <w:sz w:val="22"/>
          <w:szCs w:val="22"/>
        </w:rPr>
      </w:pPr>
      <w:r>
        <w:rPr>
          <w:rFonts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144D9F53" wp14:editId="58A52BC1">
            <wp:simplePos x="0" y="0"/>
            <wp:positionH relativeFrom="column">
              <wp:posOffset>3810</wp:posOffset>
            </wp:positionH>
            <wp:positionV relativeFrom="paragraph">
              <wp:posOffset>143510</wp:posOffset>
            </wp:positionV>
            <wp:extent cx="761354" cy="342900"/>
            <wp:effectExtent l="0" t="0" r="1270" b="0"/>
            <wp:wrapNone/>
            <wp:docPr id="585729343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729343" name="Picture 1" descr="A black and blue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93682D">
        <w:rPr>
          <w:rFonts w:cstheme="minorHAnsi"/>
          <w:sz w:val="22"/>
          <w:szCs w:val="22"/>
          <w:lang w:val="es-ES"/>
        </w:rPr>
        <w:t>Seizo Onoe</w:t>
      </w:r>
      <w:r w:rsidR="007B6316" w:rsidRPr="0093682D">
        <w:rPr>
          <w:sz w:val="22"/>
          <w:szCs w:val="22"/>
        </w:rPr>
        <w:br/>
      </w:r>
      <w:proofErr w:type="gramStart"/>
      <w:r w:rsidR="007B6316" w:rsidRPr="0093682D">
        <w:rPr>
          <w:sz w:val="22"/>
          <w:szCs w:val="22"/>
        </w:rPr>
        <w:t>Director</w:t>
      </w:r>
      <w:proofErr w:type="gramEnd"/>
      <w:r w:rsidR="007B6316" w:rsidRPr="0093682D">
        <w:rPr>
          <w:sz w:val="22"/>
          <w:szCs w:val="22"/>
        </w:rPr>
        <w:t xml:space="preserve"> de la Oficina de </w:t>
      </w:r>
      <w:r w:rsidR="007B6316" w:rsidRPr="0093682D">
        <w:rPr>
          <w:sz w:val="22"/>
          <w:szCs w:val="22"/>
        </w:rPr>
        <w:br/>
        <w:t>Normalización de las Telecomunicaciones</w:t>
      </w:r>
    </w:p>
    <w:p w14:paraId="23CF5CCC" w14:textId="6C71B6E7" w:rsidR="00401C20" w:rsidRPr="0093682D" w:rsidRDefault="002A3420" w:rsidP="0093682D">
      <w:pPr>
        <w:spacing w:before="480" w:after="120"/>
        <w:rPr>
          <w:rFonts w:cstheme="minorHAnsi"/>
          <w:b/>
          <w:bCs/>
          <w:sz w:val="20"/>
          <w:lang w:val="es-ES"/>
        </w:rPr>
      </w:pPr>
      <w:r w:rsidRPr="0093682D">
        <w:rPr>
          <w:rFonts w:cstheme="minorHAnsi"/>
          <w:b/>
          <w:bCs/>
          <w:sz w:val="22"/>
          <w:szCs w:val="22"/>
          <w:lang w:val="es-ES"/>
        </w:rPr>
        <w:t>Anexo: 1</w:t>
      </w:r>
    </w:p>
    <w:p w14:paraId="40566D89" w14:textId="77777777" w:rsidR="0099709B" w:rsidRDefault="002A3420" w:rsidP="0099709B">
      <w:pPr>
        <w:pStyle w:val="AnnexNotitle"/>
        <w:rPr>
          <w:lang w:val="es-ES"/>
        </w:rPr>
      </w:pPr>
      <w:bookmarkStart w:id="4" w:name="_Hlk35623165"/>
      <w:r w:rsidRPr="0099709B">
        <w:lastRenderedPageBreak/>
        <w:t>ANEXO</w:t>
      </w:r>
      <w:r w:rsidRPr="001D4273">
        <w:rPr>
          <w:lang w:val="es-ES"/>
        </w:rPr>
        <w:t xml:space="preserve"> 1</w:t>
      </w:r>
    </w:p>
    <w:p w14:paraId="21A178CC" w14:textId="477721BF" w:rsidR="002A3420" w:rsidRPr="00A76EA6" w:rsidRDefault="002A3420" w:rsidP="00560E08">
      <w:pPr>
        <w:pStyle w:val="AnnexTitle"/>
        <w:rPr>
          <w:lang w:val="es-ES"/>
        </w:rPr>
      </w:pPr>
      <w:r w:rsidRPr="00A76EA6">
        <w:rPr>
          <w:lang w:val="es-ES"/>
        </w:rPr>
        <w:t xml:space="preserve">Descripción de casos prácticos sobre la </w:t>
      </w:r>
      <w:r w:rsidRPr="0099709B">
        <w:t>lucha</w:t>
      </w:r>
      <w:r w:rsidRPr="00A76EA6">
        <w:rPr>
          <w:lang w:val="es-ES"/>
        </w:rPr>
        <w:t xml:space="preserve"> contra la falsificación de las TIC</w:t>
      </w:r>
      <w:r w:rsidRPr="00A76EA6">
        <w:rPr>
          <w:lang w:val="es-ES"/>
        </w:rPr>
        <w:br/>
        <w:t>y el robo de dispositivos móviles, incluida la puesta en marcha del CEIR</w:t>
      </w:r>
      <w:r w:rsidRPr="00A76EA6">
        <w:rPr>
          <w:lang w:val="es-ES"/>
        </w:rPr>
        <w:br/>
      </w:r>
      <w:bookmarkStart w:id="5" w:name="lt_pId064"/>
      <w:r w:rsidRPr="00A76EA6">
        <w:rPr>
          <w:lang w:val="es-ES"/>
        </w:rPr>
        <w:t>(Plantilla)</w:t>
      </w:r>
      <w:bookmarkEnd w:id="5"/>
    </w:p>
    <w:p w14:paraId="4AA3DCB0" w14:textId="77777777" w:rsidR="002A3420" w:rsidRPr="0093682D" w:rsidRDefault="002A3420" w:rsidP="00A76EA6">
      <w:pPr>
        <w:rPr>
          <w:sz w:val="22"/>
          <w:szCs w:val="18"/>
          <w:lang w:val="es-ES"/>
        </w:rPr>
      </w:pPr>
      <w:bookmarkStart w:id="6" w:name="lt_pId065"/>
      <w:r w:rsidRPr="0093682D">
        <w:rPr>
          <w:sz w:val="22"/>
          <w:szCs w:val="18"/>
          <w:lang w:val="es-ES"/>
        </w:rPr>
        <w:t xml:space="preserve">Se recomienda a los encuestados que faciliten información sobre los puntos que figuran más abajo, cuando corresponda. </w:t>
      </w:r>
      <w:bookmarkEnd w:id="6"/>
    </w:p>
    <w:p w14:paraId="0B5616B8" w14:textId="7783B7F2" w:rsidR="002A3420" w:rsidRPr="0093682D" w:rsidRDefault="002A3420" w:rsidP="002A3420">
      <w:pPr>
        <w:pStyle w:val="enumlev1"/>
        <w:rPr>
          <w:sz w:val="22"/>
          <w:szCs w:val="22"/>
          <w:lang w:val="es-ES"/>
        </w:rPr>
      </w:pPr>
      <w:r w:rsidRPr="0093682D">
        <w:rPr>
          <w:sz w:val="22"/>
          <w:szCs w:val="22"/>
          <w:lang w:val="es-ES"/>
        </w:rPr>
        <w:t>1</w:t>
      </w:r>
      <w:r w:rsidRPr="0093682D">
        <w:rPr>
          <w:sz w:val="22"/>
          <w:szCs w:val="22"/>
          <w:lang w:val="es-ES"/>
        </w:rPr>
        <w:tab/>
      </w:r>
      <w:bookmarkStart w:id="7" w:name="lt_pId067"/>
      <w:r w:rsidRPr="0093682D">
        <w:rPr>
          <w:sz w:val="22"/>
          <w:szCs w:val="22"/>
          <w:lang w:val="es-ES"/>
        </w:rPr>
        <w:t xml:space="preserve">Información común sobre el caso práctico </w:t>
      </w:r>
      <w:bookmarkEnd w:id="7"/>
    </w:p>
    <w:p w14:paraId="00B24EF7" w14:textId="77777777" w:rsidR="002A3420" w:rsidRPr="0093682D" w:rsidRDefault="002A3420" w:rsidP="0099709B">
      <w:pPr>
        <w:pStyle w:val="enumlev2"/>
        <w:rPr>
          <w:sz w:val="22"/>
          <w:szCs w:val="18"/>
        </w:rPr>
      </w:pPr>
      <w:r w:rsidRPr="0093682D">
        <w:rPr>
          <w:sz w:val="22"/>
          <w:szCs w:val="18"/>
        </w:rPr>
        <w:t>1.1</w:t>
      </w:r>
      <w:r w:rsidRPr="0093682D">
        <w:rPr>
          <w:sz w:val="22"/>
          <w:szCs w:val="18"/>
        </w:rPr>
        <w:tab/>
        <w:t>Título del caso práctico</w:t>
      </w:r>
    </w:p>
    <w:p w14:paraId="538BFD19" w14:textId="77777777" w:rsidR="002A3420" w:rsidRPr="0093682D" w:rsidRDefault="002A3420" w:rsidP="00A76EA6">
      <w:pPr>
        <w:pStyle w:val="enumlev2"/>
        <w:rPr>
          <w:sz w:val="22"/>
          <w:szCs w:val="18"/>
          <w:lang w:val="es-ES"/>
        </w:rPr>
      </w:pPr>
      <w:bookmarkStart w:id="8" w:name="lt_pId069"/>
      <w:r w:rsidRPr="0093682D">
        <w:rPr>
          <w:sz w:val="22"/>
          <w:szCs w:val="18"/>
          <w:lang w:val="es-ES"/>
        </w:rPr>
        <w:t>1.2</w:t>
      </w:r>
      <w:r w:rsidRPr="0093682D">
        <w:rPr>
          <w:sz w:val="22"/>
          <w:szCs w:val="18"/>
          <w:lang w:val="es-ES"/>
        </w:rPr>
        <w:tab/>
        <w:t xml:space="preserve">Localidad donde se implementa el caso práctico (caso práctico de país y/o de uso privado) </w:t>
      </w:r>
      <w:bookmarkEnd w:id="8"/>
    </w:p>
    <w:p w14:paraId="3C7977BC" w14:textId="77777777" w:rsidR="002A3420" w:rsidRPr="0093682D" w:rsidRDefault="002A3420" w:rsidP="00A76EA6">
      <w:pPr>
        <w:pStyle w:val="enumlev2"/>
        <w:rPr>
          <w:sz w:val="20"/>
          <w:lang w:val="es-ES"/>
        </w:rPr>
      </w:pPr>
      <w:bookmarkStart w:id="9" w:name="lt_pId070"/>
      <w:r w:rsidRPr="0093682D">
        <w:rPr>
          <w:sz w:val="22"/>
          <w:szCs w:val="18"/>
          <w:lang w:val="es-ES"/>
        </w:rPr>
        <w:t>1.3</w:t>
      </w:r>
      <w:r w:rsidRPr="0093682D">
        <w:rPr>
          <w:sz w:val="22"/>
          <w:szCs w:val="18"/>
          <w:lang w:val="es-ES"/>
        </w:rPr>
        <w:tab/>
        <w:t>Fechas de implementación del caso práctico (mes/año)</w:t>
      </w:r>
      <w:r w:rsidRPr="0093682D">
        <w:rPr>
          <w:sz w:val="20"/>
          <w:lang w:val="es-ES"/>
        </w:rPr>
        <w:t xml:space="preserve"> </w:t>
      </w:r>
      <w:bookmarkEnd w:id="9"/>
    </w:p>
    <w:p w14:paraId="1AF32976" w14:textId="77777777" w:rsidR="002A3420" w:rsidRPr="0093682D" w:rsidRDefault="002A3420" w:rsidP="00A76EA6">
      <w:pPr>
        <w:pStyle w:val="enumlev2"/>
        <w:rPr>
          <w:sz w:val="20"/>
          <w:lang w:val="es-ES"/>
        </w:rPr>
      </w:pPr>
      <w:bookmarkStart w:id="10" w:name="lt_pId071"/>
      <w:r w:rsidRPr="0093682D">
        <w:rPr>
          <w:sz w:val="22"/>
          <w:szCs w:val="18"/>
          <w:lang w:val="es-ES"/>
        </w:rPr>
        <w:t>1.4</w:t>
      </w:r>
      <w:r w:rsidRPr="0093682D">
        <w:rPr>
          <w:sz w:val="22"/>
          <w:szCs w:val="18"/>
          <w:lang w:val="es-ES"/>
        </w:rPr>
        <w:tab/>
        <w:t>Fuente (Miembro de la UIT)</w:t>
      </w:r>
      <w:bookmarkEnd w:id="10"/>
    </w:p>
    <w:p w14:paraId="7D8A5640" w14:textId="77777777" w:rsidR="002A3420" w:rsidRPr="0093682D" w:rsidRDefault="002A3420" w:rsidP="002A3420">
      <w:pPr>
        <w:pStyle w:val="enumlev1"/>
        <w:rPr>
          <w:rFonts w:cstheme="minorHAnsi"/>
          <w:sz w:val="20"/>
          <w:lang w:val="es-ES"/>
        </w:rPr>
      </w:pPr>
      <w:r w:rsidRPr="0093682D">
        <w:rPr>
          <w:sz w:val="22"/>
          <w:szCs w:val="22"/>
          <w:lang w:val="es-ES"/>
        </w:rPr>
        <w:t>2</w:t>
      </w:r>
      <w:r w:rsidRPr="0093682D">
        <w:rPr>
          <w:sz w:val="22"/>
          <w:szCs w:val="22"/>
          <w:lang w:val="es-ES"/>
        </w:rPr>
        <w:tab/>
      </w:r>
      <w:bookmarkStart w:id="11" w:name="lt_pId073"/>
      <w:r w:rsidRPr="0093682D">
        <w:rPr>
          <w:sz w:val="22"/>
          <w:szCs w:val="22"/>
          <w:lang w:val="es-ES"/>
        </w:rPr>
        <w:t>Alcance del caso práctico (incluido el problema que se quiere tratar como dispositivos falsificados, robados, manipulados y/o clonados)</w:t>
      </w:r>
      <w:bookmarkEnd w:id="11"/>
    </w:p>
    <w:p w14:paraId="3F1BD2E8" w14:textId="77777777" w:rsidR="002A3420" w:rsidRPr="0093682D" w:rsidRDefault="002A3420" w:rsidP="002A3420">
      <w:pPr>
        <w:pStyle w:val="enumlev1"/>
        <w:rPr>
          <w:rFonts w:cstheme="minorHAnsi"/>
          <w:sz w:val="20"/>
          <w:lang w:val="es-ES"/>
        </w:rPr>
      </w:pPr>
      <w:r w:rsidRPr="0093682D">
        <w:rPr>
          <w:sz w:val="22"/>
          <w:szCs w:val="22"/>
          <w:lang w:val="es-ES"/>
        </w:rPr>
        <w:t>3</w:t>
      </w:r>
      <w:r w:rsidRPr="0093682D">
        <w:rPr>
          <w:sz w:val="22"/>
          <w:szCs w:val="22"/>
          <w:lang w:val="es-ES"/>
        </w:rPr>
        <w:tab/>
      </w:r>
      <w:bookmarkStart w:id="12" w:name="lt_pId075"/>
      <w:r w:rsidRPr="0093682D">
        <w:rPr>
          <w:sz w:val="22"/>
          <w:szCs w:val="22"/>
          <w:lang w:val="es-ES"/>
        </w:rPr>
        <w:t>Estadísticas comunes para el caso práctico del país</w:t>
      </w:r>
      <w:r w:rsidRPr="0093682D">
        <w:rPr>
          <w:rFonts w:cstheme="minorHAnsi"/>
          <w:sz w:val="20"/>
          <w:lang w:val="es-ES"/>
        </w:rPr>
        <w:t xml:space="preserve"> </w:t>
      </w:r>
      <w:bookmarkEnd w:id="12"/>
    </w:p>
    <w:p w14:paraId="2976D949" w14:textId="464E6EE3" w:rsidR="002A3420" w:rsidRPr="0093682D" w:rsidRDefault="002A3420" w:rsidP="0099709B">
      <w:pPr>
        <w:pStyle w:val="enumlev2"/>
        <w:rPr>
          <w:sz w:val="20"/>
          <w:lang w:val="es-ES"/>
        </w:rPr>
      </w:pPr>
      <w:bookmarkStart w:id="13" w:name="lt_pId076"/>
      <w:r w:rsidRPr="0093682D">
        <w:rPr>
          <w:sz w:val="22"/>
          <w:szCs w:val="18"/>
          <w:lang w:val="es-ES"/>
        </w:rPr>
        <w:t>3.1</w:t>
      </w:r>
      <w:r w:rsidR="00560E08" w:rsidRPr="0093682D">
        <w:rPr>
          <w:sz w:val="22"/>
          <w:szCs w:val="18"/>
          <w:lang w:val="es-ES"/>
        </w:rPr>
        <w:tab/>
      </w:r>
      <w:r w:rsidRPr="0093682D">
        <w:rPr>
          <w:sz w:val="22"/>
          <w:szCs w:val="18"/>
          <w:lang w:val="es-ES"/>
        </w:rPr>
        <w:t>Estadísticas de telecomunicaciones (por ejemplo, número de usuarios de dispositivos móviles, operadores, etc.)</w:t>
      </w:r>
      <w:r w:rsidRPr="0093682D">
        <w:rPr>
          <w:sz w:val="20"/>
          <w:lang w:val="es-ES"/>
        </w:rPr>
        <w:t xml:space="preserve"> </w:t>
      </w:r>
      <w:bookmarkEnd w:id="13"/>
    </w:p>
    <w:p w14:paraId="4F7A988A" w14:textId="77777777" w:rsidR="002A3420" w:rsidRPr="0093682D" w:rsidRDefault="002A3420" w:rsidP="0099709B">
      <w:pPr>
        <w:pStyle w:val="enumlev2"/>
        <w:rPr>
          <w:sz w:val="20"/>
          <w:lang w:val="es-ES"/>
        </w:rPr>
      </w:pPr>
      <w:bookmarkStart w:id="14" w:name="lt_pId077"/>
      <w:r w:rsidRPr="0093682D">
        <w:rPr>
          <w:sz w:val="22"/>
          <w:szCs w:val="18"/>
          <w:lang w:val="es-ES"/>
        </w:rPr>
        <w:t>3.2</w:t>
      </w:r>
      <w:r w:rsidRPr="0093682D">
        <w:rPr>
          <w:sz w:val="22"/>
          <w:szCs w:val="18"/>
          <w:lang w:val="es-ES"/>
        </w:rPr>
        <w:tab/>
        <w:t>Estadísticas del problema (por ejemplo, número de dispositivos falsificados, robados, etc.)</w:t>
      </w:r>
      <w:r w:rsidRPr="0093682D">
        <w:rPr>
          <w:sz w:val="20"/>
          <w:lang w:val="es-ES"/>
        </w:rPr>
        <w:t xml:space="preserve"> </w:t>
      </w:r>
      <w:bookmarkEnd w:id="14"/>
    </w:p>
    <w:p w14:paraId="2D3AC9DD" w14:textId="77777777" w:rsidR="002A3420" w:rsidRPr="0093682D" w:rsidRDefault="002A3420" w:rsidP="00560E08">
      <w:pPr>
        <w:pStyle w:val="enumlev2"/>
        <w:rPr>
          <w:rFonts w:cstheme="minorHAnsi"/>
          <w:sz w:val="20"/>
          <w:lang w:val="es-ES"/>
        </w:rPr>
      </w:pPr>
      <w:bookmarkStart w:id="15" w:name="lt_pId078"/>
      <w:r w:rsidRPr="0093682D">
        <w:rPr>
          <w:sz w:val="22"/>
          <w:szCs w:val="18"/>
          <w:lang w:val="es-ES"/>
        </w:rPr>
        <w:t>3.3</w:t>
      </w:r>
      <w:r w:rsidRPr="0093682D">
        <w:rPr>
          <w:sz w:val="22"/>
          <w:szCs w:val="18"/>
          <w:lang w:val="es-ES"/>
        </w:rPr>
        <w:tab/>
        <w:t>Estadísticas generales respecto del caso práctico (por ejemplo, tamaño de la economía, población, etc.)</w:t>
      </w:r>
      <w:r w:rsidRPr="0093682D">
        <w:rPr>
          <w:rFonts w:cstheme="minorHAnsi"/>
          <w:sz w:val="20"/>
          <w:lang w:val="es-ES"/>
        </w:rPr>
        <w:t xml:space="preserve"> </w:t>
      </w:r>
      <w:bookmarkEnd w:id="15"/>
    </w:p>
    <w:p w14:paraId="435EF40F" w14:textId="77777777" w:rsidR="002A3420" w:rsidRPr="0093682D" w:rsidRDefault="002A3420" w:rsidP="002A3420">
      <w:pPr>
        <w:pStyle w:val="enumlev1"/>
        <w:rPr>
          <w:rFonts w:cstheme="minorHAnsi"/>
          <w:sz w:val="20"/>
          <w:lang w:val="es-ES"/>
        </w:rPr>
      </w:pPr>
      <w:r w:rsidRPr="0093682D">
        <w:rPr>
          <w:sz w:val="22"/>
          <w:szCs w:val="22"/>
          <w:lang w:val="es-ES"/>
        </w:rPr>
        <w:t>4</w:t>
      </w:r>
      <w:r w:rsidRPr="0093682D">
        <w:rPr>
          <w:sz w:val="22"/>
          <w:szCs w:val="22"/>
          <w:lang w:val="es-ES"/>
        </w:rPr>
        <w:tab/>
      </w:r>
      <w:bookmarkStart w:id="16" w:name="lt_pId080"/>
      <w:r w:rsidRPr="0093682D">
        <w:rPr>
          <w:sz w:val="22"/>
          <w:szCs w:val="22"/>
          <w:lang w:val="es-ES"/>
        </w:rPr>
        <w:t>Descripción de la solución del caso práctico</w:t>
      </w:r>
      <w:r w:rsidRPr="0093682D">
        <w:rPr>
          <w:rFonts w:cstheme="minorHAnsi"/>
          <w:sz w:val="20"/>
          <w:lang w:val="es-ES"/>
        </w:rPr>
        <w:t xml:space="preserve"> </w:t>
      </w:r>
      <w:bookmarkEnd w:id="16"/>
    </w:p>
    <w:p w14:paraId="2CC5B5F2" w14:textId="77777777" w:rsidR="002A3420" w:rsidRPr="0093682D" w:rsidRDefault="002A3420" w:rsidP="002A3420">
      <w:pPr>
        <w:pStyle w:val="enumlev2"/>
        <w:numPr>
          <w:ilvl w:val="1"/>
          <w:numId w:val="5"/>
        </w:numPr>
        <w:tabs>
          <w:tab w:val="clear" w:pos="1191"/>
        </w:tabs>
        <w:ind w:left="1418" w:hanging="624"/>
        <w:rPr>
          <w:rFonts w:cstheme="minorHAnsi"/>
          <w:sz w:val="20"/>
          <w:lang w:val="es-ES"/>
        </w:rPr>
      </w:pPr>
      <w:bookmarkStart w:id="17" w:name="lt_pId081"/>
      <w:r w:rsidRPr="0093682D">
        <w:rPr>
          <w:sz w:val="22"/>
          <w:szCs w:val="18"/>
          <w:lang w:val="es-ES"/>
        </w:rPr>
        <w:t>Visión general de la solución</w:t>
      </w:r>
      <w:r w:rsidRPr="0093682D">
        <w:rPr>
          <w:rFonts w:cstheme="minorHAnsi"/>
          <w:sz w:val="20"/>
          <w:lang w:val="es-ES"/>
        </w:rPr>
        <w:t xml:space="preserve"> </w:t>
      </w:r>
      <w:bookmarkEnd w:id="17"/>
    </w:p>
    <w:p w14:paraId="37E1DE3B" w14:textId="77777777" w:rsidR="002A3420" w:rsidRPr="0093682D" w:rsidRDefault="002A3420" w:rsidP="002A3420">
      <w:pPr>
        <w:pStyle w:val="enumlev2"/>
        <w:numPr>
          <w:ilvl w:val="1"/>
          <w:numId w:val="5"/>
        </w:numPr>
        <w:tabs>
          <w:tab w:val="clear" w:pos="1191"/>
        </w:tabs>
        <w:ind w:left="1418" w:hanging="624"/>
        <w:rPr>
          <w:sz w:val="22"/>
          <w:szCs w:val="18"/>
          <w:lang w:val="es-ES"/>
        </w:rPr>
      </w:pPr>
      <w:bookmarkStart w:id="18" w:name="lt_pId082"/>
      <w:r w:rsidRPr="0093682D">
        <w:rPr>
          <w:sz w:val="22"/>
          <w:szCs w:val="18"/>
          <w:lang w:val="es-ES"/>
        </w:rPr>
        <w:t xml:space="preserve">Marco de la solución, incluidos diagramas y una descripción detallada </w:t>
      </w:r>
      <w:bookmarkEnd w:id="18"/>
    </w:p>
    <w:p w14:paraId="6F1744B0" w14:textId="77777777" w:rsidR="002A3420" w:rsidRPr="0093682D" w:rsidRDefault="002A3420" w:rsidP="002A3420">
      <w:pPr>
        <w:pStyle w:val="enumlev2"/>
        <w:numPr>
          <w:ilvl w:val="1"/>
          <w:numId w:val="5"/>
        </w:numPr>
        <w:tabs>
          <w:tab w:val="clear" w:pos="1191"/>
        </w:tabs>
        <w:ind w:left="1418" w:hanging="624"/>
        <w:rPr>
          <w:sz w:val="22"/>
          <w:szCs w:val="18"/>
          <w:lang w:val="es-ES"/>
        </w:rPr>
      </w:pPr>
      <w:bookmarkStart w:id="19" w:name="lt_pId083"/>
      <w:r w:rsidRPr="0093682D">
        <w:rPr>
          <w:sz w:val="22"/>
          <w:szCs w:val="18"/>
          <w:lang w:val="es-ES"/>
        </w:rPr>
        <w:t xml:space="preserve">Descripción de las medidas adicionales adoptadas para hacer frente al problema </w:t>
      </w:r>
      <w:bookmarkEnd w:id="19"/>
    </w:p>
    <w:p w14:paraId="6AB30A2C" w14:textId="77777777" w:rsidR="002A3420" w:rsidRPr="0093682D" w:rsidRDefault="002A3420" w:rsidP="002A3420">
      <w:pPr>
        <w:pStyle w:val="enumlev2"/>
        <w:numPr>
          <w:ilvl w:val="1"/>
          <w:numId w:val="5"/>
        </w:numPr>
        <w:tabs>
          <w:tab w:val="clear" w:pos="1191"/>
        </w:tabs>
        <w:ind w:left="1418" w:hanging="624"/>
        <w:rPr>
          <w:sz w:val="22"/>
          <w:szCs w:val="18"/>
          <w:lang w:val="es-ES"/>
        </w:rPr>
      </w:pPr>
      <w:bookmarkStart w:id="20" w:name="lt_pId084"/>
      <w:r w:rsidRPr="0093682D">
        <w:rPr>
          <w:sz w:val="22"/>
          <w:szCs w:val="18"/>
          <w:lang w:val="es-ES"/>
        </w:rPr>
        <w:t xml:space="preserve">Referencias al recurso web abierto para más detalles (optativo) </w:t>
      </w:r>
      <w:bookmarkEnd w:id="20"/>
    </w:p>
    <w:p w14:paraId="719A2C19" w14:textId="77777777" w:rsidR="002A3420" w:rsidRPr="0093682D" w:rsidRDefault="002A3420" w:rsidP="002A3420">
      <w:pPr>
        <w:pStyle w:val="enumlev2"/>
        <w:numPr>
          <w:ilvl w:val="1"/>
          <w:numId w:val="5"/>
        </w:numPr>
        <w:tabs>
          <w:tab w:val="clear" w:pos="1191"/>
        </w:tabs>
        <w:ind w:left="1418" w:hanging="624"/>
        <w:rPr>
          <w:sz w:val="22"/>
          <w:szCs w:val="18"/>
          <w:lang w:val="es-ES"/>
        </w:rPr>
      </w:pPr>
      <w:bookmarkStart w:id="21" w:name="lt_pId085"/>
      <w:r w:rsidRPr="0093682D">
        <w:rPr>
          <w:sz w:val="22"/>
          <w:szCs w:val="18"/>
          <w:lang w:val="es-ES"/>
        </w:rPr>
        <w:t xml:space="preserve">Otras observaciones pertinentes (optativo) </w:t>
      </w:r>
      <w:bookmarkEnd w:id="21"/>
    </w:p>
    <w:p w14:paraId="429AAD6C" w14:textId="77777777" w:rsidR="002A3420" w:rsidRPr="0093682D" w:rsidRDefault="002A3420" w:rsidP="002A3420">
      <w:pPr>
        <w:pStyle w:val="enumlev1"/>
        <w:rPr>
          <w:sz w:val="22"/>
          <w:szCs w:val="22"/>
          <w:lang w:val="es-ES"/>
        </w:rPr>
      </w:pPr>
      <w:r w:rsidRPr="0093682D">
        <w:rPr>
          <w:sz w:val="22"/>
          <w:szCs w:val="22"/>
          <w:lang w:val="es-ES"/>
        </w:rPr>
        <w:t>5</w:t>
      </w:r>
      <w:r w:rsidRPr="0093682D">
        <w:rPr>
          <w:sz w:val="22"/>
          <w:szCs w:val="22"/>
          <w:lang w:val="es-ES"/>
        </w:rPr>
        <w:tab/>
      </w:r>
      <w:bookmarkStart w:id="22" w:name="lt_pId087"/>
      <w:r w:rsidRPr="0093682D">
        <w:rPr>
          <w:sz w:val="22"/>
          <w:szCs w:val="22"/>
          <w:lang w:val="es-ES"/>
        </w:rPr>
        <w:t xml:space="preserve">Visión general de los retos y contramedidas en lo que atañe a la implementación del caso práctico </w:t>
      </w:r>
      <w:bookmarkEnd w:id="22"/>
    </w:p>
    <w:p w14:paraId="42FBE944" w14:textId="77777777" w:rsidR="002A3420" w:rsidRPr="0093682D" w:rsidRDefault="002A3420" w:rsidP="002A3420">
      <w:pPr>
        <w:pStyle w:val="enumlev1"/>
        <w:rPr>
          <w:sz w:val="22"/>
          <w:szCs w:val="22"/>
          <w:lang w:val="es-ES"/>
        </w:rPr>
      </w:pPr>
      <w:r w:rsidRPr="0093682D">
        <w:rPr>
          <w:sz w:val="22"/>
          <w:szCs w:val="22"/>
          <w:lang w:val="es-ES"/>
        </w:rPr>
        <w:t>6</w:t>
      </w:r>
      <w:r w:rsidRPr="0093682D">
        <w:rPr>
          <w:sz w:val="22"/>
          <w:szCs w:val="22"/>
          <w:lang w:val="es-ES"/>
        </w:rPr>
        <w:tab/>
      </w:r>
      <w:bookmarkStart w:id="23" w:name="lt_pId089"/>
      <w:r w:rsidRPr="0093682D">
        <w:rPr>
          <w:sz w:val="22"/>
          <w:szCs w:val="22"/>
          <w:lang w:val="es-ES"/>
        </w:rPr>
        <w:t xml:space="preserve">Estadística sobre los efectos de la implementación del caso práctico </w:t>
      </w:r>
      <w:bookmarkEnd w:id="23"/>
    </w:p>
    <w:p w14:paraId="5530B828" w14:textId="77777777" w:rsidR="002A3420" w:rsidRPr="0093682D" w:rsidRDefault="002A3420" w:rsidP="002A3420">
      <w:pPr>
        <w:pStyle w:val="enumlev1"/>
        <w:rPr>
          <w:sz w:val="22"/>
          <w:szCs w:val="22"/>
          <w:lang w:val="es-ES"/>
        </w:rPr>
      </w:pPr>
      <w:r w:rsidRPr="0093682D">
        <w:rPr>
          <w:sz w:val="22"/>
          <w:szCs w:val="22"/>
          <w:lang w:val="es-ES"/>
        </w:rPr>
        <w:t>7</w:t>
      </w:r>
      <w:r w:rsidRPr="0093682D">
        <w:rPr>
          <w:sz w:val="22"/>
          <w:szCs w:val="22"/>
          <w:lang w:val="es-ES"/>
        </w:rPr>
        <w:tab/>
      </w:r>
      <w:bookmarkStart w:id="24" w:name="lt_pId091"/>
      <w:r w:rsidRPr="0093682D">
        <w:rPr>
          <w:sz w:val="22"/>
          <w:szCs w:val="22"/>
          <w:lang w:val="es-ES"/>
        </w:rPr>
        <w:t xml:space="preserve">Hoja de ruta para la futura evolución prevista del caso práctico </w:t>
      </w:r>
      <w:bookmarkEnd w:id="24"/>
    </w:p>
    <w:p w14:paraId="4915CA4C" w14:textId="77777777" w:rsidR="002A3420" w:rsidRPr="0093682D" w:rsidRDefault="002A3420" w:rsidP="002A3420">
      <w:pPr>
        <w:pStyle w:val="enumlev1"/>
        <w:rPr>
          <w:sz w:val="20"/>
          <w:lang w:val="es-ES"/>
        </w:rPr>
      </w:pPr>
      <w:r w:rsidRPr="0093682D">
        <w:rPr>
          <w:sz w:val="22"/>
          <w:szCs w:val="22"/>
          <w:lang w:val="es-ES"/>
        </w:rPr>
        <w:t>8</w:t>
      </w:r>
      <w:r w:rsidRPr="0093682D">
        <w:rPr>
          <w:sz w:val="22"/>
          <w:szCs w:val="22"/>
          <w:lang w:val="es-ES"/>
        </w:rPr>
        <w:tab/>
      </w:r>
      <w:bookmarkStart w:id="25" w:name="lt_pId093"/>
      <w:r w:rsidRPr="0093682D">
        <w:rPr>
          <w:sz w:val="22"/>
          <w:szCs w:val="22"/>
          <w:lang w:val="es-ES"/>
        </w:rPr>
        <w:t>Observaciones finales y conclusión.</w:t>
      </w:r>
      <w:bookmarkEnd w:id="4"/>
      <w:bookmarkEnd w:id="25"/>
    </w:p>
    <w:p w14:paraId="370C2565" w14:textId="77777777" w:rsidR="00560E08" w:rsidRDefault="00560E08" w:rsidP="00411C49">
      <w:pPr>
        <w:pStyle w:val="Reasons"/>
      </w:pPr>
    </w:p>
    <w:p w14:paraId="6803643D" w14:textId="77777777" w:rsidR="00560E08" w:rsidRDefault="00560E08">
      <w:pPr>
        <w:jc w:val="center"/>
      </w:pPr>
      <w:r>
        <w:t>______________</w:t>
      </w:r>
    </w:p>
    <w:sectPr w:rsidR="00560E08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0177" w14:textId="77777777" w:rsidR="00CE346F" w:rsidRDefault="00CE346F">
      <w:r>
        <w:separator/>
      </w:r>
    </w:p>
  </w:endnote>
  <w:endnote w:type="continuationSeparator" w:id="0">
    <w:p w14:paraId="5F324CF5" w14:textId="77777777" w:rsidR="00CE346F" w:rsidRDefault="00CE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D47C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B07C" w14:textId="77777777" w:rsidR="00CE346F" w:rsidRDefault="00CE346F">
      <w:r>
        <w:t>____________________</w:t>
      </w:r>
    </w:p>
  </w:footnote>
  <w:footnote w:type="continuationSeparator" w:id="0">
    <w:p w14:paraId="53BCC427" w14:textId="77777777" w:rsidR="00CE346F" w:rsidRDefault="00CE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EC1E" w14:textId="39911BA1" w:rsidR="006969B4" w:rsidRPr="00303D62" w:rsidRDefault="00560E08">
    <w:pPr>
      <w:pStyle w:val="Header"/>
      <w:rPr>
        <w:sz w:val="18"/>
        <w:szCs w:val="18"/>
      </w:rPr>
    </w:pPr>
    <w:r>
      <w:rPr>
        <w:noProof/>
        <w:sz w:val="18"/>
        <w:szCs w:val="16"/>
      </w:rPr>
      <w:t>Circulaire TSB 181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1D42"/>
    <w:multiLevelType w:val="multilevel"/>
    <w:tmpl w:val="AD90F9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1"/>
  </w:num>
  <w:num w:numId="2" w16cid:durableId="1345282128">
    <w:abstractNumId w:val="4"/>
  </w:num>
  <w:num w:numId="3" w16cid:durableId="1069613404">
    <w:abstractNumId w:val="3"/>
  </w:num>
  <w:num w:numId="4" w16cid:durableId="374936234">
    <w:abstractNumId w:val="2"/>
  </w:num>
  <w:num w:numId="5" w16cid:durableId="87735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6F"/>
    <w:rsid w:val="00002529"/>
    <w:rsid w:val="00026ACD"/>
    <w:rsid w:val="00085662"/>
    <w:rsid w:val="000C382F"/>
    <w:rsid w:val="001173CC"/>
    <w:rsid w:val="001350B9"/>
    <w:rsid w:val="0014464D"/>
    <w:rsid w:val="001A54CC"/>
    <w:rsid w:val="0025581B"/>
    <w:rsid w:val="00257FB4"/>
    <w:rsid w:val="002A3420"/>
    <w:rsid w:val="002E496E"/>
    <w:rsid w:val="00303D62"/>
    <w:rsid w:val="00335367"/>
    <w:rsid w:val="00370C2D"/>
    <w:rsid w:val="003D1E8D"/>
    <w:rsid w:val="003D673B"/>
    <w:rsid w:val="003F2855"/>
    <w:rsid w:val="00401C20"/>
    <w:rsid w:val="00496A34"/>
    <w:rsid w:val="004A7957"/>
    <w:rsid w:val="004C4144"/>
    <w:rsid w:val="0055719E"/>
    <w:rsid w:val="00560E08"/>
    <w:rsid w:val="00677AEB"/>
    <w:rsid w:val="006969B4"/>
    <w:rsid w:val="006E4F7B"/>
    <w:rsid w:val="00781E2A"/>
    <w:rsid w:val="007933A2"/>
    <w:rsid w:val="007B6316"/>
    <w:rsid w:val="007C2CE9"/>
    <w:rsid w:val="00814503"/>
    <w:rsid w:val="008258C2"/>
    <w:rsid w:val="008505BD"/>
    <w:rsid w:val="00850C78"/>
    <w:rsid w:val="00876165"/>
    <w:rsid w:val="00884D12"/>
    <w:rsid w:val="008C17AD"/>
    <w:rsid w:val="008D02CD"/>
    <w:rsid w:val="0090108E"/>
    <w:rsid w:val="0091370C"/>
    <w:rsid w:val="00920C9B"/>
    <w:rsid w:val="0093682D"/>
    <w:rsid w:val="0095172A"/>
    <w:rsid w:val="0099709B"/>
    <w:rsid w:val="009A0BA0"/>
    <w:rsid w:val="00A54E47"/>
    <w:rsid w:val="00A76EA6"/>
    <w:rsid w:val="00A7770D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E346F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100048"/>
  <w15:docId w15:val="{5D57074E-9B82-4637-BE38-40F6D0FD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None">
    <w:name w:val="None"/>
    <w:rsid w:val="00CE346F"/>
  </w:style>
  <w:style w:type="character" w:styleId="UnresolvedMention">
    <w:name w:val="Unresolved Mention"/>
    <w:basedOn w:val="DefaultParagraphFont"/>
    <w:uiPriority w:val="99"/>
    <w:semiHidden/>
    <w:unhideWhenUsed/>
    <w:rsid w:val="00CE346F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560E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.int/go/tsg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search.aspx?isn_sp=8265&amp;isn_sg=8270&amp;isn_qu=8327&amp;isn_status=-1,8,1,3,7&amp;details=0&amp;field=acdefghij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ITU-T/workprog/wp_item.aspx?isn=1892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50</TotalTime>
  <Pages>2</Pages>
  <Words>608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4174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10</cp:revision>
  <cp:lastPrinted>2024-02-29T15:18:00Z</cp:lastPrinted>
  <dcterms:created xsi:type="dcterms:W3CDTF">2024-02-20T11:05:00Z</dcterms:created>
  <dcterms:modified xsi:type="dcterms:W3CDTF">2024-02-29T15:19:00Z</dcterms:modified>
</cp:coreProperties>
</file>