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5785A0EC" w14:textId="77777777" w:rsidTr="00D517B2">
        <w:trPr>
          <w:cantSplit/>
          <w:trHeight w:val="1134"/>
        </w:trPr>
        <w:tc>
          <w:tcPr>
            <w:tcW w:w="798" w:type="pct"/>
          </w:tcPr>
          <w:p w14:paraId="433ED5D6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3CBA3155" wp14:editId="4E03613F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5C9E45B0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3EE44DB3" w14:textId="5361D00E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1F758497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3C7B4FDB" w14:textId="77777777" w:rsidR="00D517B2" w:rsidRPr="00D517B2" w:rsidRDefault="00D517B2" w:rsidP="004E66B8">
            <w:pPr>
              <w:spacing w:line="2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61B36165" w14:textId="77777777" w:rsidR="00D517B2" w:rsidRPr="00D517B2" w:rsidRDefault="00D517B2" w:rsidP="004E66B8">
            <w:pPr>
              <w:spacing w:line="2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39AC3B8E" w14:textId="77777777" w:rsidR="00D517B2" w:rsidRPr="00873469" w:rsidRDefault="00D517B2" w:rsidP="004E66B8">
            <w:pPr>
              <w:spacing w:line="2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01490642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7A6C4BB3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27A110BC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690BB5C4" w14:textId="24434AAF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SY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CD4757">
              <w:rPr>
                <w:position w:val="2"/>
              </w:rPr>
              <w:t>19</w:t>
            </w:r>
            <w:r w:rsidR="00CD4757">
              <w:rPr>
                <w:rFonts w:hint="cs"/>
                <w:position w:val="2"/>
                <w:rtl/>
                <w:lang w:bidi="ar-SY"/>
              </w:rPr>
              <w:t xml:space="preserve"> فبراير </w:t>
            </w:r>
            <w:r w:rsidR="00CD4757">
              <w:rPr>
                <w:position w:val="2"/>
                <w:lang w:bidi="ar-SY"/>
              </w:rPr>
              <w:t>2024</w:t>
            </w:r>
          </w:p>
        </w:tc>
      </w:tr>
      <w:tr w:rsidR="004E66B8" w:rsidRPr="00D517B2" w14:paraId="5B009B13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6981D496" w14:textId="77777777" w:rsidR="004E66B8" w:rsidRPr="00A9156F" w:rsidRDefault="004E66B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34C56AB1" w14:textId="7214259F" w:rsidR="004E66B8" w:rsidRPr="00CD4757" w:rsidRDefault="004E66B8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CD4757">
              <w:rPr>
                <w:b/>
                <w:position w:val="2"/>
              </w:rPr>
              <w:t xml:space="preserve">TSB Circular </w:t>
            </w:r>
            <w:r w:rsidRPr="00CD4757">
              <w:rPr>
                <w:rStyle w:val="None"/>
                <w:b/>
                <w:bCs/>
              </w:rPr>
              <w:t>181</w:t>
            </w:r>
            <w:r w:rsidRPr="00CD4757">
              <w:rPr>
                <w:b/>
                <w:position w:val="2"/>
              </w:rPr>
              <w:br/>
            </w:r>
            <w:r>
              <w:rPr>
                <w:bCs/>
                <w:position w:val="2"/>
              </w:rPr>
              <w:t>SG11/DA</w:t>
            </w:r>
          </w:p>
        </w:tc>
        <w:tc>
          <w:tcPr>
            <w:tcW w:w="2206" w:type="pct"/>
            <w:vMerge w:val="restart"/>
          </w:tcPr>
          <w:p w14:paraId="149AD255" w14:textId="77777777" w:rsidR="004E66B8" w:rsidRPr="005731DD" w:rsidRDefault="004E66B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46F39CB3" w14:textId="77777777" w:rsidR="004E66B8" w:rsidRPr="00232B68" w:rsidRDefault="004E66B8" w:rsidP="00CD4757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232B68">
              <w:rPr>
                <w:rFonts w:hint="cs"/>
                <w:position w:val="2"/>
                <w:rtl/>
              </w:rPr>
              <w:t>-</w:t>
            </w:r>
            <w:r w:rsidRPr="00232B68">
              <w:rPr>
                <w:position w:val="2"/>
                <w:rtl/>
              </w:rPr>
              <w:tab/>
            </w:r>
            <w:r w:rsidRPr="00232B68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0ACF5E1D" w14:textId="77777777" w:rsidR="004E66B8" w:rsidRPr="00232B68" w:rsidRDefault="004E66B8" w:rsidP="00CD4757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232B68">
              <w:rPr>
                <w:rFonts w:hint="cs"/>
                <w:position w:val="2"/>
                <w:rtl/>
              </w:rPr>
              <w:t>-</w:t>
            </w:r>
            <w:r w:rsidRPr="00232B68">
              <w:rPr>
                <w:position w:val="2"/>
                <w:rtl/>
              </w:rPr>
              <w:tab/>
            </w:r>
            <w:r w:rsidRPr="00232B68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505A4544" w14:textId="77777777" w:rsidR="004E66B8" w:rsidRPr="00232B68" w:rsidRDefault="004E66B8" w:rsidP="00CD4757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232B68">
              <w:rPr>
                <w:rFonts w:hint="cs"/>
                <w:position w:val="2"/>
                <w:rtl/>
              </w:rPr>
              <w:t>-</w:t>
            </w:r>
            <w:r w:rsidRPr="00232B68">
              <w:rPr>
                <w:position w:val="2"/>
                <w:rtl/>
              </w:rPr>
              <w:tab/>
            </w:r>
            <w:r w:rsidRPr="00232B68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5885098B" w14:textId="77777777" w:rsidR="004E66B8" w:rsidRPr="00D517B2" w:rsidRDefault="004E66B8" w:rsidP="00CD4757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232B68">
              <w:rPr>
                <w:rFonts w:hint="cs"/>
                <w:position w:val="2"/>
                <w:rtl/>
              </w:rPr>
              <w:t>-</w:t>
            </w:r>
            <w:r w:rsidRPr="00232B68">
              <w:rPr>
                <w:position w:val="2"/>
                <w:rtl/>
              </w:rPr>
              <w:tab/>
            </w:r>
            <w:r w:rsidRPr="00232B68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232B68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  <w:p w14:paraId="02CBF5A9" w14:textId="77777777" w:rsidR="004E66B8" w:rsidRPr="005731DD" w:rsidRDefault="004E66B8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659C17E7" w14:textId="77777777" w:rsidR="004E66B8" w:rsidRPr="00232B68" w:rsidRDefault="004E66B8" w:rsidP="00CD4757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232B68">
              <w:rPr>
                <w:rFonts w:hint="cs"/>
                <w:position w:val="2"/>
                <w:rtl/>
              </w:rPr>
              <w:t>-</w:t>
            </w:r>
            <w:r w:rsidRPr="00232B68">
              <w:rPr>
                <w:position w:val="2"/>
                <w:rtl/>
              </w:rPr>
              <w:tab/>
            </w:r>
            <w:r w:rsidRPr="00232B68">
              <w:rPr>
                <w:rFonts w:eastAsia="Times New Roman" w:hint="cs"/>
                <w:position w:val="2"/>
                <w:rtl/>
                <w:lang w:eastAsia="en-US"/>
              </w:rPr>
              <w:t>رؤساء لجان الدراسات</w:t>
            </w:r>
            <w:r w:rsidRPr="00232B68">
              <w:rPr>
                <w:rFonts w:eastAsia="Times New Roman" w:hint="cs"/>
                <w:position w:val="2"/>
                <w:rtl/>
                <w:lang w:eastAsia="en-US" w:bidi="ar-EG"/>
              </w:rPr>
              <w:t xml:space="preserve"> ونوابهم</w:t>
            </w:r>
            <w:r w:rsidRPr="00232B68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304DEC03" w14:textId="4A543DBB" w:rsidR="004E66B8" w:rsidRPr="00232B68" w:rsidRDefault="004E66B8" w:rsidP="00CD4757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232B68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232B68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232B68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03B1E73C" w14:textId="3863F992" w:rsidR="004E66B8" w:rsidRPr="00D517B2" w:rsidRDefault="004E66B8" w:rsidP="0048234C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232B68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232B68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4E66B8" w:rsidRPr="00D517B2" w14:paraId="7C6697F0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4149FD2C" w14:textId="77777777" w:rsidR="004E66B8" w:rsidRPr="00A9156F" w:rsidRDefault="004E66B8" w:rsidP="00CD4757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4E824F95" w14:textId="7BAB9999" w:rsidR="004E66B8" w:rsidRPr="00CD4757" w:rsidRDefault="004E66B8" w:rsidP="00CD4757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CD4757">
              <w:rPr>
                <w:rStyle w:val="None"/>
              </w:rPr>
              <w:t>+41 22 730 5780</w:t>
            </w:r>
          </w:p>
        </w:tc>
        <w:tc>
          <w:tcPr>
            <w:tcW w:w="2206" w:type="pct"/>
            <w:vMerge/>
          </w:tcPr>
          <w:p w14:paraId="7833F5B8" w14:textId="1957CDF6" w:rsidR="004E66B8" w:rsidRPr="00D517B2" w:rsidRDefault="004E66B8" w:rsidP="0048234C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4E66B8" w:rsidRPr="00D517B2" w14:paraId="676279C6" w14:textId="77777777" w:rsidTr="00CE1C08">
        <w:trPr>
          <w:cantSplit/>
          <w:trHeight w:val="737"/>
          <w:jc w:val="center"/>
        </w:trPr>
        <w:tc>
          <w:tcPr>
            <w:tcW w:w="796" w:type="pct"/>
          </w:tcPr>
          <w:p w14:paraId="06DFDB63" w14:textId="77777777" w:rsidR="004E66B8" w:rsidRPr="00A9156F" w:rsidRDefault="004E66B8" w:rsidP="00CD4757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54F0088E" w14:textId="6DA22E72" w:rsidR="004E66B8" w:rsidRPr="00CD4757" w:rsidRDefault="004E66B8" w:rsidP="00CD4757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CD4757">
              <w:rPr>
                <w:rStyle w:val="None"/>
              </w:rPr>
              <w:t>+41 22 730 5853</w:t>
            </w:r>
          </w:p>
        </w:tc>
        <w:tc>
          <w:tcPr>
            <w:tcW w:w="2206" w:type="pct"/>
            <w:vMerge/>
          </w:tcPr>
          <w:p w14:paraId="17851424" w14:textId="428D6DE6" w:rsidR="004E66B8" w:rsidRPr="00D517B2" w:rsidRDefault="004E66B8" w:rsidP="0048234C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4E66B8" w:rsidRPr="00D517B2" w14:paraId="150BA779" w14:textId="77777777" w:rsidTr="00D517B2">
        <w:trPr>
          <w:cantSplit/>
          <w:jc w:val="center"/>
        </w:trPr>
        <w:tc>
          <w:tcPr>
            <w:tcW w:w="796" w:type="pct"/>
          </w:tcPr>
          <w:p w14:paraId="47E692D2" w14:textId="77777777" w:rsidR="004E66B8" w:rsidRPr="00A9156F" w:rsidRDefault="004E66B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739B5FB9" w14:textId="608EC11B" w:rsidR="004E66B8" w:rsidRPr="00CD4757" w:rsidRDefault="005B70DA" w:rsidP="00CE1C08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4E66B8" w:rsidRPr="00CD4757">
                <w:rPr>
                  <w:rStyle w:val="Hyperlink1"/>
                </w:rPr>
                <w:t>tsbsg11@itu.int</w:t>
              </w:r>
            </w:hyperlink>
          </w:p>
        </w:tc>
        <w:tc>
          <w:tcPr>
            <w:tcW w:w="2206" w:type="pct"/>
            <w:vMerge/>
          </w:tcPr>
          <w:p w14:paraId="4B910222" w14:textId="6D5E4355" w:rsidR="004E66B8" w:rsidRPr="00D517B2" w:rsidRDefault="004E66B8" w:rsidP="00CD4757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D517B2" w14:paraId="16345933" w14:textId="77777777" w:rsidTr="004E66B8">
        <w:trPr>
          <w:cantSplit/>
          <w:trHeight w:val="60"/>
          <w:jc w:val="center"/>
        </w:trPr>
        <w:tc>
          <w:tcPr>
            <w:tcW w:w="796" w:type="pct"/>
          </w:tcPr>
          <w:p w14:paraId="7B248D9E" w14:textId="77777777" w:rsidR="00CE1C08" w:rsidRPr="00A9156F" w:rsidRDefault="00CE1C08" w:rsidP="004E66B8">
            <w:pPr>
              <w:spacing w:before="0" w:line="2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4459DD3C" w14:textId="77777777" w:rsidR="00CE1C08" w:rsidRPr="00D517B2" w:rsidRDefault="00CE1C08" w:rsidP="004E66B8">
            <w:pPr>
              <w:spacing w:before="0" w:line="2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468923EF" w14:textId="77777777" w:rsidR="00CE1C08" w:rsidRPr="00D517B2" w:rsidRDefault="00CE1C08" w:rsidP="004E66B8">
            <w:pPr>
              <w:spacing w:before="0" w:line="2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33EE8D02" w14:textId="77777777" w:rsidTr="00D517B2">
        <w:trPr>
          <w:cantSplit/>
          <w:jc w:val="center"/>
        </w:trPr>
        <w:tc>
          <w:tcPr>
            <w:tcW w:w="796" w:type="pct"/>
          </w:tcPr>
          <w:p w14:paraId="714EB70A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73D0FFB4" w14:textId="795CF8F8" w:rsidR="00CE1C08" w:rsidRPr="00D517B2" w:rsidRDefault="002C7EDC" w:rsidP="002C7EDC">
            <w:pPr>
              <w:spacing w:before="80" w:after="60" w:line="300" w:lineRule="exact"/>
              <w:rPr>
                <w:position w:val="2"/>
                <w:rtl/>
              </w:rPr>
            </w:pPr>
            <w:r w:rsidRPr="002C7EDC">
              <w:rPr>
                <w:b/>
                <w:bCs/>
                <w:position w:val="2"/>
                <w:rtl/>
              </w:rPr>
              <w:t>دعوة إلى تحديث حالات الاستعمال بشأن مكافحة أجهزة تكنولوجيا المعلومات والاتصالات المزيفة و/أو الأجهزة المتنقلة المسروقة وتنفيذ السجل المركزي لهوية المعدات (</w:t>
            </w:r>
            <w:r w:rsidRPr="002C7EDC">
              <w:rPr>
                <w:b/>
                <w:bCs/>
                <w:position w:val="2"/>
              </w:rPr>
              <w:t>CEIR</w:t>
            </w:r>
            <w:r w:rsidRPr="002C7EDC">
              <w:rPr>
                <w:b/>
                <w:bCs/>
                <w:position w:val="2"/>
                <w:rtl/>
              </w:rPr>
              <w:t>)</w:t>
            </w:r>
          </w:p>
        </w:tc>
      </w:tr>
    </w:tbl>
    <w:p w14:paraId="61A45FDD" w14:textId="77777777" w:rsidR="00D517B2" w:rsidRPr="00D517B2" w:rsidRDefault="00D517B2" w:rsidP="004E66B8">
      <w:pPr>
        <w:spacing w:before="36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79FE8ED4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5238EBB5" w14:textId="0FBE04BF" w:rsidR="002C7EDC" w:rsidRPr="004E66B8" w:rsidRDefault="002C7EDC" w:rsidP="007267E1">
      <w:pPr>
        <w:rPr>
          <w:spacing w:val="-4"/>
          <w:rtl/>
          <w:lang w:bidi="ar-EG"/>
        </w:rPr>
      </w:pPr>
      <w:r w:rsidRPr="004E66B8">
        <w:rPr>
          <w:rFonts w:hint="cs"/>
          <w:spacing w:val="-4"/>
          <w:rtl/>
          <w:lang w:bidi="ar-SY"/>
        </w:rPr>
        <w:t xml:space="preserve">اتفقت لجنة الدراسات </w:t>
      </w:r>
      <w:r w:rsidRPr="004E66B8">
        <w:rPr>
          <w:spacing w:val="-4"/>
          <w:lang w:bidi="ar-SY"/>
        </w:rPr>
        <w:t>11</w:t>
      </w:r>
      <w:r w:rsidRPr="004E66B8">
        <w:rPr>
          <w:rFonts w:hint="cs"/>
          <w:spacing w:val="-4"/>
          <w:rtl/>
          <w:lang w:bidi="ar-EG"/>
        </w:rPr>
        <w:t xml:space="preserve"> لقطاع تقييس الاتصالات في اجتماعها الأخير (10-20 أكتوبر 2023 جنيف، سويسرا) على إصدار </w:t>
      </w:r>
      <w:r w:rsidRPr="004E66B8">
        <w:rPr>
          <w:spacing w:val="-4"/>
          <w:rtl/>
          <w:lang w:bidi="ar-EG"/>
        </w:rPr>
        <w:t>دعوة إلى تحديث حالات</w:t>
      </w:r>
      <w:r w:rsidRPr="004E66B8">
        <w:rPr>
          <w:rFonts w:hint="cs"/>
          <w:spacing w:val="-4"/>
          <w:rtl/>
          <w:lang w:bidi="ar-EG"/>
        </w:rPr>
        <w:t xml:space="preserve"> </w:t>
      </w:r>
      <w:r w:rsidRPr="004E66B8">
        <w:rPr>
          <w:spacing w:val="-4"/>
          <w:rtl/>
          <w:lang w:bidi="ar-EG"/>
        </w:rPr>
        <w:t>الاستعمال الحالية، وعليهِ استهلت لجنة الدراسات 11 لقطاع تقييس الاتصالات (</w:t>
      </w:r>
      <w:r w:rsidRPr="004E66B8">
        <w:rPr>
          <w:spacing w:val="-4"/>
          <w:lang w:bidi="ar-EG"/>
        </w:rPr>
        <w:t>SG11</w:t>
      </w:r>
      <w:r w:rsidRPr="004E66B8">
        <w:rPr>
          <w:spacing w:val="-4"/>
          <w:rtl/>
          <w:lang w:val="en-GB" w:bidi="ar-AE"/>
        </w:rPr>
        <w:t xml:space="preserve">) عملية مراجعة </w:t>
      </w:r>
      <w:hyperlink r:id="rId10" w:history="1">
        <w:r w:rsidRPr="004E66B8">
          <w:rPr>
            <w:rStyle w:val="Hyperlink"/>
            <w:spacing w:val="-4"/>
            <w:rtl/>
            <w:lang w:val="en-GB" w:bidi="ar-AE"/>
          </w:rPr>
          <w:t>الإضافة</w:t>
        </w:r>
        <w:r w:rsidRPr="004E66B8">
          <w:rPr>
            <w:rStyle w:val="Hyperlink"/>
            <w:spacing w:val="-4"/>
            <w:rtl/>
            <w:lang w:val="en-GB" w:bidi="ar-AE"/>
          </w:rPr>
          <w:t xml:space="preserve"> </w:t>
        </w:r>
        <w:r w:rsidRPr="004E66B8">
          <w:rPr>
            <w:rStyle w:val="Hyperlink"/>
            <w:spacing w:val="-4"/>
            <w:rtl/>
            <w:lang w:val="en-GB" w:bidi="ar-AE"/>
          </w:rPr>
          <w:t xml:space="preserve">75 لسلسلة التوصيات </w:t>
        </w:r>
        <w:r w:rsidRPr="004E66B8">
          <w:rPr>
            <w:rStyle w:val="Hyperlink"/>
            <w:spacing w:val="-4"/>
            <w:lang w:bidi="ar-AE"/>
          </w:rPr>
          <w:t>Q</w:t>
        </w:r>
        <w:r w:rsidRPr="004E66B8">
          <w:rPr>
            <w:rStyle w:val="Hyperlink"/>
            <w:spacing w:val="-4"/>
            <w:rtl/>
            <w:lang w:bidi="ar-EG"/>
          </w:rPr>
          <w:t xml:space="preserve"> </w:t>
        </w:r>
        <w:r w:rsidRPr="004E66B8">
          <w:rPr>
            <w:rStyle w:val="Hyperlink"/>
            <w:spacing w:val="-4"/>
            <w:rtl/>
            <w:lang w:val="en-GB" w:bidi="ar-AE"/>
          </w:rPr>
          <w:t xml:space="preserve">"حالات الاستعمال </w:t>
        </w:r>
        <w:r w:rsidRPr="004E66B8">
          <w:rPr>
            <w:rStyle w:val="Hyperlink"/>
            <w:spacing w:val="-4"/>
            <w:rtl/>
            <w:lang w:bidi="ar-EG"/>
          </w:rPr>
          <w:t>بشأن مكافحة أجهزة تكنولوجيا المعلومات والاتصالات المزيفة والأجهزة المتنقلة</w:t>
        </w:r>
        <w:r w:rsidRPr="004E66B8">
          <w:rPr>
            <w:rStyle w:val="Hyperlink"/>
            <w:rFonts w:hint="eastAsia"/>
            <w:spacing w:val="-4"/>
            <w:rtl/>
            <w:lang w:bidi="ar-EG"/>
          </w:rPr>
          <w:t> </w:t>
        </w:r>
        <w:r w:rsidRPr="004E66B8">
          <w:rPr>
            <w:rStyle w:val="Hyperlink"/>
            <w:spacing w:val="-4"/>
            <w:rtl/>
            <w:lang w:bidi="ar-EG"/>
          </w:rPr>
          <w:t>المسروقة</w:t>
        </w:r>
        <w:r w:rsidRPr="004E66B8">
          <w:rPr>
            <w:rStyle w:val="Hyperlink"/>
            <w:rFonts w:hint="cs"/>
            <w:spacing w:val="-4"/>
            <w:rtl/>
            <w:lang w:bidi="ar-EG"/>
          </w:rPr>
          <w:t>"</w:t>
        </w:r>
      </w:hyperlink>
      <w:r w:rsidRPr="004E66B8">
        <w:rPr>
          <w:rFonts w:hint="cs"/>
          <w:spacing w:val="-4"/>
          <w:rtl/>
          <w:lang w:bidi="ar-EG"/>
        </w:rPr>
        <w:t>.</w:t>
      </w:r>
    </w:p>
    <w:p w14:paraId="6CB7616F" w14:textId="1A41270D" w:rsidR="002C7EDC" w:rsidRDefault="002C7EDC" w:rsidP="007267E1">
      <w:pPr>
        <w:rPr>
          <w:rtl/>
          <w:lang w:bidi="ar-SY"/>
        </w:rPr>
      </w:pPr>
      <w:r>
        <w:rPr>
          <w:rtl/>
          <w:lang w:bidi="ar-SY"/>
        </w:rPr>
        <w:t xml:space="preserve">وبالإضافة إلى ذلك، واعترافاً بأنشطة لجنة الدراسات 11 لقطاع تقييس الاتصالات المتعلقة </w:t>
      </w:r>
      <w:hyperlink r:id="rId11" w:history="1">
        <w:r w:rsidRPr="007267E1">
          <w:rPr>
            <w:rStyle w:val="Hyperlink"/>
            <w:rtl/>
            <w:lang w:bidi="ar-SY"/>
          </w:rPr>
          <w:t xml:space="preserve">بسجل هوية المعدات </w:t>
        </w:r>
        <w:r w:rsidRPr="007267E1">
          <w:rPr>
            <w:rStyle w:val="Hyperlink"/>
            <w:rtl/>
            <w:lang w:bidi="ar-SY"/>
          </w:rPr>
          <w:t>(</w:t>
        </w:r>
        <w:r w:rsidRPr="007267E1">
          <w:rPr>
            <w:rStyle w:val="Hyperlink"/>
            <w:lang w:bidi="ar-SY"/>
          </w:rPr>
          <w:t>EIR</w:t>
        </w:r>
        <w:r w:rsidRPr="007267E1">
          <w:rPr>
            <w:rStyle w:val="Hyperlink"/>
            <w:rtl/>
            <w:lang w:bidi="ar-SY"/>
          </w:rPr>
          <w:t>)</w:t>
        </w:r>
      </w:hyperlink>
      <w:r>
        <w:rPr>
          <w:rtl/>
          <w:lang w:bidi="ar-SY"/>
        </w:rPr>
        <w:t xml:space="preserve">، </w:t>
      </w:r>
      <w:r>
        <w:rPr>
          <w:rFonts w:hint="cs"/>
          <w:rtl/>
          <w:lang w:bidi="ar-SY"/>
        </w:rPr>
        <w:t>اتفقت</w:t>
      </w:r>
      <w:r>
        <w:rPr>
          <w:rtl/>
          <w:lang w:bidi="ar-SY"/>
        </w:rPr>
        <w:t xml:space="preserve"> لجنة الدراسات على التماس معلومات بشأن تنفيذ </w:t>
      </w:r>
      <w:r>
        <w:rPr>
          <w:rFonts w:hint="cs"/>
          <w:rtl/>
          <w:lang w:val="en-GB" w:bidi="ar-AE"/>
        </w:rPr>
        <w:t>ال</w:t>
      </w:r>
      <w:r>
        <w:rPr>
          <w:rtl/>
          <w:lang w:bidi="ar-SY"/>
        </w:rPr>
        <w:t xml:space="preserve">سجل المركزي </w:t>
      </w:r>
      <w:r>
        <w:rPr>
          <w:rFonts w:hint="cs"/>
          <w:rtl/>
          <w:lang w:bidi="ar-SY"/>
        </w:rPr>
        <w:t xml:space="preserve">لهوية المعدات </w:t>
      </w:r>
      <w:r>
        <w:rPr>
          <w:rtl/>
          <w:lang w:bidi="ar-SY"/>
        </w:rPr>
        <w:t>(</w:t>
      </w:r>
      <w:r>
        <w:rPr>
          <w:lang w:bidi="ar-SY"/>
        </w:rPr>
        <w:t>CEIR</w:t>
      </w:r>
      <w:r>
        <w:rPr>
          <w:rtl/>
          <w:lang w:bidi="ar-SY"/>
        </w:rPr>
        <w:t>).</w:t>
      </w:r>
    </w:p>
    <w:p w14:paraId="5221C1A1" w14:textId="237F217A" w:rsidR="002C7EDC" w:rsidRDefault="002C7EDC" w:rsidP="007267E1">
      <w:pPr>
        <w:rPr>
          <w:rtl/>
          <w:lang w:bidi="ar-SY"/>
        </w:rPr>
      </w:pPr>
      <w:r>
        <w:rPr>
          <w:rtl/>
          <w:lang w:bidi="ar-SY"/>
        </w:rPr>
        <w:t>وفي ضوء ذلك، يُشج</w:t>
      </w:r>
      <w:r>
        <w:rPr>
          <w:rFonts w:hint="cs"/>
          <w:rtl/>
          <w:lang w:bidi="ar-SY"/>
        </w:rPr>
        <w:t>َّ</w:t>
      </w:r>
      <w:r>
        <w:rPr>
          <w:rtl/>
          <w:lang w:bidi="ar-SY"/>
        </w:rPr>
        <w:t xml:space="preserve">ع أعضاء الاتحاد على تقديم مراجعاتهم لحالات </w:t>
      </w:r>
      <w:r>
        <w:rPr>
          <w:rFonts w:hint="cs"/>
          <w:rtl/>
          <w:lang w:bidi="ar-SY"/>
        </w:rPr>
        <w:t>الاستعمال</w:t>
      </w:r>
      <w:r>
        <w:rPr>
          <w:rtl/>
          <w:lang w:bidi="ar-SY"/>
        </w:rPr>
        <w:t xml:space="preserve"> الحالية أو اقتراح أوصاف لحالات </w:t>
      </w:r>
      <w:r>
        <w:rPr>
          <w:rFonts w:hint="cs"/>
          <w:rtl/>
          <w:lang w:bidi="ar-SY"/>
        </w:rPr>
        <w:t>الاستعمال</w:t>
      </w:r>
      <w:r>
        <w:rPr>
          <w:rtl/>
          <w:lang w:bidi="ar-SY"/>
        </w:rPr>
        <w:t xml:space="preserve"> الجديدة بما في ذلك تنفيذ </w:t>
      </w:r>
      <w:r>
        <w:rPr>
          <w:rFonts w:hint="cs"/>
          <w:rtl/>
          <w:lang w:bidi="ar-SY"/>
        </w:rPr>
        <w:t>السجل المركزي لهوية المعدات (</w:t>
      </w:r>
      <w:r>
        <w:rPr>
          <w:lang w:bidi="ar-SY"/>
        </w:rPr>
        <w:t>CEIR</w:t>
      </w:r>
      <w:r>
        <w:rPr>
          <w:rFonts w:hint="cs"/>
          <w:rtl/>
          <w:lang w:val="en-GB" w:bidi="ar-AE"/>
        </w:rPr>
        <w:t>)</w:t>
      </w:r>
      <w:r>
        <w:rPr>
          <w:rtl/>
          <w:lang w:bidi="ar-SY"/>
        </w:rPr>
        <w:t>، من خلال المساهمات الموج</w:t>
      </w:r>
      <w:r>
        <w:rPr>
          <w:rFonts w:hint="cs"/>
          <w:rtl/>
          <w:lang w:bidi="ar-SY"/>
        </w:rPr>
        <w:t>َّ</w:t>
      </w:r>
      <w:r>
        <w:rPr>
          <w:rtl/>
          <w:lang w:bidi="ar-SY"/>
        </w:rPr>
        <w:t xml:space="preserve">هة </w:t>
      </w:r>
      <w:r>
        <w:rPr>
          <w:rFonts w:hint="cs"/>
          <w:rtl/>
          <w:lang w:bidi="ar-SY"/>
        </w:rPr>
        <w:t>إلى</w:t>
      </w:r>
      <w:r>
        <w:rPr>
          <w:rtl/>
          <w:lang w:bidi="ar-SY"/>
        </w:rPr>
        <w:t xml:space="preserve"> المسألة </w:t>
      </w:r>
      <w:r>
        <w:rPr>
          <w:rFonts w:hint="cs"/>
          <w:rtl/>
          <w:lang w:bidi="ar-SY"/>
        </w:rPr>
        <w:t>11/15</w:t>
      </w:r>
      <w:r>
        <w:rPr>
          <w:rtl/>
          <w:lang w:bidi="ar-SY"/>
        </w:rPr>
        <w:t xml:space="preserve"> في </w:t>
      </w:r>
      <w:r>
        <w:rPr>
          <w:rFonts w:hint="cs"/>
          <w:rtl/>
          <w:lang w:bidi="ar-SY"/>
        </w:rPr>
        <w:t>ال</w:t>
      </w:r>
      <w:r>
        <w:rPr>
          <w:rtl/>
          <w:lang w:bidi="ar-SY"/>
        </w:rPr>
        <w:t xml:space="preserve">اجتماع </w:t>
      </w:r>
      <w:r>
        <w:rPr>
          <w:rFonts w:hint="cs"/>
          <w:rtl/>
          <w:lang w:bidi="ar-SY"/>
        </w:rPr>
        <w:t>القادم ل</w:t>
      </w:r>
      <w:r>
        <w:rPr>
          <w:rtl/>
          <w:lang w:bidi="ar-SY"/>
        </w:rPr>
        <w:t>لجنة الدراسات 11 لقطاع تقييس الاتصالات (جنيف، 1-10 مايو 2024).</w:t>
      </w:r>
    </w:p>
    <w:p w14:paraId="740E2350" w14:textId="71098370" w:rsidR="002C7EDC" w:rsidRDefault="002C7EDC" w:rsidP="002C7EDC">
      <w:pPr>
        <w:rPr>
          <w:rtl/>
          <w:lang w:bidi="ar-SY"/>
        </w:rPr>
      </w:pPr>
      <w:r>
        <w:rPr>
          <w:rtl/>
          <w:lang w:bidi="ar-SY"/>
        </w:rPr>
        <w:t>وي</w:t>
      </w:r>
      <w:r>
        <w:rPr>
          <w:rFonts w:hint="cs"/>
          <w:rtl/>
          <w:lang w:bidi="ar-SY"/>
        </w:rPr>
        <w:t>َ</w:t>
      </w:r>
      <w:r>
        <w:rPr>
          <w:rtl/>
          <w:lang w:bidi="ar-SY"/>
        </w:rPr>
        <w:t>ر</w:t>
      </w:r>
      <w:r>
        <w:rPr>
          <w:rFonts w:hint="cs"/>
          <w:rtl/>
          <w:lang w:bidi="ar-SY"/>
        </w:rPr>
        <w:t>ِ</w:t>
      </w:r>
      <w:r>
        <w:rPr>
          <w:rtl/>
          <w:lang w:bidi="ar-SY"/>
        </w:rPr>
        <w:t>د</w:t>
      </w:r>
      <w:r>
        <w:rPr>
          <w:rFonts w:hint="cs"/>
          <w:rtl/>
          <w:lang w:bidi="ar-SY"/>
        </w:rPr>
        <w:t>ُ</w:t>
      </w:r>
      <w:r>
        <w:rPr>
          <w:rtl/>
          <w:lang w:bidi="ar-SY"/>
        </w:rPr>
        <w:t xml:space="preserve"> في </w:t>
      </w:r>
      <w:r w:rsidRPr="00D539DB">
        <w:rPr>
          <w:b/>
          <w:bCs/>
          <w:rtl/>
          <w:lang w:bidi="ar-SY"/>
        </w:rPr>
        <w:t>الملحق 1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أدناه </w:t>
      </w:r>
      <w:r>
        <w:rPr>
          <w:rtl/>
          <w:lang w:bidi="ar-SY"/>
        </w:rPr>
        <w:t>النموذج المخص</w:t>
      </w:r>
      <w:r>
        <w:rPr>
          <w:rFonts w:hint="cs"/>
          <w:rtl/>
          <w:lang w:bidi="ar-SY"/>
        </w:rPr>
        <w:t>َّ</w:t>
      </w:r>
      <w:r>
        <w:rPr>
          <w:rtl/>
          <w:lang w:bidi="ar-SY"/>
        </w:rPr>
        <w:t xml:space="preserve">ص لحالات </w:t>
      </w:r>
      <w:r>
        <w:rPr>
          <w:rFonts w:hint="cs"/>
          <w:rtl/>
          <w:lang w:bidi="ar-SY"/>
        </w:rPr>
        <w:t>الاستعمال</w:t>
      </w:r>
      <w:r>
        <w:rPr>
          <w:rtl/>
          <w:lang w:bidi="ar-SY"/>
        </w:rPr>
        <w:t xml:space="preserve"> الجديد</w:t>
      </w:r>
      <w:r>
        <w:rPr>
          <w:rFonts w:hint="cs"/>
          <w:rtl/>
          <w:lang w:bidi="ar-SY"/>
        </w:rPr>
        <w:t>ة</w:t>
      </w:r>
      <w:r>
        <w:rPr>
          <w:rtl/>
          <w:lang w:bidi="ar-SY"/>
        </w:rPr>
        <w:t>.</w:t>
      </w:r>
    </w:p>
    <w:p w14:paraId="5D6DAE7E" w14:textId="1C1CED58" w:rsidR="002C7EDC" w:rsidRPr="007267E1" w:rsidRDefault="002C7EDC" w:rsidP="007267E1">
      <w:pPr>
        <w:rPr>
          <w:rtl/>
          <w:lang w:bidi="ar-SY"/>
        </w:rPr>
      </w:pPr>
      <w:r w:rsidRPr="007267E1">
        <w:rPr>
          <w:rtl/>
          <w:lang w:bidi="ar-SY"/>
        </w:rPr>
        <w:t>ويتاح المزيد من التفاصيل بشأن الاجتماع القادم في الصفحة الإلكترونية الخاصة بلجنة الدراسات 11 في العنوان التالي:</w:t>
      </w:r>
      <w:r w:rsidR="007267E1">
        <w:rPr>
          <w:rFonts w:hint="cs"/>
          <w:rtl/>
          <w:lang w:bidi="ar-SY"/>
        </w:rPr>
        <w:t> </w:t>
      </w:r>
      <w:hyperlink r:id="rId12" w:history="1">
        <w:r w:rsidR="007267E1" w:rsidRPr="007267E1">
          <w:rPr>
            <w:rStyle w:val="Hyperlink"/>
          </w:rPr>
          <w:t>https://itu.i</w:t>
        </w:r>
        <w:r w:rsidR="007267E1" w:rsidRPr="007267E1">
          <w:rPr>
            <w:rStyle w:val="Hyperlink"/>
          </w:rPr>
          <w:t>n</w:t>
        </w:r>
        <w:r w:rsidR="007267E1" w:rsidRPr="007267E1">
          <w:rPr>
            <w:rStyle w:val="Hyperlink"/>
          </w:rPr>
          <w:t>t/go/tsg11</w:t>
        </w:r>
      </w:hyperlink>
      <w:r w:rsidRPr="007267E1">
        <w:rPr>
          <w:rtl/>
          <w:lang w:bidi="ar-SY"/>
        </w:rPr>
        <w:t>.</w:t>
      </w:r>
    </w:p>
    <w:p w14:paraId="53CC107B" w14:textId="03108556" w:rsidR="002C7EDC" w:rsidRDefault="002C7EDC" w:rsidP="004E66B8">
      <w:pPr>
        <w:rPr>
          <w:rtl/>
          <w:lang w:bidi="ar-SY"/>
        </w:rPr>
      </w:pPr>
      <w:r>
        <w:rPr>
          <w:rtl/>
          <w:lang w:bidi="ar-SY"/>
        </w:rPr>
        <w:t xml:space="preserve">ومن المتوقع أن </w:t>
      </w:r>
      <w:r>
        <w:rPr>
          <w:rFonts w:hint="cs"/>
          <w:rtl/>
          <w:lang w:bidi="ar-SY"/>
        </w:rPr>
        <w:t>تيسّر</w:t>
      </w:r>
      <w:r>
        <w:rPr>
          <w:rtl/>
          <w:lang w:bidi="ar-SY"/>
        </w:rPr>
        <w:t xml:space="preserve"> المعلومات المقد</w:t>
      </w:r>
      <w:r>
        <w:rPr>
          <w:rFonts w:hint="cs"/>
          <w:rtl/>
          <w:lang w:bidi="ar-SY"/>
        </w:rPr>
        <w:t>َّ</w:t>
      </w:r>
      <w:r>
        <w:rPr>
          <w:rtl/>
          <w:lang w:bidi="ar-SY"/>
        </w:rPr>
        <w:t>مة على لجنة الدراسة الم</w:t>
      </w:r>
      <w:r>
        <w:rPr>
          <w:rFonts w:hint="cs"/>
          <w:rtl/>
          <w:lang w:bidi="ar-SY"/>
        </w:rPr>
        <w:t>ُ</w:t>
      </w:r>
      <w:r>
        <w:rPr>
          <w:rtl/>
          <w:lang w:bidi="ar-SY"/>
        </w:rPr>
        <w:t>ضي</w:t>
      </w:r>
      <w:r>
        <w:rPr>
          <w:rFonts w:hint="cs"/>
          <w:rtl/>
          <w:lang w:bidi="ar-SY"/>
        </w:rPr>
        <w:t>ّ</w:t>
      </w:r>
      <w:r>
        <w:rPr>
          <w:rtl/>
          <w:lang w:bidi="ar-SY"/>
        </w:rPr>
        <w:t xml:space="preserve"> ق</w:t>
      </w:r>
      <w:r>
        <w:rPr>
          <w:rFonts w:hint="cs"/>
          <w:rtl/>
          <w:lang w:bidi="ar-SY"/>
        </w:rPr>
        <w:t>ُ</w:t>
      </w:r>
      <w:r>
        <w:rPr>
          <w:rtl/>
          <w:lang w:bidi="ar-SY"/>
        </w:rPr>
        <w:t>د</w:t>
      </w:r>
      <w:r>
        <w:rPr>
          <w:rFonts w:hint="cs"/>
          <w:rtl/>
          <w:lang w:bidi="ar-SY"/>
        </w:rPr>
        <w:t>ُ</w:t>
      </w:r>
      <w:r>
        <w:rPr>
          <w:rtl/>
          <w:lang w:bidi="ar-SY"/>
        </w:rPr>
        <w:t>ماً في تنفيذ بنود عملها الجاري.</w:t>
      </w:r>
    </w:p>
    <w:p w14:paraId="56A1306C" w14:textId="6807C4F9" w:rsidR="002C7EDC" w:rsidRDefault="002C7EDC" w:rsidP="004E66B8">
      <w:pPr>
        <w:rPr>
          <w:rtl/>
          <w:lang w:bidi="ar-SY"/>
        </w:rPr>
      </w:pPr>
      <w:r>
        <w:rPr>
          <w:rFonts w:hint="cs"/>
          <w:rtl/>
          <w:lang w:bidi="ar-SY"/>
        </w:rPr>
        <w:t>و</w:t>
      </w:r>
      <w:r>
        <w:rPr>
          <w:rtl/>
          <w:lang w:bidi="ar-SY"/>
        </w:rPr>
        <w:t>أود</w:t>
      </w:r>
      <w:r>
        <w:rPr>
          <w:rFonts w:hint="cs"/>
          <w:rtl/>
          <w:lang w:bidi="ar-SY"/>
        </w:rPr>
        <w:t>ُّ</w:t>
      </w:r>
      <w:r>
        <w:rPr>
          <w:rtl/>
          <w:lang w:bidi="ar-SY"/>
        </w:rPr>
        <w:t xml:space="preserve"> أن أشكرك</w:t>
      </w:r>
      <w:r>
        <w:rPr>
          <w:rFonts w:hint="cs"/>
          <w:rtl/>
          <w:lang w:bidi="ar-SY"/>
        </w:rPr>
        <w:t>م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مقدّماً</w:t>
      </w:r>
      <w:r>
        <w:rPr>
          <w:rtl/>
          <w:lang w:bidi="ar-SY"/>
        </w:rPr>
        <w:t xml:space="preserve"> على تعليقاتك</w:t>
      </w:r>
      <w:r>
        <w:rPr>
          <w:rFonts w:hint="cs"/>
          <w:rtl/>
          <w:lang w:bidi="ar-SY"/>
        </w:rPr>
        <w:t>م</w:t>
      </w:r>
      <w:r>
        <w:rPr>
          <w:rtl/>
          <w:lang w:bidi="ar-SY"/>
        </w:rPr>
        <w:t xml:space="preserve"> القي</w:t>
      </w:r>
      <w:r>
        <w:rPr>
          <w:rFonts w:hint="cs"/>
          <w:rtl/>
          <w:lang w:bidi="ar-SY"/>
        </w:rPr>
        <w:t>ّ</w:t>
      </w:r>
      <w:r>
        <w:rPr>
          <w:rtl/>
          <w:lang w:bidi="ar-SY"/>
        </w:rPr>
        <w:t>مة.</w:t>
      </w:r>
    </w:p>
    <w:p w14:paraId="46C0A251" w14:textId="12802928" w:rsidR="00E84438" w:rsidRPr="00D517B2" w:rsidRDefault="00E84438" w:rsidP="004E66B8">
      <w:pPr>
        <w:spacing w:before="240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4E245FC2" w14:textId="1CCA18D8" w:rsidR="00E84438" w:rsidRDefault="005B70DA" w:rsidP="00DA74FF">
      <w:pPr>
        <w:spacing w:before="720"/>
        <w:jc w:val="left"/>
        <w:rPr>
          <w:rtl/>
          <w:lang w:bidi="ar-SY"/>
        </w:rPr>
      </w:pPr>
      <w:r>
        <w:rPr>
          <w:rFonts w:hint="cs"/>
          <w:noProof/>
          <w:rtl/>
          <w:lang w:val="ar-SY" w:bidi="ar-SY"/>
        </w:rPr>
        <w:drawing>
          <wp:anchor distT="0" distB="0" distL="114300" distR="114300" simplePos="0" relativeHeight="251658240" behindDoc="1" locked="0" layoutInCell="1" allowOverlap="1" wp14:anchorId="04E36B44" wp14:editId="69FE03DC">
            <wp:simplePos x="0" y="0"/>
            <wp:positionH relativeFrom="column">
              <wp:posOffset>5509260</wp:posOffset>
            </wp:positionH>
            <wp:positionV relativeFrom="paragraph">
              <wp:posOffset>32385</wp:posOffset>
            </wp:positionV>
            <wp:extent cx="647700" cy="448408"/>
            <wp:effectExtent l="0" t="0" r="0" b="8890"/>
            <wp:wrapNone/>
            <wp:docPr id="557066994" name="Picture 2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066994" name="Picture 2" descr="A black and white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48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07031">
        <w:rPr>
          <w:rFonts w:hint="cs"/>
          <w:rtl/>
          <w:lang w:bidi="ar-SY"/>
        </w:rPr>
        <w:t>سيزو</w:t>
      </w:r>
      <w:proofErr w:type="spellEnd"/>
      <w:r w:rsidR="00807031">
        <w:rPr>
          <w:rFonts w:hint="cs"/>
          <w:rtl/>
          <w:lang w:bidi="ar-SY"/>
        </w:rPr>
        <w:t xml:space="preserve"> </w:t>
      </w:r>
      <w:proofErr w:type="spellStart"/>
      <w:r w:rsidR="00807031">
        <w:rPr>
          <w:rFonts w:hint="cs"/>
          <w:rtl/>
          <w:lang w:bidi="ar-SY"/>
        </w:rPr>
        <w:t>أونوي</w:t>
      </w:r>
      <w:proofErr w:type="spellEnd"/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p w14:paraId="647A7E39" w14:textId="49B124F1" w:rsidR="00596808" w:rsidRDefault="00CD4757" w:rsidP="004E66B8">
      <w:pPr>
        <w:spacing w:before="240"/>
        <w:jc w:val="left"/>
        <w:rPr>
          <w:rtl/>
          <w:lang w:bidi="ar-EG"/>
        </w:rPr>
      </w:pPr>
      <w:r w:rsidRPr="00CD4757">
        <w:rPr>
          <w:rFonts w:hint="cs"/>
          <w:b/>
          <w:bCs/>
          <w:rtl/>
          <w:lang w:bidi="ar-SY"/>
        </w:rPr>
        <w:t>الملحق</w:t>
      </w:r>
      <w:r w:rsidR="002C7EDC">
        <w:rPr>
          <w:rFonts w:hint="cs"/>
          <w:b/>
          <w:bCs/>
          <w:rtl/>
          <w:lang w:bidi="ar-SY"/>
        </w:rPr>
        <w:t>ات</w:t>
      </w:r>
      <w:r w:rsidRPr="00CD4757">
        <w:rPr>
          <w:rFonts w:hint="cs"/>
          <w:b/>
          <w:bCs/>
          <w:rtl/>
          <w:lang w:bidi="ar-SY"/>
        </w:rPr>
        <w:t xml:space="preserve">: </w:t>
      </w:r>
      <w:r w:rsidRPr="00CD4757">
        <w:rPr>
          <w:b/>
          <w:bCs/>
          <w:lang w:bidi="ar-SY"/>
        </w:rPr>
        <w:t>1</w:t>
      </w:r>
      <w:r w:rsidR="00596808">
        <w:rPr>
          <w:rtl/>
          <w:lang w:bidi="ar-EG"/>
        </w:rPr>
        <w:br w:type="page"/>
      </w:r>
    </w:p>
    <w:p w14:paraId="4A494E5D" w14:textId="17AA8B7E" w:rsidR="00AF6B5C" w:rsidRDefault="00CD4757" w:rsidP="00CD4757">
      <w:pPr>
        <w:pStyle w:val="AnnexNo"/>
        <w:rPr>
          <w:rtl/>
        </w:rPr>
      </w:pPr>
      <w:r>
        <w:rPr>
          <w:rFonts w:hint="cs"/>
          <w:rtl/>
        </w:rPr>
        <w:lastRenderedPageBreak/>
        <w:t xml:space="preserve">الملحق </w:t>
      </w:r>
      <w:r>
        <w:t>1</w:t>
      </w:r>
    </w:p>
    <w:p w14:paraId="51EE0722" w14:textId="7B88C93B" w:rsidR="00CD4757" w:rsidRPr="004E66B8" w:rsidRDefault="002C7EDC" w:rsidP="004E66B8">
      <w:pPr>
        <w:pStyle w:val="Annextitle"/>
      </w:pPr>
      <w:r w:rsidRPr="004E66B8">
        <w:rPr>
          <w:rFonts w:hint="cs"/>
          <w:rtl/>
        </w:rPr>
        <w:t>وَصْف</w:t>
      </w:r>
      <w:r w:rsidRPr="004E66B8">
        <w:rPr>
          <w:rtl/>
        </w:rPr>
        <w:t xml:space="preserve"> حالات الاستعمال بشأن مكافحة أجهزة تكنولوجيا المعلومات والاتصالات المزيفة و/أو الأجهزة المتنقلة المسروقة</w:t>
      </w:r>
      <w:r w:rsidRPr="004E66B8">
        <w:rPr>
          <w:rFonts w:hint="cs"/>
          <w:rtl/>
        </w:rPr>
        <w:t>، بما في ذلك</w:t>
      </w:r>
      <w:r w:rsidRPr="004E66B8">
        <w:rPr>
          <w:rtl/>
        </w:rPr>
        <w:t xml:space="preserve"> تنفيذ السجل المركزي لهوية المعدات (</w:t>
      </w:r>
      <w:r w:rsidRPr="004E66B8">
        <w:t>CEIR</w:t>
      </w:r>
      <w:r w:rsidRPr="004E66B8">
        <w:rPr>
          <w:rtl/>
        </w:rPr>
        <w:t>)</w:t>
      </w:r>
      <w:r w:rsidRPr="004E66B8" w:rsidDel="00D539DB">
        <w:rPr>
          <w:rtl/>
        </w:rPr>
        <w:t xml:space="preserve"> </w:t>
      </w:r>
      <w:r w:rsidR="00CD4757" w:rsidRPr="004E66B8">
        <w:rPr>
          <w:rtl/>
        </w:rPr>
        <w:br/>
      </w:r>
      <w:r w:rsidR="00CD4757" w:rsidRPr="004E66B8">
        <w:rPr>
          <w:rFonts w:hint="cs"/>
          <w:rtl/>
        </w:rPr>
        <w:t>(النموذج)</w:t>
      </w:r>
    </w:p>
    <w:p w14:paraId="339494F2" w14:textId="77777777" w:rsidR="00CD4757" w:rsidRDefault="00CD4757" w:rsidP="00CD4757">
      <w:pPr>
        <w:rPr>
          <w:lang w:bidi="ar-EG"/>
        </w:rPr>
      </w:pPr>
      <w:r>
        <w:rPr>
          <w:rFonts w:hint="cs"/>
          <w:rtl/>
          <w:lang w:bidi="ar-EG"/>
        </w:rPr>
        <w:t>يوصى مقدمو الوثيقة إلى تقديم معلومات عن العناصر الواردة أدناه، في حال انطباقها.</w:t>
      </w:r>
    </w:p>
    <w:p w14:paraId="6622C979" w14:textId="5B5DB1F1" w:rsidR="00CD4757" w:rsidRDefault="00CD4757" w:rsidP="00CD4757">
      <w:pPr>
        <w:pStyle w:val="enumlev1"/>
      </w:pPr>
      <w:r>
        <w:t>1</w:t>
      </w:r>
      <w:r>
        <w:tab/>
        <w:t>1</w:t>
      </w:r>
      <w:r>
        <w:tab/>
      </w:r>
      <w:r>
        <w:rPr>
          <w:rFonts w:hint="cs"/>
          <w:rtl/>
        </w:rPr>
        <w:t>معلومات</w:t>
      </w:r>
      <w:r>
        <w:rPr>
          <w:rFonts w:hint="cs"/>
          <w:rtl/>
          <w:lang w:bidi="ar-SA"/>
        </w:rPr>
        <w:t xml:space="preserve"> عامة</w:t>
      </w:r>
      <w:r>
        <w:rPr>
          <w:rFonts w:hint="cs"/>
          <w:rtl/>
        </w:rPr>
        <w:t xml:space="preserve"> عن حالة </w:t>
      </w:r>
      <w:r w:rsidR="002C7EDC">
        <w:rPr>
          <w:rFonts w:hint="cs"/>
          <w:rtl/>
        </w:rPr>
        <w:t>الاستعمال</w:t>
      </w:r>
    </w:p>
    <w:p w14:paraId="5F9824AF" w14:textId="1117C21F" w:rsidR="00CD4757" w:rsidRDefault="00CD4757" w:rsidP="00CD4757">
      <w:pPr>
        <w:pStyle w:val="enumlev2"/>
        <w:rPr>
          <w:lang w:bidi="ar-EG"/>
        </w:rPr>
      </w:pPr>
      <w:r>
        <w:rPr>
          <w:lang w:bidi="ar-EG"/>
        </w:rPr>
        <w:t>1.1</w:t>
      </w:r>
      <w:r>
        <w:rPr>
          <w:lang w:bidi="ar-EG"/>
        </w:rPr>
        <w:tab/>
      </w:r>
      <w:r>
        <w:rPr>
          <w:rFonts w:hint="cs"/>
          <w:rtl/>
        </w:rPr>
        <w:t xml:space="preserve">عنوان حالة </w:t>
      </w:r>
      <w:r w:rsidR="002C7EDC">
        <w:rPr>
          <w:rFonts w:hint="cs"/>
          <w:rtl/>
        </w:rPr>
        <w:t>الاستعمال</w:t>
      </w:r>
    </w:p>
    <w:p w14:paraId="6AC445D5" w14:textId="494D984A" w:rsidR="00CD4757" w:rsidRDefault="00CD4757" w:rsidP="00CD4757">
      <w:pPr>
        <w:pStyle w:val="enumlev2"/>
        <w:rPr>
          <w:lang w:bidi="ar-EG"/>
        </w:rPr>
      </w:pPr>
      <w:r>
        <w:rPr>
          <w:lang w:bidi="ar-EG"/>
        </w:rPr>
        <w:t>2.1</w:t>
      </w:r>
      <w:r>
        <w:rPr>
          <w:lang w:bidi="ar-EG"/>
        </w:rPr>
        <w:tab/>
      </w:r>
      <w:r>
        <w:rPr>
          <w:rFonts w:hint="cs"/>
          <w:rtl/>
        </w:rPr>
        <w:t xml:space="preserve">المكان الذي تنفَّذ فيه حالة </w:t>
      </w:r>
      <w:r w:rsidR="002C7EDC">
        <w:rPr>
          <w:rFonts w:hint="cs"/>
          <w:rtl/>
        </w:rPr>
        <w:t>الاستعمال</w:t>
      </w:r>
      <w:r>
        <w:rPr>
          <w:rFonts w:hint="cs"/>
          <w:rtl/>
        </w:rPr>
        <w:t xml:space="preserve"> (حالة استخدام قُطرية و/أو خاصة)</w:t>
      </w:r>
    </w:p>
    <w:p w14:paraId="06B7EAAD" w14:textId="4A59BB84" w:rsidR="00CD4757" w:rsidRDefault="00CD4757" w:rsidP="00CD4757">
      <w:pPr>
        <w:pStyle w:val="enumlev2"/>
        <w:rPr>
          <w:lang w:bidi="ar-EG"/>
        </w:rPr>
      </w:pPr>
      <w:r>
        <w:rPr>
          <w:lang w:bidi="ar-EG"/>
        </w:rPr>
        <w:t>3.1</w:t>
      </w:r>
      <w:r>
        <w:rPr>
          <w:lang w:bidi="ar-EG"/>
        </w:rPr>
        <w:tab/>
      </w:r>
      <w:r>
        <w:rPr>
          <w:rFonts w:hint="cs"/>
          <w:rtl/>
          <w:lang w:bidi="ar-EG"/>
        </w:rPr>
        <w:t xml:space="preserve">مواعيد تنفيذ حالة </w:t>
      </w:r>
      <w:r w:rsidR="002C7EDC">
        <w:rPr>
          <w:rFonts w:hint="cs"/>
          <w:rtl/>
          <w:lang w:bidi="ar-EG"/>
        </w:rPr>
        <w:t>الاستعمال</w:t>
      </w:r>
      <w:r>
        <w:rPr>
          <w:rFonts w:hint="cs"/>
          <w:rtl/>
          <w:lang w:bidi="ar-EG"/>
        </w:rPr>
        <w:t xml:space="preserve"> (الشهر/السنة)</w:t>
      </w:r>
    </w:p>
    <w:p w14:paraId="58B2B0B5" w14:textId="77777777" w:rsidR="00CD4757" w:rsidRDefault="00CD4757" w:rsidP="00CD4757">
      <w:pPr>
        <w:pStyle w:val="enumlev2"/>
        <w:rPr>
          <w:lang w:bidi="ar-EG"/>
        </w:rPr>
      </w:pPr>
      <w:r>
        <w:rPr>
          <w:lang w:bidi="ar-EG"/>
        </w:rPr>
        <w:t>4.1</w:t>
      </w:r>
      <w:r>
        <w:rPr>
          <w:lang w:bidi="ar-EG"/>
        </w:rPr>
        <w:tab/>
      </w:r>
      <w:r>
        <w:rPr>
          <w:rFonts w:hint="cs"/>
          <w:rtl/>
        </w:rPr>
        <w:t>المصدر (عضو الاتحاد)</w:t>
      </w:r>
    </w:p>
    <w:p w14:paraId="5A3202FE" w14:textId="20A8F3DB" w:rsidR="00CD4757" w:rsidRDefault="00CD4757" w:rsidP="00CD4757">
      <w:pPr>
        <w:pStyle w:val="enumlev1"/>
      </w:pPr>
      <w:r>
        <w:t>2</w:t>
      </w:r>
      <w:r>
        <w:tab/>
      </w:r>
      <w:r>
        <w:rPr>
          <w:rFonts w:hint="cs"/>
          <w:rtl/>
        </w:rPr>
        <w:t xml:space="preserve">نطاق حالة </w:t>
      </w:r>
      <w:r w:rsidR="002C7EDC">
        <w:rPr>
          <w:rFonts w:hint="cs"/>
          <w:rtl/>
        </w:rPr>
        <w:t>الاستعمال</w:t>
      </w:r>
      <w:r>
        <w:rPr>
          <w:rFonts w:hint="cs"/>
          <w:rtl/>
        </w:rPr>
        <w:t xml:space="preserve"> (بما في ذلك المشكلة التي يتعين تعقبها من قبيل الأجهزة المزيفة و/أو المسروقة و/أو المغشوشة و/أو المستنسخة)</w:t>
      </w:r>
    </w:p>
    <w:p w14:paraId="4BA9B20C" w14:textId="4EBB3492" w:rsidR="00CD4757" w:rsidRDefault="00CD4757" w:rsidP="00CD4757">
      <w:pPr>
        <w:pStyle w:val="enumlev1"/>
      </w:pPr>
      <w:r>
        <w:t>3</w:t>
      </w:r>
      <w:r>
        <w:tab/>
      </w:r>
      <w:r>
        <w:rPr>
          <w:rFonts w:hint="cs"/>
          <w:rtl/>
        </w:rPr>
        <w:t xml:space="preserve">إحصاءات عامة لحالة </w:t>
      </w:r>
      <w:r w:rsidR="002C7EDC">
        <w:rPr>
          <w:rFonts w:hint="cs"/>
          <w:rtl/>
        </w:rPr>
        <w:t>الاستعمال</w:t>
      </w:r>
      <w:r>
        <w:rPr>
          <w:rFonts w:hint="cs"/>
          <w:rtl/>
        </w:rPr>
        <w:t xml:space="preserve"> القُطرية</w:t>
      </w:r>
    </w:p>
    <w:p w14:paraId="48206627" w14:textId="4C014F36" w:rsidR="00CD4757" w:rsidRDefault="00CD4757" w:rsidP="00CD4757">
      <w:pPr>
        <w:pStyle w:val="enumlev2"/>
        <w:rPr>
          <w:lang w:bidi="ar-EG"/>
        </w:rPr>
      </w:pPr>
      <w:r>
        <w:rPr>
          <w:lang w:bidi="ar-EG"/>
        </w:rPr>
        <w:t>1.3</w:t>
      </w:r>
      <w:r>
        <w:rPr>
          <w:lang w:bidi="ar-EG"/>
        </w:rPr>
        <w:tab/>
      </w:r>
      <w:r>
        <w:rPr>
          <w:rFonts w:hint="cs"/>
          <w:rtl/>
        </w:rPr>
        <w:t xml:space="preserve">إحصاءات الاتصالات (مثلاً، عدد </w:t>
      </w:r>
      <w:r w:rsidR="002C7EDC">
        <w:rPr>
          <w:rFonts w:hint="cs"/>
          <w:rtl/>
        </w:rPr>
        <w:t>مستعملي</w:t>
      </w:r>
      <w:r>
        <w:rPr>
          <w:rFonts w:hint="cs"/>
          <w:rtl/>
        </w:rPr>
        <w:t xml:space="preserve"> الأجهزة المتنقلة، عدد المشغلين، إلخ.)</w:t>
      </w:r>
    </w:p>
    <w:p w14:paraId="1DFBC04F" w14:textId="77777777" w:rsidR="00CD4757" w:rsidRDefault="00CD4757" w:rsidP="00CD4757">
      <w:pPr>
        <w:pStyle w:val="enumlev2"/>
        <w:rPr>
          <w:lang w:bidi="ar-EG"/>
        </w:rPr>
      </w:pPr>
      <w:r>
        <w:rPr>
          <w:lang w:bidi="ar-EG"/>
        </w:rPr>
        <w:t>2.3</w:t>
      </w:r>
      <w:r>
        <w:rPr>
          <w:lang w:bidi="ar-EG"/>
        </w:rPr>
        <w:tab/>
      </w:r>
      <w:r>
        <w:rPr>
          <w:rFonts w:hint="cs"/>
          <w:rtl/>
          <w:lang w:bidi="ar-EG"/>
        </w:rPr>
        <w:t xml:space="preserve">إحصاءات المشكلة (مثلاً، عدد الأجهزة المزيفة، عدد الأجهزة المسروقة، إلخ.) </w:t>
      </w:r>
    </w:p>
    <w:p w14:paraId="5E0D5DE1" w14:textId="6CC6A0DB" w:rsidR="00CD4757" w:rsidRDefault="00CD4757" w:rsidP="00CD4757">
      <w:pPr>
        <w:pStyle w:val="enumlev2"/>
        <w:rPr>
          <w:lang w:bidi="ar-EG"/>
        </w:rPr>
      </w:pPr>
      <w:r>
        <w:rPr>
          <w:lang w:bidi="ar-EG"/>
        </w:rPr>
        <w:t>3.3</w:t>
      </w:r>
      <w:r>
        <w:rPr>
          <w:lang w:bidi="ar-EG"/>
        </w:rPr>
        <w:tab/>
      </w:r>
      <w:r>
        <w:rPr>
          <w:rFonts w:hint="cs"/>
          <w:rtl/>
        </w:rPr>
        <w:t xml:space="preserve">إحصاءات عامة تتعلق بحالة </w:t>
      </w:r>
      <w:r w:rsidR="002C7EDC">
        <w:rPr>
          <w:rFonts w:hint="cs"/>
          <w:rtl/>
        </w:rPr>
        <w:t>الاستعمال</w:t>
      </w:r>
      <w:r>
        <w:rPr>
          <w:rFonts w:hint="cs"/>
          <w:rtl/>
        </w:rPr>
        <w:t xml:space="preserve"> (مثلاً، حجم الاقتصاد، عدد السكان، إلخ.)</w:t>
      </w:r>
    </w:p>
    <w:p w14:paraId="41D77002" w14:textId="5344D281" w:rsidR="00CD4757" w:rsidRDefault="00CD4757" w:rsidP="00CD4757">
      <w:pPr>
        <w:pStyle w:val="enumlev1"/>
      </w:pPr>
      <w:r>
        <w:t>4</w:t>
      </w:r>
      <w:r>
        <w:tab/>
      </w:r>
      <w:r>
        <w:rPr>
          <w:rFonts w:hint="cs"/>
          <w:rtl/>
        </w:rPr>
        <w:t xml:space="preserve">وصف الحل لحالة </w:t>
      </w:r>
      <w:r w:rsidR="002C7EDC">
        <w:rPr>
          <w:rFonts w:hint="cs"/>
          <w:rtl/>
        </w:rPr>
        <w:t>الاستعمال</w:t>
      </w:r>
    </w:p>
    <w:p w14:paraId="00F0CC74" w14:textId="77777777" w:rsidR="00CD4757" w:rsidRDefault="00CD4757" w:rsidP="00CD4757">
      <w:pPr>
        <w:pStyle w:val="enumlev2"/>
        <w:rPr>
          <w:lang w:bidi="ar-EG"/>
        </w:rPr>
      </w:pPr>
      <w:r>
        <w:rPr>
          <w:lang w:bidi="ar-EG"/>
        </w:rPr>
        <w:t>1.4</w:t>
      </w:r>
      <w:r>
        <w:rPr>
          <w:lang w:bidi="ar-EG"/>
        </w:rPr>
        <w:tab/>
      </w:r>
      <w:r>
        <w:rPr>
          <w:rFonts w:hint="cs"/>
          <w:rtl/>
        </w:rPr>
        <w:t>نظرة عامة عن الحل</w:t>
      </w:r>
    </w:p>
    <w:p w14:paraId="30E03BCF" w14:textId="1B15D4B1" w:rsidR="00CD4757" w:rsidRDefault="00CD4757" w:rsidP="00CD4757">
      <w:pPr>
        <w:pStyle w:val="enumlev2"/>
        <w:rPr>
          <w:lang w:bidi="ar-EG"/>
        </w:rPr>
      </w:pPr>
      <w:r>
        <w:rPr>
          <w:lang w:bidi="ar-EG"/>
        </w:rPr>
        <w:t>2.4</w:t>
      </w:r>
      <w:r>
        <w:rPr>
          <w:lang w:bidi="ar-EG"/>
        </w:rPr>
        <w:tab/>
      </w:r>
      <w:r>
        <w:rPr>
          <w:rFonts w:hint="cs"/>
          <w:rtl/>
        </w:rPr>
        <w:t>إطار الحل بما يشمل مخططات بيانية ووصفاً تفصيلياً</w:t>
      </w:r>
    </w:p>
    <w:p w14:paraId="25633A7C" w14:textId="77777777" w:rsidR="00CD4757" w:rsidRDefault="00CD4757" w:rsidP="00CD4757">
      <w:pPr>
        <w:pStyle w:val="enumlev2"/>
        <w:rPr>
          <w:lang w:bidi="ar-EG"/>
        </w:rPr>
      </w:pPr>
      <w:r>
        <w:rPr>
          <w:lang w:bidi="ar-EG"/>
        </w:rPr>
        <w:t>3.4</w:t>
      </w:r>
      <w:r>
        <w:rPr>
          <w:lang w:bidi="ar-EG"/>
        </w:rPr>
        <w:tab/>
      </w:r>
      <w:r>
        <w:rPr>
          <w:rFonts w:hint="cs"/>
          <w:rtl/>
          <w:lang w:bidi="ar-EG"/>
        </w:rPr>
        <w:t>وصف التدابير الإضافية المتخذة للتعامل مع المشكلة</w:t>
      </w:r>
    </w:p>
    <w:p w14:paraId="6AC7748F" w14:textId="77777777" w:rsidR="00CD4757" w:rsidRDefault="00CD4757" w:rsidP="00CD4757">
      <w:pPr>
        <w:pStyle w:val="enumlev2"/>
        <w:rPr>
          <w:lang w:bidi="ar-EG"/>
        </w:rPr>
      </w:pPr>
      <w:r>
        <w:rPr>
          <w:lang w:bidi="ar-EG"/>
        </w:rPr>
        <w:t>4.4</w:t>
      </w:r>
      <w:r>
        <w:rPr>
          <w:lang w:bidi="ar-EG"/>
        </w:rPr>
        <w:tab/>
      </w:r>
      <w:r>
        <w:rPr>
          <w:rFonts w:hint="cs"/>
          <w:rtl/>
        </w:rPr>
        <w:t>إحالات مرجعية إلى الموارد الإلكترونية المفتوحة للحصول على مزيد من التفاصيل (اختياري)</w:t>
      </w:r>
    </w:p>
    <w:p w14:paraId="00CF7B6A" w14:textId="77777777" w:rsidR="00CD4757" w:rsidRDefault="00CD4757" w:rsidP="00CD4757">
      <w:pPr>
        <w:pStyle w:val="enumlev2"/>
        <w:rPr>
          <w:lang w:bidi="ar-EG"/>
        </w:rPr>
      </w:pPr>
      <w:r>
        <w:rPr>
          <w:lang w:bidi="ar-EG"/>
        </w:rPr>
        <w:t>5.4</w:t>
      </w:r>
      <w:r>
        <w:rPr>
          <w:lang w:bidi="ar-EG"/>
        </w:rPr>
        <w:tab/>
      </w:r>
      <w:r>
        <w:rPr>
          <w:rFonts w:hint="cs"/>
          <w:rtl/>
        </w:rPr>
        <w:t>ملاحظات أخرى ذات صلة (اختياري)</w:t>
      </w:r>
    </w:p>
    <w:p w14:paraId="32BE4B21" w14:textId="4512B885" w:rsidR="00CD4757" w:rsidRDefault="00CD4757" w:rsidP="00CD4757">
      <w:pPr>
        <w:pStyle w:val="enumlev1"/>
      </w:pPr>
      <w:r>
        <w:t>5</w:t>
      </w:r>
      <w:r>
        <w:tab/>
      </w:r>
      <w:r>
        <w:rPr>
          <w:rFonts w:hint="cs"/>
          <w:rtl/>
        </w:rPr>
        <w:t xml:space="preserve">نظرة عامة عن التحديات والتدابير المضادة فيما يتعلق بتنفيذ حالة </w:t>
      </w:r>
      <w:r w:rsidR="002C7EDC">
        <w:rPr>
          <w:rFonts w:hint="cs"/>
          <w:rtl/>
        </w:rPr>
        <w:t>الاستعمال</w:t>
      </w:r>
    </w:p>
    <w:p w14:paraId="4954FE9D" w14:textId="465070B9" w:rsidR="00CD4757" w:rsidRDefault="00CD4757" w:rsidP="00CD4757">
      <w:pPr>
        <w:pStyle w:val="enumlev1"/>
      </w:pPr>
      <w:r>
        <w:t>6</w:t>
      </w:r>
      <w:r>
        <w:tab/>
      </w:r>
      <w:r>
        <w:rPr>
          <w:rFonts w:hint="cs"/>
          <w:rtl/>
        </w:rPr>
        <w:t xml:space="preserve">إحصاءات بشأن آثار تنفيذ حالة </w:t>
      </w:r>
      <w:r w:rsidR="002C7EDC">
        <w:rPr>
          <w:rFonts w:hint="cs"/>
          <w:rtl/>
        </w:rPr>
        <w:t>الاستعمال</w:t>
      </w:r>
    </w:p>
    <w:p w14:paraId="5CB8B945" w14:textId="4C4C3B7E" w:rsidR="00CD4757" w:rsidRDefault="00CD4757" w:rsidP="00CD4757">
      <w:pPr>
        <w:pStyle w:val="enumlev1"/>
      </w:pPr>
      <w:r>
        <w:t>7</w:t>
      </w:r>
      <w:r>
        <w:tab/>
      </w:r>
      <w:r>
        <w:rPr>
          <w:rFonts w:hint="cs"/>
          <w:rtl/>
        </w:rPr>
        <w:t xml:space="preserve">خارطة طريق التطور المخطط لحالة </w:t>
      </w:r>
      <w:r w:rsidR="002C7EDC">
        <w:rPr>
          <w:rFonts w:hint="cs"/>
          <w:rtl/>
        </w:rPr>
        <w:t xml:space="preserve">الاستعمال </w:t>
      </w:r>
      <w:r>
        <w:rPr>
          <w:rFonts w:hint="cs"/>
          <w:rtl/>
        </w:rPr>
        <w:t>في المستقبل</w:t>
      </w:r>
    </w:p>
    <w:p w14:paraId="35A86156" w14:textId="77777777" w:rsidR="00CD4757" w:rsidRDefault="00CD4757" w:rsidP="00CD4757">
      <w:pPr>
        <w:pStyle w:val="enumlev1"/>
        <w:rPr>
          <w:rtl/>
        </w:rPr>
      </w:pPr>
      <w:r>
        <w:t>8</w:t>
      </w:r>
      <w:r>
        <w:tab/>
      </w:r>
      <w:r>
        <w:rPr>
          <w:rFonts w:hint="cs"/>
          <w:rtl/>
        </w:rPr>
        <w:t>ملاحظات ختامية واستنتاجات.</w:t>
      </w:r>
    </w:p>
    <w:p w14:paraId="406B1588" w14:textId="47B1CAEF" w:rsidR="00CD4757" w:rsidRDefault="00CD4757" w:rsidP="00CD4757">
      <w:pPr>
        <w:spacing w:before="600"/>
        <w:jc w:val="center"/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</w:t>
      </w:r>
    </w:p>
    <w:sectPr w:rsidR="00CD4757" w:rsidSect="00CD4757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8801F" w14:textId="77777777" w:rsidR="00CD4757" w:rsidRDefault="00CD4757" w:rsidP="006C3242">
      <w:pPr>
        <w:spacing w:before="0" w:line="240" w:lineRule="auto"/>
      </w:pPr>
      <w:r>
        <w:separator/>
      </w:r>
    </w:p>
  </w:endnote>
  <w:endnote w:type="continuationSeparator" w:id="0">
    <w:p w14:paraId="294E1BD1" w14:textId="77777777" w:rsidR="00CD4757" w:rsidRDefault="00CD475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AC74" w14:textId="02B58C30" w:rsidR="006C3242" w:rsidRPr="007267E1" w:rsidRDefault="006C3242" w:rsidP="007267E1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5CD5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109F3" w14:textId="77777777" w:rsidR="00CD4757" w:rsidRDefault="00CD4757" w:rsidP="006C3242">
      <w:pPr>
        <w:spacing w:before="0" w:line="240" w:lineRule="auto"/>
      </w:pPr>
      <w:r>
        <w:separator/>
      </w:r>
    </w:p>
  </w:footnote>
  <w:footnote w:type="continuationSeparator" w:id="0">
    <w:p w14:paraId="667BFCBD" w14:textId="77777777" w:rsidR="00CD4757" w:rsidRDefault="00CD475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1402" w14:textId="1FBD8B61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="00CD4757">
      <w:rPr>
        <w:sz w:val="20"/>
        <w:szCs w:val="20"/>
        <w:lang w:bidi="ar-EG"/>
      </w:rPr>
      <w:t>TSB Circular 181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7"/>
    <w:rsid w:val="00002A63"/>
    <w:rsid w:val="00046A31"/>
    <w:rsid w:val="0006468A"/>
    <w:rsid w:val="00090574"/>
    <w:rsid w:val="000C1C0E"/>
    <w:rsid w:val="000C548A"/>
    <w:rsid w:val="000E327F"/>
    <w:rsid w:val="00146FE2"/>
    <w:rsid w:val="00155AE9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C7EDC"/>
    <w:rsid w:val="002E196B"/>
    <w:rsid w:val="002E6541"/>
    <w:rsid w:val="00334924"/>
    <w:rsid w:val="003409BC"/>
    <w:rsid w:val="00357185"/>
    <w:rsid w:val="00383829"/>
    <w:rsid w:val="003A3046"/>
    <w:rsid w:val="003C7EDF"/>
    <w:rsid w:val="003F4B29"/>
    <w:rsid w:val="00400EC6"/>
    <w:rsid w:val="0042686F"/>
    <w:rsid w:val="004317D8"/>
    <w:rsid w:val="00434183"/>
    <w:rsid w:val="00443869"/>
    <w:rsid w:val="00447F32"/>
    <w:rsid w:val="004E11DC"/>
    <w:rsid w:val="004E66B8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5B70DA"/>
    <w:rsid w:val="006560A7"/>
    <w:rsid w:val="006635B2"/>
    <w:rsid w:val="00677396"/>
    <w:rsid w:val="0069200F"/>
    <w:rsid w:val="006A65CB"/>
    <w:rsid w:val="006C1530"/>
    <w:rsid w:val="006C3242"/>
    <w:rsid w:val="006C7CC0"/>
    <w:rsid w:val="006E1BAD"/>
    <w:rsid w:val="006E6264"/>
    <w:rsid w:val="006F63F7"/>
    <w:rsid w:val="007025C7"/>
    <w:rsid w:val="00706D7A"/>
    <w:rsid w:val="00722F0D"/>
    <w:rsid w:val="007267E1"/>
    <w:rsid w:val="0074420E"/>
    <w:rsid w:val="00783E26"/>
    <w:rsid w:val="007C3BC7"/>
    <w:rsid w:val="007C3BCD"/>
    <w:rsid w:val="007D4ACF"/>
    <w:rsid w:val="007F0787"/>
    <w:rsid w:val="00807031"/>
    <w:rsid w:val="00810B7B"/>
    <w:rsid w:val="0082358A"/>
    <w:rsid w:val="008235CD"/>
    <w:rsid w:val="008247DE"/>
    <w:rsid w:val="00840B10"/>
    <w:rsid w:val="008513CB"/>
    <w:rsid w:val="00873469"/>
    <w:rsid w:val="008739D3"/>
    <w:rsid w:val="00877F4B"/>
    <w:rsid w:val="008A7F84"/>
    <w:rsid w:val="0091702E"/>
    <w:rsid w:val="00923B0C"/>
    <w:rsid w:val="00926F44"/>
    <w:rsid w:val="0094021C"/>
    <w:rsid w:val="0094432F"/>
    <w:rsid w:val="00952F86"/>
    <w:rsid w:val="00982B28"/>
    <w:rsid w:val="009B5891"/>
    <w:rsid w:val="009D313F"/>
    <w:rsid w:val="00A47A5A"/>
    <w:rsid w:val="00A6683B"/>
    <w:rsid w:val="00A77C90"/>
    <w:rsid w:val="00A9156F"/>
    <w:rsid w:val="00A97F94"/>
    <w:rsid w:val="00AA7EA2"/>
    <w:rsid w:val="00AF6B5C"/>
    <w:rsid w:val="00B03099"/>
    <w:rsid w:val="00B05BC8"/>
    <w:rsid w:val="00B64B47"/>
    <w:rsid w:val="00B916A7"/>
    <w:rsid w:val="00BB0F08"/>
    <w:rsid w:val="00C002DE"/>
    <w:rsid w:val="00C53BF8"/>
    <w:rsid w:val="00C66157"/>
    <w:rsid w:val="00C674FE"/>
    <w:rsid w:val="00C67501"/>
    <w:rsid w:val="00C75633"/>
    <w:rsid w:val="00CD4757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76170"/>
    <w:rsid w:val="00D77D0F"/>
    <w:rsid w:val="00DA1CF0"/>
    <w:rsid w:val="00DA74FF"/>
    <w:rsid w:val="00DC1E02"/>
    <w:rsid w:val="00DC24B4"/>
    <w:rsid w:val="00DC5FB0"/>
    <w:rsid w:val="00DD1EBB"/>
    <w:rsid w:val="00DF16DC"/>
    <w:rsid w:val="00E45211"/>
    <w:rsid w:val="00E473C5"/>
    <w:rsid w:val="00E84438"/>
    <w:rsid w:val="00E92863"/>
    <w:rsid w:val="00EB796D"/>
    <w:rsid w:val="00F058DC"/>
    <w:rsid w:val="00F24FC4"/>
    <w:rsid w:val="00F2676C"/>
    <w:rsid w:val="00F52941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A3D5"/>
  <w15:chartTrackingRefBased/>
  <w15:docId w15:val="{B7D4AA86-0456-497C-A82F-4BED51DA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character" w:customStyle="1" w:styleId="None">
    <w:name w:val="None"/>
    <w:rsid w:val="00CD4757"/>
  </w:style>
  <w:style w:type="character" w:customStyle="1" w:styleId="Hyperlink1">
    <w:name w:val="Hyperlink.1"/>
    <w:basedOn w:val="Hyperlink"/>
    <w:rsid w:val="00CD4757"/>
    <w:rPr>
      <w:rFonts w:ascii="Dubai" w:hAnsi="Dubai" w:cs="Dubai"/>
      <w:outline w:val="0"/>
      <w:color w:val="0000FF"/>
      <w:u w:val="single" w:color="0000FF"/>
    </w:rPr>
  </w:style>
  <w:style w:type="character" w:styleId="FollowedHyperlink">
    <w:name w:val="FollowedHyperlink"/>
    <w:basedOn w:val="DefaultParagraphFont"/>
    <w:uiPriority w:val="99"/>
    <w:semiHidden/>
    <w:unhideWhenUsed/>
    <w:rsid w:val="00155A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u.int/go/tsg1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workprog/wp_search.aspx?isn_sp=8265&amp;isn_sg=8270&amp;isn_qu=8327&amp;isn_status=-1,8,1,3,7&amp;details=0&amp;field=acdefghij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ITU-T/workprog/wp_item.aspx?isn=1892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ITU-T%20(TSB)\PA_TSB%20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CIRC.dotx</Template>
  <TotalTime>29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Arabic-AAM</dc:creator>
  <cp:keywords/>
  <dc:description/>
  <cp:lastModifiedBy>Braud, Olivia</cp:lastModifiedBy>
  <cp:revision>10</cp:revision>
  <cp:lastPrinted>2024-02-29T15:08:00Z</cp:lastPrinted>
  <dcterms:created xsi:type="dcterms:W3CDTF">2024-02-28T10:23:00Z</dcterms:created>
  <dcterms:modified xsi:type="dcterms:W3CDTF">2024-02-29T15:14:00Z</dcterms:modified>
</cp:coreProperties>
</file>