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CellMar>
          <w:left w:w="0" w:type="dxa"/>
          <w:right w:w="0" w:type="dxa"/>
        </w:tblCellMar>
        <w:tblLook w:val="0000" w:firstRow="0" w:lastRow="0" w:firstColumn="0" w:lastColumn="0" w:noHBand="0" w:noVBand="0"/>
      </w:tblPr>
      <w:tblGrid>
        <w:gridCol w:w="1342"/>
        <w:gridCol w:w="3443"/>
        <w:gridCol w:w="5086"/>
      </w:tblGrid>
      <w:tr w:rsidR="00EF6A23" w:rsidRPr="004462FB" w14:paraId="3FDAE1F3" w14:textId="77777777" w:rsidTr="00A4437D">
        <w:trPr>
          <w:cantSplit/>
        </w:trPr>
        <w:tc>
          <w:tcPr>
            <w:tcW w:w="1421" w:type="dxa"/>
            <w:vAlign w:val="center"/>
          </w:tcPr>
          <w:p w14:paraId="3DE42CAA" w14:textId="77777777" w:rsidR="00EF6A23" w:rsidRPr="004462FB" w:rsidRDefault="00EF6A23" w:rsidP="00D14F31">
            <w:pPr>
              <w:tabs>
                <w:tab w:val="right" w:pos="8732"/>
              </w:tabs>
              <w:spacing w:before="0"/>
              <w:rPr>
                <w:b/>
                <w:bCs/>
                <w:iCs/>
                <w:color w:val="FFFFFF"/>
                <w:sz w:val="30"/>
                <w:szCs w:val="30"/>
              </w:rPr>
            </w:pPr>
            <w:r w:rsidRPr="004462FB">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4462FB" w:rsidRDefault="00EF6A23" w:rsidP="00EF6A23">
            <w:pPr>
              <w:spacing w:before="0"/>
              <w:rPr>
                <w:rFonts w:cs="Times New Roman Bold"/>
                <w:b/>
                <w:bCs/>
                <w:iCs/>
                <w:smallCaps/>
                <w:sz w:val="34"/>
                <w:szCs w:val="34"/>
              </w:rPr>
            </w:pPr>
            <w:r w:rsidRPr="004462FB">
              <w:rPr>
                <w:rFonts w:cs="Times New Roman Bold"/>
                <w:b/>
                <w:bCs/>
                <w:iCs/>
                <w:smallCaps/>
                <w:sz w:val="34"/>
                <w:szCs w:val="34"/>
              </w:rPr>
              <w:t>Union internationale des télécommunications</w:t>
            </w:r>
          </w:p>
          <w:p w14:paraId="089E66D0" w14:textId="77777777" w:rsidR="00EF6A23" w:rsidRPr="004462FB" w:rsidRDefault="00EF6A23" w:rsidP="00EF6A23">
            <w:pPr>
              <w:spacing w:before="0"/>
              <w:rPr>
                <w:color w:val="FFFFFF"/>
                <w:sz w:val="26"/>
                <w:szCs w:val="26"/>
              </w:rPr>
            </w:pPr>
            <w:r w:rsidRPr="004462FB">
              <w:rPr>
                <w:rFonts w:cs="Times New Roman Bold"/>
                <w:b/>
                <w:bCs/>
                <w:iCs/>
                <w:smallCaps/>
                <w:sz w:val="28"/>
                <w:szCs w:val="28"/>
              </w:rPr>
              <w:t>B</w:t>
            </w:r>
            <w:r w:rsidRPr="004462FB">
              <w:rPr>
                <w:b/>
                <w:bCs/>
                <w:iCs/>
                <w:smallCaps/>
                <w:sz w:val="28"/>
                <w:szCs w:val="28"/>
              </w:rPr>
              <w:t>ureau de la Normalisation des Télécommunications</w:t>
            </w:r>
          </w:p>
        </w:tc>
      </w:tr>
      <w:tr w:rsidR="00036F4F" w:rsidRPr="00A4437D" w14:paraId="18B25741" w14:textId="77777777" w:rsidTr="00A4437D">
        <w:trPr>
          <w:cantSplit/>
        </w:trPr>
        <w:tc>
          <w:tcPr>
            <w:tcW w:w="1421" w:type="dxa"/>
          </w:tcPr>
          <w:p w14:paraId="4B1AFD72" w14:textId="77777777" w:rsidR="00036F4F" w:rsidRPr="00A4437D" w:rsidRDefault="00036F4F" w:rsidP="00A5280F">
            <w:pPr>
              <w:tabs>
                <w:tab w:val="left" w:pos="4111"/>
              </w:tabs>
              <w:spacing w:before="10"/>
              <w:ind w:left="57"/>
              <w:rPr>
                <w:rFonts w:cstheme="minorHAnsi"/>
                <w:sz w:val="22"/>
                <w:szCs w:val="22"/>
              </w:rPr>
            </w:pPr>
          </w:p>
        </w:tc>
        <w:tc>
          <w:tcPr>
            <w:tcW w:w="3406" w:type="dxa"/>
          </w:tcPr>
          <w:p w14:paraId="6579D3E8" w14:textId="77777777" w:rsidR="00036F4F" w:rsidRPr="00A4437D" w:rsidRDefault="00036F4F" w:rsidP="00A5280F">
            <w:pPr>
              <w:tabs>
                <w:tab w:val="left" w:pos="4111"/>
              </w:tabs>
              <w:spacing w:before="10"/>
              <w:ind w:left="57"/>
              <w:rPr>
                <w:rFonts w:cstheme="minorHAnsi"/>
                <w:b/>
                <w:sz w:val="22"/>
                <w:szCs w:val="22"/>
              </w:rPr>
            </w:pPr>
          </w:p>
        </w:tc>
        <w:tc>
          <w:tcPr>
            <w:tcW w:w="5044" w:type="dxa"/>
          </w:tcPr>
          <w:p w14:paraId="0DC34ECA" w14:textId="6CC75BCA" w:rsidR="00036F4F" w:rsidRPr="00A4437D"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A4437D">
              <w:rPr>
                <w:rFonts w:cstheme="minorHAnsi"/>
                <w:sz w:val="22"/>
                <w:szCs w:val="22"/>
              </w:rPr>
              <w:t>Genève, le</w:t>
            </w:r>
            <w:r w:rsidR="004419E9" w:rsidRPr="00A4437D">
              <w:rPr>
                <w:rFonts w:cstheme="minorHAnsi"/>
                <w:sz w:val="22"/>
                <w:szCs w:val="22"/>
              </w:rPr>
              <w:t xml:space="preserve"> </w:t>
            </w:r>
            <w:r w:rsidR="009349C0" w:rsidRPr="00A4437D">
              <w:rPr>
                <w:rFonts w:cstheme="minorHAnsi"/>
                <w:sz w:val="22"/>
                <w:szCs w:val="22"/>
              </w:rPr>
              <w:t>15 février 2024</w:t>
            </w:r>
          </w:p>
        </w:tc>
      </w:tr>
      <w:tr w:rsidR="00445B68" w:rsidRPr="00A4437D" w14:paraId="16CDDFEF" w14:textId="77777777" w:rsidTr="00A4437D">
        <w:trPr>
          <w:cantSplit/>
          <w:trHeight w:val="340"/>
        </w:trPr>
        <w:tc>
          <w:tcPr>
            <w:tcW w:w="1421" w:type="dxa"/>
          </w:tcPr>
          <w:p w14:paraId="3EFF375D" w14:textId="58556577" w:rsidR="00445B68" w:rsidRPr="00A4437D" w:rsidRDefault="00445B68" w:rsidP="00A4437D">
            <w:pPr>
              <w:tabs>
                <w:tab w:val="left" w:pos="4111"/>
              </w:tabs>
              <w:spacing w:before="10"/>
              <w:ind w:left="140"/>
              <w:rPr>
                <w:rFonts w:cstheme="minorHAnsi"/>
                <w:b/>
                <w:bCs/>
                <w:sz w:val="22"/>
                <w:szCs w:val="22"/>
              </w:rPr>
            </w:pPr>
            <w:proofErr w:type="gramStart"/>
            <w:r w:rsidRPr="00A4437D">
              <w:rPr>
                <w:rFonts w:cstheme="minorHAnsi"/>
                <w:b/>
                <w:bCs/>
                <w:sz w:val="22"/>
                <w:szCs w:val="22"/>
              </w:rPr>
              <w:t>Réf.:</w:t>
            </w:r>
            <w:proofErr w:type="gramEnd"/>
          </w:p>
        </w:tc>
        <w:tc>
          <w:tcPr>
            <w:tcW w:w="3406" w:type="dxa"/>
          </w:tcPr>
          <w:p w14:paraId="577F6DA2" w14:textId="5E03023E" w:rsidR="00445B68" w:rsidRPr="00A4437D" w:rsidRDefault="00445B68" w:rsidP="00307FB4">
            <w:pPr>
              <w:tabs>
                <w:tab w:val="left" w:pos="4111"/>
              </w:tabs>
              <w:spacing w:before="10"/>
              <w:ind w:left="57"/>
              <w:rPr>
                <w:rFonts w:cstheme="minorHAnsi"/>
                <w:b/>
                <w:sz w:val="22"/>
                <w:szCs w:val="22"/>
              </w:rPr>
            </w:pPr>
            <w:r w:rsidRPr="00A4437D">
              <w:rPr>
                <w:rFonts w:cstheme="minorHAnsi"/>
                <w:b/>
                <w:sz w:val="22"/>
                <w:szCs w:val="22"/>
              </w:rPr>
              <w:t>Circulaire TSB</w:t>
            </w:r>
            <w:r w:rsidR="009349C0" w:rsidRPr="00A4437D">
              <w:rPr>
                <w:rFonts w:cstheme="minorHAnsi"/>
                <w:b/>
                <w:sz w:val="22"/>
                <w:szCs w:val="22"/>
              </w:rPr>
              <w:t xml:space="preserve"> 180</w:t>
            </w:r>
          </w:p>
        </w:tc>
        <w:tc>
          <w:tcPr>
            <w:tcW w:w="5044" w:type="dxa"/>
            <w:vMerge w:val="restart"/>
          </w:tcPr>
          <w:p w14:paraId="56FFB697" w14:textId="77777777" w:rsidR="00307FB4" w:rsidRPr="00A4437D"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A4437D">
              <w:rPr>
                <w:rFonts w:cstheme="minorHAnsi"/>
                <w:b/>
                <w:bCs/>
                <w:sz w:val="22"/>
                <w:szCs w:val="22"/>
              </w:rPr>
              <w:t>Aux:</w:t>
            </w:r>
            <w:proofErr w:type="gramEnd"/>
          </w:p>
          <w:p w14:paraId="35271D8E" w14:textId="536C0CE8" w:rsidR="00307FB4" w:rsidRPr="00A4437D" w:rsidRDefault="00307FB4" w:rsidP="00307FB4">
            <w:pPr>
              <w:tabs>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 xml:space="preserve">Administrations des États Membres de </w:t>
            </w:r>
            <w:proofErr w:type="gramStart"/>
            <w:r w:rsidRPr="00A4437D">
              <w:rPr>
                <w:rFonts w:cstheme="minorHAnsi"/>
                <w:sz w:val="22"/>
                <w:szCs w:val="22"/>
              </w:rPr>
              <w:t>l'Union;</w:t>
            </w:r>
            <w:proofErr w:type="gramEnd"/>
          </w:p>
          <w:p w14:paraId="38A5A6AE" w14:textId="47344D7B" w:rsidR="00307FB4" w:rsidRPr="00A4437D" w:rsidRDefault="00307FB4" w:rsidP="00307FB4">
            <w:pPr>
              <w:tabs>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Membres du Secteur de l'UIT-</w:t>
            </w:r>
            <w:proofErr w:type="gramStart"/>
            <w:r w:rsidRPr="00A4437D">
              <w:rPr>
                <w:rFonts w:cstheme="minorHAnsi"/>
                <w:sz w:val="22"/>
                <w:szCs w:val="22"/>
              </w:rPr>
              <w:t>T;</w:t>
            </w:r>
            <w:proofErr w:type="gramEnd"/>
          </w:p>
          <w:p w14:paraId="45F82FBC" w14:textId="7313CB0A" w:rsidR="00307FB4" w:rsidRPr="00A4437D" w:rsidRDefault="00307FB4" w:rsidP="00307FB4">
            <w:pPr>
              <w:tabs>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Associés de l'UIT-</w:t>
            </w:r>
            <w:proofErr w:type="gramStart"/>
            <w:r w:rsidRPr="00A4437D">
              <w:rPr>
                <w:rFonts w:cstheme="minorHAnsi"/>
                <w:sz w:val="22"/>
                <w:szCs w:val="22"/>
              </w:rPr>
              <w:t>T;</w:t>
            </w:r>
            <w:proofErr w:type="gramEnd"/>
          </w:p>
          <w:p w14:paraId="461460AE" w14:textId="5666B808" w:rsidR="00445B68" w:rsidRPr="00A4437D" w:rsidRDefault="00307FB4" w:rsidP="00307FB4">
            <w:pPr>
              <w:tabs>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Établissements universitaires participant aux travaux de l'UIT</w:t>
            </w:r>
          </w:p>
        </w:tc>
      </w:tr>
      <w:tr w:rsidR="00307FB4" w:rsidRPr="00A4437D" w14:paraId="06A3F0E7" w14:textId="77777777" w:rsidTr="00A4437D">
        <w:trPr>
          <w:cantSplit/>
          <w:trHeight w:val="340"/>
        </w:trPr>
        <w:tc>
          <w:tcPr>
            <w:tcW w:w="1421" w:type="dxa"/>
          </w:tcPr>
          <w:p w14:paraId="5CF43A7B" w14:textId="3933CF6D" w:rsidR="00307FB4" w:rsidRPr="00A4437D" w:rsidRDefault="00307FB4" w:rsidP="00A4437D">
            <w:pPr>
              <w:tabs>
                <w:tab w:val="left" w:pos="4111"/>
              </w:tabs>
              <w:spacing w:before="10"/>
              <w:ind w:left="140"/>
              <w:rPr>
                <w:rFonts w:cstheme="minorHAnsi"/>
                <w:b/>
                <w:bCs/>
                <w:sz w:val="22"/>
                <w:szCs w:val="22"/>
              </w:rPr>
            </w:pPr>
            <w:proofErr w:type="gramStart"/>
            <w:r w:rsidRPr="00A4437D">
              <w:rPr>
                <w:rFonts w:cstheme="minorHAnsi"/>
                <w:b/>
                <w:bCs/>
                <w:sz w:val="22"/>
                <w:szCs w:val="22"/>
              </w:rPr>
              <w:t>Contact:</w:t>
            </w:r>
            <w:proofErr w:type="gramEnd"/>
          </w:p>
        </w:tc>
        <w:tc>
          <w:tcPr>
            <w:tcW w:w="3406" w:type="dxa"/>
          </w:tcPr>
          <w:p w14:paraId="2074781F" w14:textId="6E1AE7E5" w:rsidR="00307FB4" w:rsidRPr="00A4437D" w:rsidRDefault="009349C0" w:rsidP="00A5280F">
            <w:pPr>
              <w:tabs>
                <w:tab w:val="left" w:pos="4111"/>
              </w:tabs>
              <w:spacing w:before="10"/>
              <w:ind w:left="57"/>
              <w:rPr>
                <w:rFonts w:cstheme="minorHAnsi"/>
                <w:b/>
                <w:sz w:val="22"/>
                <w:szCs w:val="22"/>
              </w:rPr>
            </w:pPr>
            <w:r w:rsidRPr="00A4437D">
              <w:rPr>
                <w:rFonts w:cstheme="minorHAnsi"/>
                <w:b/>
                <w:sz w:val="22"/>
                <w:szCs w:val="22"/>
              </w:rPr>
              <w:t>Vijay Mauree</w:t>
            </w:r>
          </w:p>
        </w:tc>
        <w:tc>
          <w:tcPr>
            <w:tcW w:w="5044" w:type="dxa"/>
            <w:vMerge/>
          </w:tcPr>
          <w:p w14:paraId="2F310545" w14:textId="77777777" w:rsidR="00307FB4" w:rsidRPr="00A4437D"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A4437D" w14:paraId="724FD23E" w14:textId="77777777" w:rsidTr="00A4437D">
        <w:trPr>
          <w:cantSplit/>
        </w:trPr>
        <w:tc>
          <w:tcPr>
            <w:tcW w:w="1421" w:type="dxa"/>
          </w:tcPr>
          <w:p w14:paraId="73149CCD" w14:textId="77777777" w:rsidR="00445B68" w:rsidRPr="00A4437D" w:rsidRDefault="00445B68" w:rsidP="00A4437D">
            <w:pPr>
              <w:tabs>
                <w:tab w:val="left" w:pos="4111"/>
              </w:tabs>
              <w:spacing w:before="10"/>
              <w:ind w:left="140"/>
              <w:rPr>
                <w:rFonts w:cstheme="minorHAnsi"/>
                <w:b/>
                <w:bCs/>
                <w:sz w:val="22"/>
                <w:szCs w:val="22"/>
              </w:rPr>
            </w:pPr>
            <w:proofErr w:type="gramStart"/>
            <w:r w:rsidRPr="00A4437D">
              <w:rPr>
                <w:rFonts w:cstheme="minorHAnsi"/>
                <w:b/>
                <w:bCs/>
                <w:sz w:val="22"/>
                <w:szCs w:val="22"/>
              </w:rPr>
              <w:t>Tél.:</w:t>
            </w:r>
            <w:proofErr w:type="gramEnd"/>
          </w:p>
        </w:tc>
        <w:tc>
          <w:tcPr>
            <w:tcW w:w="3406" w:type="dxa"/>
          </w:tcPr>
          <w:p w14:paraId="78D06186" w14:textId="7E878092" w:rsidR="00445B68" w:rsidRPr="00A4437D" w:rsidRDefault="00445B68" w:rsidP="00A5280F">
            <w:pPr>
              <w:tabs>
                <w:tab w:val="left" w:pos="4111"/>
              </w:tabs>
              <w:spacing w:before="0"/>
              <w:ind w:left="57"/>
              <w:rPr>
                <w:rFonts w:cstheme="minorHAnsi"/>
                <w:sz w:val="22"/>
                <w:szCs w:val="22"/>
              </w:rPr>
            </w:pPr>
            <w:r w:rsidRPr="00A4437D">
              <w:rPr>
                <w:rFonts w:cstheme="minorHAnsi"/>
                <w:sz w:val="22"/>
                <w:szCs w:val="22"/>
              </w:rPr>
              <w:t>+41 22 730</w:t>
            </w:r>
            <w:r w:rsidR="00307FB4" w:rsidRPr="00A4437D">
              <w:rPr>
                <w:rFonts w:cstheme="minorHAnsi"/>
                <w:sz w:val="22"/>
                <w:szCs w:val="22"/>
              </w:rPr>
              <w:t xml:space="preserve"> </w:t>
            </w:r>
            <w:r w:rsidR="009349C0" w:rsidRPr="00A4437D">
              <w:rPr>
                <w:rFonts w:cstheme="minorHAnsi"/>
                <w:sz w:val="22"/>
                <w:szCs w:val="22"/>
              </w:rPr>
              <w:t>5591</w:t>
            </w:r>
          </w:p>
        </w:tc>
        <w:tc>
          <w:tcPr>
            <w:tcW w:w="5044" w:type="dxa"/>
            <w:vMerge/>
          </w:tcPr>
          <w:p w14:paraId="6D3A5806" w14:textId="77777777" w:rsidR="00445B68" w:rsidRPr="00A4437D" w:rsidRDefault="00445B68" w:rsidP="00A5280F">
            <w:pPr>
              <w:tabs>
                <w:tab w:val="left" w:pos="226"/>
                <w:tab w:val="left" w:pos="4111"/>
              </w:tabs>
              <w:spacing w:before="0"/>
              <w:ind w:left="226" w:hanging="226"/>
              <w:rPr>
                <w:rFonts w:cstheme="minorHAnsi"/>
                <w:b/>
                <w:sz w:val="22"/>
                <w:szCs w:val="22"/>
              </w:rPr>
            </w:pPr>
          </w:p>
        </w:tc>
      </w:tr>
      <w:tr w:rsidR="00307FB4" w:rsidRPr="00A4437D" w14:paraId="030F9AE5" w14:textId="77777777" w:rsidTr="00A4437D">
        <w:trPr>
          <w:cantSplit/>
          <w:trHeight w:val="586"/>
        </w:trPr>
        <w:tc>
          <w:tcPr>
            <w:tcW w:w="1421" w:type="dxa"/>
          </w:tcPr>
          <w:p w14:paraId="7B417C4C" w14:textId="77777777" w:rsidR="00307FB4" w:rsidRPr="00A4437D" w:rsidRDefault="00307FB4" w:rsidP="00A4437D">
            <w:pPr>
              <w:tabs>
                <w:tab w:val="left" w:pos="4111"/>
              </w:tabs>
              <w:spacing w:before="10"/>
              <w:ind w:left="140"/>
              <w:rPr>
                <w:rFonts w:cstheme="minorHAnsi"/>
                <w:b/>
                <w:bCs/>
                <w:sz w:val="22"/>
                <w:szCs w:val="22"/>
              </w:rPr>
            </w:pPr>
            <w:proofErr w:type="gramStart"/>
            <w:r w:rsidRPr="00A4437D">
              <w:rPr>
                <w:rFonts w:cstheme="minorHAnsi"/>
                <w:b/>
                <w:bCs/>
                <w:sz w:val="22"/>
                <w:szCs w:val="22"/>
              </w:rPr>
              <w:t>Télécopie:</w:t>
            </w:r>
            <w:proofErr w:type="gramEnd"/>
          </w:p>
        </w:tc>
        <w:tc>
          <w:tcPr>
            <w:tcW w:w="3406" w:type="dxa"/>
          </w:tcPr>
          <w:p w14:paraId="1A4A5F7B" w14:textId="77777777" w:rsidR="00307FB4" w:rsidRPr="00A4437D" w:rsidRDefault="00307FB4" w:rsidP="00A5280F">
            <w:pPr>
              <w:tabs>
                <w:tab w:val="left" w:pos="4111"/>
              </w:tabs>
              <w:spacing w:before="0"/>
              <w:ind w:left="57"/>
              <w:rPr>
                <w:rFonts w:cstheme="minorHAnsi"/>
                <w:sz w:val="22"/>
                <w:szCs w:val="22"/>
              </w:rPr>
            </w:pPr>
            <w:r w:rsidRPr="00A4437D">
              <w:rPr>
                <w:rFonts w:cstheme="minorHAnsi"/>
                <w:sz w:val="22"/>
                <w:szCs w:val="22"/>
              </w:rPr>
              <w:t>+41 22 730 5853</w:t>
            </w:r>
          </w:p>
        </w:tc>
        <w:tc>
          <w:tcPr>
            <w:tcW w:w="5044" w:type="dxa"/>
            <w:vMerge/>
          </w:tcPr>
          <w:p w14:paraId="323DAC81" w14:textId="77777777" w:rsidR="00307FB4" w:rsidRPr="00A4437D" w:rsidRDefault="00307FB4" w:rsidP="00A5280F">
            <w:pPr>
              <w:tabs>
                <w:tab w:val="left" w:pos="226"/>
                <w:tab w:val="left" w:pos="4111"/>
              </w:tabs>
              <w:spacing w:before="0"/>
              <w:ind w:left="226" w:hanging="226"/>
              <w:rPr>
                <w:rFonts w:cstheme="minorHAnsi"/>
                <w:b/>
                <w:sz w:val="22"/>
                <w:szCs w:val="22"/>
              </w:rPr>
            </w:pPr>
          </w:p>
        </w:tc>
      </w:tr>
      <w:tr w:rsidR="00307FB4" w:rsidRPr="00A4437D" w14:paraId="640FB6B9" w14:textId="77777777" w:rsidTr="00A4437D">
        <w:trPr>
          <w:cantSplit/>
        </w:trPr>
        <w:tc>
          <w:tcPr>
            <w:tcW w:w="1421" w:type="dxa"/>
          </w:tcPr>
          <w:p w14:paraId="15527369" w14:textId="0865F49A" w:rsidR="00307FB4" w:rsidRPr="00A4437D" w:rsidRDefault="00307FB4" w:rsidP="00A4437D">
            <w:pPr>
              <w:tabs>
                <w:tab w:val="left" w:pos="4111"/>
              </w:tabs>
              <w:spacing w:before="10"/>
              <w:ind w:left="140"/>
              <w:rPr>
                <w:rFonts w:cstheme="minorHAnsi"/>
                <w:b/>
                <w:bCs/>
                <w:sz w:val="22"/>
                <w:szCs w:val="22"/>
              </w:rPr>
            </w:pPr>
            <w:proofErr w:type="gramStart"/>
            <w:r w:rsidRPr="00A4437D">
              <w:rPr>
                <w:rFonts w:cstheme="minorHAnsi"/>
                <w:b/>
                <w:bCs/>
                <w:sz w:val="22"/>
                <w:szCs w:val="22"/>
              </w:rPr>
              <w:t>Courriel:</w:t>
            </w:r>
            <w:proofErr w:type="gramEnd"/>
          </w:p>
        </w:tc>
        <w:tc>
          <w:tcPr>
            <w:tcW w:w="3406" w:type="dxa"/>
          </w:tcPr>
          <w:p w14:paraId="172249CE" w14:textId="33D844DA" w:rsidR="00307FB4" w:rsidRPr="00A4437D" w:rsidRDefault="00462010" w:rsidP="00A5280F">
            <w:pPr>
              <w:tabs>
                <w:tab w:val="left" w:pos="4111"/>
              </w:tabs>
              <w:spacing w:before="0"/>
              <w:ind w:left="57"/>
              <w:rPr>
                <w:rFonts w:cstheme="minorHAnsi"/>
                <w:sz w:val="22"/>
                <w:szCs w:val="22"/>
              </w:rPr>
            </w:pPr>
            <w:hyperlink r:id="rId9" w:history="1">
              <w:r w:rsidR="009349C0" w:rsidRPr="00A4437D">
                <w:rPr>
                  <w:rStyle w:val="Hyperlink"/>
                  <w:rFonts w:cstheme="minorHAnsi"/>
                  <w:sz w:val="22"/>
                  <w:szCs w:val="22"/>
                </w:rPr>
                <w:t>tsbevents@itu.int</w:t>
              </w:r>
            </w:hyperlink>
          </w:p>
        </w:tc>
        <w:tc>
          <w:tcPr>
            <w:tcW w:w="5044" w:type="dxa"/>
          </w:tcPr>
          <w:p w14:paraId="55E5D357" w14:textId="77777777" w:rsidR="00307FB4" w:rsidRPr="00A4437D" w:rsidRDefault="00307FB4" w:rsidP="00307FB4">
            <w:pPr>
              <w:tabs>
                <w:tab w:val="clear" w:pos="794"/>
                <w:tab w:val="left" w:pos="226"/>
                <w:tab w:val="left" w:pos="4111"/>
              </w:tabs>
              <w:spacing w:before="0"/>
              <w:ind w:left="226" w:hanging="226"/>
              <w:rPr>
                <w:rFonts w:cstheme="minorHAnsi"/>
                <w:b/>
                <w:bCs/>
                <w:sz w:val="22"/>
                <w:szCs w:val="22"/>
              </w:rPr>
            </w:pPr>
            <w:proofErr w:type="gramStart"/>
            <w:r w:rsidRPr="00A4437D">
              <w:rPr>
                <w:rFonts w:cstheme="minorHAnsi"/>
                <w:b/>
                <w:bCs/>
                <w:sz w:val="22"/>
                <w:szCs w:val="22"/>
              </w:rPr>
              <w:t>Copie:</w:t>
            </w:r>
            <w:proofErr w:type="gramEnd"/>
          </w:p>
          <w:p w14:paraId="6CE98CB1" w14:textId="322ED7AD" w:rsidR="00307FB4" w:rsidRPr="00A4437D" w:rsidRDefault="00307FB4" w:rsidP="00307FB4">
            <w:pPr>
              <w:tabs>
                <w:tab w:val="clear" w:pos="794"/>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 xml:space="preserve">Aux </w:t>
            </w:r>
            <w:r w:rsidR="009349C0" w:rsidRPr="00A4437D">
              <w:rPr>
                <w:rFonts w:cstheme="minorHAnsi"/>
                <w:sz w:val="22"/>
                <w:szCs w:val="22"/>
              </w:rPr>
              <w:t>p</w:t>
            </w:r>
            <w:r w:rsidRPr="00A4437D">
              <w:rPr>
                <w:rFonts w:cstheme="minorHAnsi"/>
                <w:sz w:val="22"/>
                <w:szCs w:val="22"/>
              </w:rPr>
              <w:t xml:space="preserve">résidents et </w:t>
            </w:r>
            <w:r w:rsidR="009349C0" w:rsidRPr="00A4437D">
              <w:rPr>
                <w:rFonts w:cstheme="minorHAnsi"/>
                <w:sz w:val="22"/>
                <w:szCs w:val="22"/>
              </w:rPr>
              <w:t>v</w:t>
            </w:r>
            <w:r w:rsidRPr="00A4437D">
              <w:rPr>
                <w:rFonts w:cstheme="minorHAnsi"/>
                <w:sz w:val="22"/>
                <w:szCs w:val="22"/>
              </w:rPr>
              <w:t>ice-</w:t>
            </w:r>
            <w:r w:rsidR="009349C0" w:rsidRPr="00A4437D">
              <w:rPr>
                <w:rFonts w:cstheme="minorHAnsi"/>
                <w:sz w:val="22"/>
                <w:szCs w:val="22"/>
              </w:rPr>
              <w:t>p</w:t>
            </w:r>
            <w:r w:rsidRPr="00A4437D">
              <w:rPr>
                <w:rFonts w:cstheme="minorHAnsi"/>
                <w:sz w:val="22"/>
                <w:szCs w:val="22"/>
              </w:rPr>
              <w:t xml:space="preserve">résidents des </w:t>
            </w:r>
            <w:r w:rsidR="009349C0" w:rsidRPr="00A4437D">
              <w:rPr>
                <w:rFonts w:cstheme="minorHAnsi"/>
                <w:sz w:val="22"/>
                <w:szCs w:val="22"/>
              </w:rPr>
              <w:t>c</w:t>
            </w:r>
            <w:r w:rsidRPr="00A4437D">
              <w:rPr>
                <w:rFonts w:cstheme="minorHAnsi"/>
                <w:sz w:val="22"/>
                <w:szCs w:val="22"/>
              </w:rPr>
              <w:t xml:space="preserve">ommissions </w:t>
            </w:r>
            <w:proofErr w:type="gramStart"/>
            <w:r w:rsidRPr="00A4437D">
              <w:rPr>
                <w:rFonts w:cstheme="minorHAnsi"/>
                <w:sz w:val="22"/>
                <w:szCs w:val="22"/>
              </w:rPr>
              <w:t>d'études;</w:t>
            </w:r>
            <w:proofErr w:type="gramEnd"/>
          </w:p>
          <w:p w14:paraId="56C75C35" w14:textId="1A09D40C" w:rsidR="00307FB4" w:rsidRPr="00A4437D" w:rsidRDefault="00307FB4" w:rsidP="00307FB4">
            <w:pPr>
              <w:tabs>
                <w:tab w:val="clear" w:pos="794"/>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 xml:space="preserve">Au Directeur du Bureau de développement des </w:t>
            </w:r>
            <w:proofErr w:type="gramStart"/>
            <w:r w:rsidRPr="00A4437D">
              <w:rPr>
                <w:rFonts w:cstheme="minorHAnsi"/>
                <w:sz w:val="22"/>
                <w:szCs w:val="22"/>
              </w:rPr>
              <w:t>télécommunications;</w:t>
            </w:r>
            <w:proofErr w:type="gramEnd"/>
          </w:p>
          <w:p w14:paraId="670B371C" w14:textId="77777777" w:rsidR="00307FB4" w:rsidRPr="00A4437D" w:rsidRDefault="00307FB4" w:rsidP="00307FB4">
            <w:pPr>
              <w:tabs>
                <w:tab w:val="clear" w:pos="794"/>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 xml:space="preserve">Au Directeur du Bureau des </w:t>
            </w:r>
            <w:proofErr w:type="gramStart"/>
            <w:r w:rsidRPr="00A4437D">
              <w:rPr>
                <w:rFonts w:cstheme="minorHAnsi"/>
                <w:sz w:val="22"/>
                <w:szCs w:val="22"/>
              </w:rPr>
              <w:t>radiocommunications</w:t>
            </w:r>
            <w:r w:rsidR="009349C0" w:rsidRPr="00A4437D">
              <w:rPr>
                <w:rFonts w:cstheme="minorHAnsi"/>
                <w:sz w:val="22"/>
                <w:szCs w:val="22"/>
              </w:rPr>
              <w:t>;</w:t>
            </w:r>
            <w:proofErr w:type="gramEnd"/>
          </w:p>
          <w:p w14:paraId="19762254" w14:textId="67E01B4B" w:rsidR="009349C0" w:rsidRPr="00A4437D" w:rsidRDefault="009349C0" w:rsidP="00307FB4">
            <w:pPr>
              <w:tabs>
                <w:tab w:val="clear" w:pos="794"/>
                <w:tab w:val="left" w:pos="4111"/>
              </w:tabs>
              <w:spacing w:before="0"/>
              <w:ind w:left="426" w:hanging="426"/>
              <w:rPr>
                <w:rFonts w:cstheme="minorHAnsi"/>
                <w:sz w:val="22"/>
                <w:szCs w:val="22"/>
              </w:rPr>
            </w:pPr>
            <w:r w:rsidRPr="00A4437D">
              <w:rPr>
                <w:rFonts w:cstheme="minorHAnsi"/>
                <w:sz w:val="22"/>
                <w:szCs w:val="22"/>
              </w:rPr>
              <w:t>–</w:t>
            </w:r>
            <w:r w:rsidRPr="00A4437D">
              <w:rPr>
                <w:rFonts w:cstheme="minorHAnsi"/>
                <w:sz w:val="22"/>
                <w:szCs w:val="22"/>
              </w:rPr>
              <w:tab/>
              <w:t>Au Directeur du Bureau régional de l'UIT pour l'Asie-Pacifique</w:t>
            </w:r>
          </w:p>
        </w:tc>
      </w:tr>
      <w:tr w:rsidR="00517A03" w:rsidRPr="00A4437D" w14:paraId="5435C04A" w14:textId="77777777" w:rsidTr="00A4437D">
        <w:trPr>
          <w:cantSplit/>
          <w:trHeight w:val="397"/>
        </w:trPr>
        <w:tc>
          <w:tcPr>
            <w:tcW w:w="1421" w:type="dxa"/>
          </w:tcPr>
          <w:p w14:paraId="2A0B9B4F" w14:textId="77777777" w:rsidR="00517A03" w:rsidRPr="00A4437D" w:rsidRDefault="00517A03" w:rsidP="00A4437D">
            <w:pPr>
              <w:tabs>
                <w:tab w:val="left" w:pos="4111"/>
              </w:tabs>
              <w:ind w:left="140"/>
              <w:rPr>
                <w:rFonts w:cstheme="minorHAnsi"/>
                <w:b/>
                <w:bCs/>
                <w:sz w:val="22"/>
                <w:szCs w:val="22"/>
              </w:rPr>
            </w:pPr>
            <w:proofErr w:type="gramStart"/>
            <w:r w:rsidRPr="00A4437D">
              <w:rPr>
                <w:rFonts w:cstheme="minorHAnsi"/>
                <w:b/>
                <w:bCs/>
                <w:sz w:val="22"/>
                <w:szCs w:val="22"/>
              </w:rPr>
              <w:t>Objet:</w:t>
            </w:r>
            <w:proofErr w:type="gramEnd"/>
          </w:p>
        </w:tc>
        <w:tc>
          <w:tcPr>
            <w:tcW w:w="0" w:type="auto"/>
            <w:gridSpan w:val="2"/>
          </w:tcPr>
          <w:p w14:paraId="1A51EE75" w14:textId="3A7862F1" w:rsidR="00517A03" w:rsidRPr="00A4437D" w:rsidRDefault="009349C0" w:rsidP="0048088B">
            <w:pPr>
              <w:tabs>
                <w:tab w:val="left" w:pos="4111"/>
              </w:tabs>
              <w:spacing w:after="120"/>
              <w:ind w:left="57"/>
              <w:rPr>
                <w:rFonts w:cstheme="minorHAnsi"/>
                <w:b/>
                <w:bCs/>
                <w:sz w:val="22"/>
                <w:szCs w:val="22"/>
              </w:rPr>
            </w:pPr>
            <w:r w:rsidRPr="00A4437D">
              <w:rPr>
                <w:rFonts w:cstheme="minorHAnsi"/>
                <w:b/>
                <w:bCs/>
                <w:sz w:val="22"/>
                <w:szCs w:val="22"/>
              </w:rPr>
              <w:t>Stage pratique régional sur la sécurité des services financiers numériques pour la région Asie-Pacifique (24 et 25 avril 2024, Séoul (République de Corée))</w:t>
            </w:r>
          </w:p>
        </w:tc>
      </w:tr>
    </w:tbl>
    <w:p w14:paraId="2D1EC328" w14:textId="77777777" w:rsidR="00517A03" w:rsidRPr="00A4437D" w:rsidRDefault="00517A03" w:rsidP="00A4437D">
      <w:pPr>
        <w:pStyle w:val="Normalaftertitle"/>
        <w:spacing w:before="120"/>
        <w:rPr>
          <w:rFonts w:cstheme="minorHAnsi"/>
          <w:sz w:val="22"/>
          <w:szCs w:val="22"/>
        </w:rPr>
      </w:pPr>
      <w:bookmarkStart w:id="1" w:name="StartTyping_F"/>
      <w:bookmarkEnd w:id="1"/>
      <w:r w:rsidRPr="00A4437D">
        <w:rPr>
          <w:rFonts w:cstheme="minorHAnsi"/>
          <w:sz w:val="22"/>
          <w:szCs w:val="22"/>
        </w:rPr>
        <w:t>Madame, Monsieur,</w:t>
      </w:r>
    </w:p>
    <w:p w14:paraId="59C3FC7B" w14:textId="79FACD0B" w:rsidR="009349C0" w:rsidRPr="00A4437D" w:rsidRDefault="009349C0" w:rsidP="009349C0">
      <w:pPr>
        <w:rPr>
          <w:rFonts w:cstheme="minorHAnsi"/>
          <w:bCs/>
          <w:sz w:val="22"/>
          <w:szCs w:val="22"/>
        </w:rPr>
      </w:pPr>
      <w:r w:rsidRPr="00A4437D">
        <w:rPr>
          <w:rFonts w:cstheme="minorHAnsi"/>
          <w:bCs/>
          <w:sz w:val="22"/>
          <w:szCs w:val="22"/>
        </w:rPr>
        <w:t>1</w:t>
      </w:r>
      <w:r w:rsidRPr="00A4437D">
        <w:rPr>
          <w:rFonts w:cstheme="minorHAnsi"/>
          <w:bCs/>
          <w:sz w:val="22"/>
          <w:szCs w:val="22"/>
        </w:rPr>
        <w:tab/>
        <w:t xml:space="preserve">J'ai le plaisir de vous informer que l'Union internationale des télécommunications (UIT) organise un </w:t>
      </w:r>
      <w:r w:rsidRPr="00A4437D">
        <w:rPr>
          <w:rFonts w:cstheme="minorHAnsi"/>
          <w:b/>
          <w:sz w:val="22"/>
          <w:szCs w:val="22"/>
        </w:rPr>
        <w:t>stage pratique régional sur la sécurité des services financiers numériques pour la région Asie-Pacifique</w:t>
      </w:r>
      <w:r w:rsidRPr="00A4437D">
        <w:rPr>
          <w:rFonts w:cstheme="minorHAnsi"/>
          <w:bCs/>
          <w:sz w:val="22"/>
          <w:szCs w:val="22"/>
        </w:rPr>
        <w:t xml:space="preserve">, les </w:t>
      </w:r>
      <w:r w:rsidRPr="00A4437D">
        <w:rPr>
          <w:rFonts w:cstheme="minorHAnsi"/>
          <w:b/>
          <w:sz w:val="22"/>
          <w:szCs w:val="22"/>
        </w:rPr>
        <w:t>24 et 25 avril 2024</w:t>
      </w:r>
      <w:r w:rsidRPr="00A4437D">
        <w:rPr>
          <w:rFonts w:cstheme="minorHAnsi"/>
          <w:bCs/>
          <w:sz w:val="22"/>
          <w:szCs w:val="22"/>
        </w:rPr>
        <w:t>, à l'hôtel Koreana de Séoul (République de Corée). Cette manifestation est organisée conjointement avec FNSV Korea et le Fintech Centre of Korea, et il sera possible d'y participer à distance.</w:t>
      </w:r>
    </w:p>
    <w:p w14:paraId="4EB9F052" w14:textId="0E142746" w:rsidR="009349C0" w:rsidRPr="00A4437D" w:rsidRDefault="009349C0" w:rsidP="009349C0">
      <w:pPr>
        <w:rPr>
          <w:rFonts w:cstheme="minorHAnsi"/>
          <w:bCs/>
          <w:sz w:val="22"/>
          <w:szCs w:val="22"/>
        </w:rPr>
      </w:pPr>
      <w:r w:rsidRPr="00A4437D">
        <w:rPr>
          <w:rFonts w:cstheme="minorHAnsi"/>
          <w:bCs/>
          <w:sz w:val="22"/>
          <w:szCs w:val="22"/>
        </w:rPr>
        <w:t>2</w:t>
      </w:r>
      <w:r w:rsidRPr="00A4437D">
        <w:rPr>
          <w:rFonts w:cstheme="minorHAnsi"/>
          <w:bCs/>
          <w:sz w:val="22"/>
          <w:szCs w:val="22"/>
        </w:rPr>
        <w:tab/>
        <w:t xml:space="preserve">En Afrique, en Asie, en Amérique latine et ailleurs, les populations délaissent les services bancaires traditionnels pour se tourner vers les paiements mobiles et d'autres services financiers numériques. Ces dernières années, les régulateurs et les superviseurs du secteur financier ont pris de plus en plus conscience du fait que les services financiers fournis pour favoriser l'inclusion financière à travers le monde sont vulnérables face aux cybermenaces, principalement en raison du rôle croissant que jouent les services numériques (y compris les technologies mobiles et autres technologies) dans la fourniture de services financiers. À mesure que les services financiers deviennent de plus en plus numériques, le volume de données numériques sensibles augmente de façon exponentielle et, avec lui, les risques de violations des données ayant des incidences sur les personnes et les systèmes. Dans ce contexte, la nécessité de protéger ces données contre les menaces en matière de cybersécurité prend une importance croissante. Cette manifestation s'inscrit dans le droit fil de la Résolution 204 de la Conférence de plénipotentiaires de l'UIT et de la </w:t>
      </w:r>
      <w:hyperlink r:id="rId10" w:history="1">
        <w:r w:rsidRPr="00A4437D">
          <w:rPr>
            <w:rStyle w:val="Hyperlink"/>
            <w:rFonts w:cstheme="minorHAnsi"/>
            <w:bCs/>
            <w:sz w:val="22"/>
            <w:szCs w:val="22"/>
          </w:rPr>
          <w:t>Résolution</w:t>
        </w:r>
        <w:r w:rsidR="00297021" w:rsidRPr="00A4437D">
          <w:rPr>
            <w:rStyle w:val="Hyperlink"/>
            <w:rFonts w:cstheme="minorHAnsi"/>
            <w:bCs/>
            <w:sz w:val="22"/>
            <w:szCs w:val="22"/>
          </w:rPr>
          <w:t> </w:t>
        </w:r>
        <w:r w:rsidRPr="00A4437D">
          <w:rPr>
            <w:rStyle w:val="Hyperlink"/>
            <w:rFonts w:cstheme="minorHAnsi"/>
            <w:bCs/>
            <w:sz w:val="22"/>
            <w:szCs w:val="22"/>
          </w:rPr>
          <w:t>89 de l'AMN</w:t>
        </w:r>
        <w:r w:rsidRPr="00A4437D">
          <w:rPr>
            <w:rStyle w:val="Hyperlink"/>
            <w:rFonts w:cstheme="minorHAnsi"/>
            <w:bCs/>
            <w:sz w:val="22"/>
            <w:szCs w:val="22"/>
          </w:rPr>
          <w:t>T</w:t>
        </w:r>
      </w:hyperlink>
      <w:r w:rsidRPr="00A4437D">
        <w:rPr>
          <w:rFonts w:cstheme="minorHAnsi"/>
          <w:bCs/>
          <w:sz w:val="22"/>
          <w:szCs w:val="22"/>
        </w:rPr>
        <w:t>, dans lesquelles il est proposé d'utiliser les TIC pour réduire les disparités en matière d'inclusion financière.</w:t>
      </w:r>
    </w:p>
    <w:p w14:paraId="4E455A5F" w14:textId="7A9A23F3" w:rsidR="009349C0" w:rsidRPr="00A4437D" w:rsidRDefault="009349C0" w:rsidP="009349C0">
      <w:pPr>
        <w:keepNext/>
        <w:rPr>
          <w:rFonts w:cstheme="minorHAnsi"/>
          <w:bCs/>
          <w:sz w:val="22"/>
          <w:szCs w:val="22"/>
        </w:rPr>
      </w:pPr>
      <w:r w:rsidRPr="00A4437D">
        <w:rPr>
          <w:rFonts w:cstheme="minorHAnsi"/>
          <w:bCs/>
          <w:sz w:val="22"/>
          <w:szCs w:val="22"/>
        </w:rPr>
        <w:t>3</w:t>
      </w:r>
      <w:r w:rsidRPr="00A4437D">
        <w:rPr>
          <w:rFonts w:cstheme="minorHAnsi"/>
          <w:bCs/>
          <w:sz w:val="22"/>
          <w:szCs w:val="22"/>
        </w:rPr>
        <w:tab/>
        <w:t xml:space="preserve">Ce stage pratique a notamment pour </w:t>
      </w:r>
      <w:proofErr w:type="gramStart"/>
      <w:r w:rsidRPr="00A4437D">
        <w:rPr>
          <w:rFonts w:cstheme="minorHAnsi"/>
          <w:bCs/>
          <w:sz w:val="22"/>
          <w:szCs w:val="22"/>
        </w:rPr>
        <w:t>objectif:</w:t>
      </w:r>
      <w:proofErr w:type="gramEnd"/>
    </w:p>
    <w:p w14:paraId="55A8CD85" w14:textId="3E4042ED" w:rsidR="009349C0" w:rsidRPr="00A4437D" w:rsidRDefault="009349C0" w:rsidP="009349C0">
      <w:pPr>
        <w:pStyle w:val="enumlev1"/>
        <w:keepNext/>
        <w:rPr>
          <w:rFonts w:cstheme="minorHAnsi"/>
          <w:sz w:val="22"/>
          <w:szCs w:val="22"/>
        </w:rPr>
      </w:pPr>
      <w:r w:rsidRPr="00A4437D">
        <w:rPr>
          <w:rFonts w:cstheme="minorHAnsi"/>
          <w:sz w:val="22"/>
          <w:szCs w:val="22"/>
        </w:rPr>
        <w:t>–</w:t>
      </w:r>
      <w:r w:rsidRPr="00A4437D">
        <w:rPr>
          <w:rFonts w:cstheme="minorHAnsi"/>
          <w:sz w:val="22"/>
          <w:szCs w:val="22"/>
        </w:rPr>
        <w:tab/>
        <w:t xml:space="preserve">de donner une vue d'ensemble des menaces de sécurité qui pèsent sur les technologies financières et l'inclusion financière </w:t>
      </w:r>
      <w:proofErr w:type="gramStart"/>
      <w:r w:rsidRPr="00A4437D">
        <w:rPr>
          <w:rFonts w:cstheme="minorHAnsi"/>
          <w:sz w:val="22"/>
          <w:szCs w:val="22"/>
        </w:rPr>
        <w:t>numérique;</w:t>
      </w:r>
      <w:proofErr w:type="gramEnd"/>
    </w:p>
    <w:p w14:paraId="47E14D72" w14:textId="511986E6" w:rsidR="009349C0" w:rsidRPr="00A4437D" w:rsidRDefault="009349C0" w:rsidP="009349C0">
      <w:pPr>
        <w:pStyle w:val="enumlev1"/>
        <w:rPr>
          <w:rFonts w:cstheme="minorHAnsi"/>
          <w:sz w:val="22"/>
          <w:szCs w:val="22"/>
        </w:rPr>
      </w:pPr>
      <w:r w:rsidRPr="00A4437D">
        <w:rPr>
          <w:rFonts w:cstheme="minorHAnsi"/>
          <w:sz w:val="22"/>
          <w:szCs w:val="22"/>
        </w:rPr>
        <w:t>–</w:t>
      </w:r>
      <w:r w:rsidRPr="00A4437D">
        <w:rPr>
          <w:rFonts w:cstheme="minorHAnsi"/>
          <w:sz w:val="22"/>
          <w:szCs w:val="22"/>
        </w:rPr>
        <w:tab/>
        <w:t xml:space="preserve">d'identifier les bonnes pratiques techniques et institutionnelles en matière de sécurité et de gestion des risques pour atténuer les menaces identifiées dans les Recommandations de l'UIT sur la sécurité des services financiers </w:t>
      </w:r>
      <w:proofErr w:type="gramStart"/>
      <w:r w:rsidRPr="00A4437D">
        <w:rPr>
          <w:rFonts w:cstheme="minorHAnsi"/>
          <w:sz w:val="22"/>
          <w:szCs w:val="22"/>
        </w:rPr>
        <w:t>numériques</w:t>
      </w:r>
      <w:r w:rsidR="00972207" w:rsidRPr="00A4437D">
        <w:rPr>
          <w:rFonts w:cstheme="minorHAnsi"/>
          <w:sz w:val="22"/>
          <w:szCs w:val="22"/>
        </w:rPr>
        <w:t>;</w:t>
      </w:r>
      <w:proofErr w:type="gramEnd"/>
    </w:p>
    <w:p w14:paraId="2964D7FF" w14:textId="3E9AC236" w:rsidR="009349C0" w:rsidRPr="00A4437D" w:rsidRDefault="009349C0" w:rsidP="009349C0">
      <w:pPr>
        <w:pStyle w:val="enumlev1"/>
        <w:rPr>
          <w:rFonts w:cstheme="minorHAnsi"/>
          <w:sz w:val="22"/>
          <w:szCs w:val="22"/>
        </w:rPr>
      </w:pPr>
      <w:r w:rsidRPr="00A4437D">
        <w:rPr>
          <w:rFonts w:cstheme="minorHAnsi"/>
          <w:sz w:val="22"/>
          <w:szCs w:val="22"/>
        </w:rPr>
        <w:t>–</w:t>
      </w:r>
      <w:r w:rsidRPr="00A4437D">
        <w:rPr>
          <w:rFonts w:cstheme="minorHAnsi"/>
          <w:sz w:val="22"/>
          <w:szCs w:val="22"/>
        </w:rPr>
        <w:tab/>
        <w:t xml:space="preserve">de présenter le </w:t>
      </w:r>
      <w:hyperlink r:id="rId11" w:history="1">
        <w:r w:rsidRPr="00A4437D">
          <w:rPr>
            <w:rStyle w:val="Hyperlink"/>
            <w:rFonts w:cstheme="minorHAnsi"/>
            <w:bCs/>
            <w:sz w:val="22"/>
            <w:szCs w:val="22"/>
          </w:rPr>
          <w:t>Laboratoire de sécurité des services finan</w:t>
        </w:r>
        <w:r w:rsidRPr="00A4437D">
          <w:rPr>
            <w:rStyle w:val="Hyperlink"/>
            <w:rFonts w:cstheme="minorHAnsi"/>
            <w:bCs/>
            <w:sz w:val="22"/>
            <w:szCs w:val="22"/>
          </w:rPr>
          <w:t>c</w:t>
        </w:r>
        <w:r w:rsidRPr="00A4437D">
          <w:rPr>
            <w:rStyle w:val="Hyperlink"/>
            <w:rFonts w:cstheme="minorHAnsi"/>
            <w:bCs/>
            <w:sz w:val="22"/>
            <w:szCs w:val="22"/>
          </w:rPr>
          <w:t>iers numériques (DFS) de l'UIT</w:t>
        </w:r>
      </w:hyperlink>
      <w:r w:rsidRPr="00A4437D">
        <w:rPr>
          <w:rFonts w:cstheme="minorHAnsi"/>
          <w:sz w:val="22"/>
          <w:szCs w:val="22"/>
        </w:rPr>
        <w:t xml:space="preserve"> et les orientations pratiques sur la sécurité des services financiers numériques fournies aux pays en </w:t>
      </w:r>
      <w:proofErr w:type="gramStart"/>
      <w:r w:rsidRPr="00A4437D">
        <w:rPr>
          <w:rFonts w:cstheme="minorHAnsi"/>
          <w:sz w:val="22"/>
          <w:szCs w:val="22"/>
        </w:rPr>
        <w:t>développement;</w:t>
      </w:r>
      <w:proofErr w:type="gramEnd"/>
    </w:p>
    <w:p w14:paraId="1CBF135A" w14:textId="3A8E5512" w:rsidR="009349C0" w:rsidRPr="00A4437D" w:rsidRDefault="009349C0" w:rsidP="009349C0">
      <w:pPr>
        <w:pStyle w:val="enumlev1"/>
        <w:rPr>
          <w:rFonts w:cstheme="minorHAnsi"/>
          <w:sz w:val="22"/>
          <w:szCs w:val="22"/>
        </w:rPr>
      </w:pPr>
      <w:r w:rsidRPr="00A4437D">
        <w:rPr>
          <w:rFonts w:cstheme="minorHAnsi"/>
          <w:sz w:val="22"/>
          <w:szCs w:val="22"/>
        </w:rPr>
        <w:lastRenderedPageBreak/>
        <w:t>–</w:t>
      </w:r>
      <w:r w:rsidRPr="00A4437D">
        <w:rPr>
          <w:rFonts w:cstheme="minorHAnsi"/>
          <w:sz w:val="22"/>
          <w:szCs w:val="22"/>
        </w:rPr>
        <w:tab/>
        <w:t xml:space="preserve">d'étudier le kit pratique UIT d'évaluation de la cyberrésilience, afin de permettre aux régulateurs d'évaluer eux-mêmes la cyberrésilience des infrastructures essentielles pour les services financiers </w:t>
      </w:r>
      <w:proofErr w:type="gramStart"/>
      <w:r w:rsidRPr="00A4437D">
        <w:rPr>
          <w:rFonts w:cstheme="minorHAnsi"/>
          <w:sz w:val="22"/>
          <w:szCs w:val="22"/>
        </w:rPr>
        <w:t>numériques;</w:t>
      </w:r>
      <w:proofErr w:type="gramEnd"/>
      <w:r w:rsidRPr="00A4437D">
        <w:rPr>
          <w:rFonts w:cstheme="minorHAnsi"/>
          <w:sz w:val="22"/>
          <w:szCs w:val="22"/>
        </w:rPr>
        <w:t xml:space="preserve"> et</w:t>
      </w:r>
    </w:p>
    <w:p w14:paraId="695622A2" w14:textId="397437D2" w:rsidR="009349C0" w:rsidRPr="00A4437D" w:rsidRDefault="009349C0" w:rsidP="009349C0">
      <w:pPr>
        <w:pStyle w:val="enumlev1"/>
        <w:rPr>
          <w:rFonts w:cstheme="minorHAnsi"/>
          <w:sz w:val="22"/>
          <w:szCs w:val="22"/>
        </w:rPr>
      </w:pPr>
      <w:r w:rsidRPr="00A4437D">
        <w:rPr>
          <w:rFonts w:cstheme="minorHAnsi"/>
          <w:sz w:val="22"/>
          <w:szCs w:val="22"/>
        </w:rPr>
        <w:t>–</w:t>
      </w:r>
      <w:r w:rsidRPr="00A4437D">
        <w:rPr>
          <w:rFonts w:cstheme="minorHAnsi"/>
          <w:sz w:val="22"/>
          <w:szCs w:val="22"/>
        </w:rPr>
        <w:tab/>
        <w:t>d'offrir une tribune aux experts de la région en matière de cybersécurité, afin de leur permettre d'échanger des enseignements tirés en matière de sécurité des technologies financières, de cyberrésilience et de coordination, en vue de protéger les infrastructures essentielles et de faire face aux menaces émergentes dans le domaine des technologies financières.</w:t>
      </w:r>
    </w:p>
    <w:p w14:paraId="287B90DF" w14:textId="13B07CA1" w:rsidR="009349C0" w:rsidRPr="00A4437D" w:rsidRDefault="009349C0" w:rsidP="009349C0">
      <w:pPr>
        <w:rPr>
          <w:rFonts w:cstheme="minorHAnsi"/>
          <w:bCs/>
          <w:sz w:val="22"/>
          <w:szCs w:val="22"/>
        </w:rPr>
      </w:pPr>
      <w:r w:rsidRPr="00A4437D">
        <w:rPr>
          <w:rFonts w:cstheme="minorHAnsi"/>
          <w:bCs/>
          <w:sz w:val="22"/>
          <w:szCs w:val="22"/>
        </w:rPr>
        <w:t>4</w:t>
      </w:r>
      <w:r w:rsidRPr="00A4437D">
        <w:rPr>
          <w:rFonts w:cstheme="minorHAnsi"/>
          <w:bCs/>
          <w:sz w:val="22"/>
          <w:szCs w:val="22"/>
        </w:rPr>
        <w:tab/>
        <w:t>Le stage pratique sur la sécurité des services financiers numériques s'adresse aux représentants des régulateurs des télécommunications, des agences nationales de cybersécurité, des banques centrales, des fournisseurs de services financiers, des banques, des ministères, des fournisseurs de services et de solutions de sécurité informatique, des fournisseurs d'authentification forte, des établissements universitaires, des institutions de recherche</w:t>
      </w:r>
      <w:r w:rsidR="00297021" w:rsidRPr="00A4437D">
        <w:rPr>
          <w:rFonts w:cstheme="minorHAnsi"/>
          <w:bCs/>
          <w:sz w:val="22"/>
          <w:szCs w:val="22"/>
        </w:rPr>
        <w:noBreakHyphen/>
      </w:r>
      <w:r w:rsidRPr="00A4437D">
        <w:rPr>
          <w:rFonts w:cstheme="minorHAnsi"/>
          <w:bCs/>
          <w:sz w:val="22"/>
          <w:szCs w:val="22"/>
        </w:rPr>
        <w:t>développement et d'autres organisations travaillant sur des questions liées à la sécurité des technologies financières et à l'inclusion financière numérique. La participation est gratuite et ouverte à toutes les parties prenantes intéressées, notamment les États Membres, les Membres de</w:t>
      </w:r>
      <w:r w:rsidR="00297021" w:rsidRPr="00A4437D">
        <w:rPr>
          <w:rFonts w:cstheme="minorHAnsi"/>
          <w:bCs/>
          <w:sz w:val="22"/>
          <w:szCs w:val="22"/>
        </w:rPr>
        <w:t> </w:t>
      </w:r>
      <w:r w:rsidRPr="00A4437D">
        <w:rPr>
          <w:rFonts w:cstheme="minorHAnsi"/>
          <w:bCs/>
          <w:sz w:val="22"/>
          <w:szCs w:val="22"/>
        </w:rPr>
        <w:t>Secteur, les Associés de l'UIT et les établissements universitaires participant aux travaux de</w:t>
      </w:r>
      <w:r w:rsidR="00297021" w:rsidRPr="00A4437D">
        <w:rPr>
          <w:rFonts w:cstheme="minorHAnsi"/>
          <w:bCs/>
          <w:sz w:val="22"/>
          <w:szCs w:val="22"/>
        </w:rPr>
        <w:t> </w:t>
      </w:r>
      <w:r w:rsidRPr="00A4437D">
        <w:rPr>
          <w:rFonts w:cstheme="minorHAnsi"/>
          <w:bCs/>
          <w:sz w:val="22"/>
          <w:szCs w:val="22"/>
        </w:rPr>
        <w:t>l'UIT, ainsi qu'à toute personne issue d'un pays membre de l'UIT qui souhaite contribuer aux travaux. La participation est gratuite et ouverte à tous. Aucune bourse ne sera accordée pour le stage pratique.</w:t>
      </w:r>
    </w:p>
    <w:p w14:paraId="277183B2" w14:textId="082D04D0" w:rsidR="009349C0" w:rsidRPr="00A4437D" w:rsidRDefault="009349C0" w:rsidP="009349C0">
      <w:pPr>
        <w:rPr>
          <w:rFonts w:cstheme="minorHAnsi"/>
          <w:bCs/>
          <w:sz w:val="22"/>
          <w:szCs w:val="22"/>
        </w:rPr>
      </w:pPr>
      <w:r w:rsidRPr="00A4437D">
        <w:rPr>
          <w:rFonts w:cstheme="minorHAnsi"/>
          <w:bCs/>
          <w:sz w:val="22"/>
          <w:szCs w:val="22"/>
        </w:rPr>
        <w:t>5</w:t>
      </w:r>
      <w:r w:rsidRPr="00A4437D">
        <w:rPr>
          <w:rFonts w:cstheme="minorHAnsi"/>
          <w:bCs/>
          <w:sz w:val="22"/>
          <w:szCs w:val="22"/>
        </w:rPr>
        <w:tab/>
        <w:t xml:space="preserve">Toutes les informations utiles concernant l'atelier, notamment le projet de programme, seront communiquées sur le site web de la manifestation à l'adresse </w:t>
      </w:r>
      <w:proofErr w:type="gramStart"/>
      <w:r w:rsidRPr="00A4437D">
        <w:rPr>
          <w:rFonts w:cstheme="minorHAnsi"/>
          <w:bCs/>
          <w:sz w:val="22"/>
          <w:szCs w:val="22"/>
        </w:rPr>
        <w:t>suivante:</w:t>
      </w:r>
      <w:proofErr w:type="gramEnd"/>
      <w:r w:rsidRPr="00A4437D">
        <w:rPr>
          <w:rFonts w:cstheme="minorHAnsi"/>
          <w:bCs/>
          <w:sz w:val="22"/>
          <w:szCs w:val="22"/>
        </w:rPr>
        <w:t xml:space="preserve"> </w:t>
      </w:r>
      <w:hyperlink r:id="rId12" w:history="1">
        <w:r w:rsidRPr="00A4437D">
          <w:rPr>
            <w:rStyle w:val="Hyperlink"/>
            <w:rFonts w:cstheme="minorHAnsi"/>
            <w:bCs/>
            <w:sz w:val="22"/>
            <w:szCs w:val="22"/>
          </w:rPr>
          <w:t>https://w</w:t>
        </w:r>
        <w:r w:rsidRPr="00A4437D">
          <w:rPr>
            <w:rStyle w:val="Hyperlink"/>
            <w:rFonts w:cstheme="minorHAnsi"/>
            <w:bCs/>
            <w:sz w:val="22"/>
            <w:szCs w:val="22"/>
          </w:rPr>
          <w:t>w</w:t>
        </w:r>
        <w:r w:rsidRPr="00A4437D">
          <w:rPr>
            <w:rStyle w:val="Hyperlink"/>
            <w:rFonts w:cstheme="minorHAnsi"/>
            <w:bCs/>
            <w:sz w:val="22"/>
            <w:szCs w:val="22"/>
          </w:rPr>
          <w:t>w.itu.int/en/ITU-T/Workshops-and-Seminars/2024/0219/Pages/default.aspx</w:t>
        </w:r>
      </w:hyperlink>
      <w:r w:rsidRPr="00A4437D">
        <w:rPr>
          <w:rFonts w:cstheme="minorHAnsi"/>
          <w:bCs/>
          <w:sz w:val="22"/>
          <w:szCs w:val="22"/>
        </w:rPr>
        <w:t>.</w:t>
      </w:r>
    </w:p>
    <w:p w14:paraId="48D5FE7C" w14:textId="035E648E" w:rsidR="009349C0" w:rsidRPr="00A4437D" w:rsidRDefault="009349C0" w:rsidP="009349C0">
      <w:pPr>
        <w:rPr>
          <w:rFonts w:cstheme="minorHAnsi"/>
          <w:bCs/>
          <w:sz w:val="22"/>
          <w:szCs w:val="22"/>
        </w:rPr>
      </w:pPr>
      <w:r w:rsidRPr="00A4437D">
        <w:rPr>
          <w:rFonts w:cstheme="minorHAnsi"/>
          <w:bCs/>
          <w:sz w:val="22"/>
          <w:szCs w:val="22"/>
        </w:rPr>
        <w:t>La page web de la manifestation sera mise à jour périodiquement, à mesure que parviendront des informations nouvelles. Il est recommandé aux participants de consulter régulièrement le site web pour prendre connaissance des dernières informations.</w:t>
      </w:r>
    </w:p>
    <w:p w14:paraId="5490A513" w14:textId="326D028A" w:rsidR="009349C0" w:rsidRPr="00A4437D" w:rsidRDefault="009349C0" w:rsidP="009349C0">
      <w:pPr>
        <w:rPr>
          <w:rFonts w:cstheme="minorHAnsi"/>
          <w:bCs/>
          <w:sz w:val="22"/>
          <w:szCs w:val="22"/>
        </w:rPr>
      </w:pPr>
      <w:r w:rsidRPr="00A4437D">
        <w:rPr>
          <w:rFonts w:cstheme="minorHAnsi"/>
          <w:bCs/>
          <w:sz w:val="22"/>
          <w:szCs w:val="22"/>
        </w:rPr>
        <w:t>6</w:t>
      </w:r>
      <w:r w:rsidRPr="00A4437D">
        <w:rPr>
          <w:rFonts w:cstheme="minorHAnsi"/>
          <w:bCs/>
          <w:sz w:val="22"/>
          <w:szCs w:val="22"/>
        </w:rPr>
        <w:tab/>
        <w:t xml:space="preserve">L'inscription est obligatoire pour toutes les personnes qui souhaitent participer à l'atelier. Pour vous inscrire, vous êtes invités à remplir le formulaire en ligne dans les plus brefs délais, à </w:t>
      </w:r>
      <w:proofErr w:type="gramStart"/>
      <w:r w:rsidRPr="00A4437D">
        <w:rPr>
          <w:rFonts w:cstheme="minorHAnsi"/>
          <w:bCs/>
          <w:sz w:val="22"/>
          <w:szCs w:val="22"/>
        </w:rPr>
        <w:t>l'adresse:</w:t>
      </w:r>
      <w:proofErr w:type="gramEnd"/>
      <w:r w:rsidRPr="00A4437D">
        <w:rPr>
          <w:rFonts w:cstheme="minorHAnsi"/>
          <w:bCs/>
          <w:sz w:val="22"/>
          <w:szCs w:val="22"/>
        </w:rPr>
        <w:t xml:space="preserve"> </w:t>
      </w:r>
      <w:hyperlink r:id="rId13" w:history="1">
        <w:r w:rsidRPr="00A4437D">
          <w:rPr>
            <w:rStyle w:val="Hyperlink"/>
            <w:rFonts w:cstheme="minorHAnsi"/>
            <w:bCs/>
            <w:sz w:val="22"/>
            <w:szCs w:val="22"/>
          </w:rPr>
          <w:t>https://www.itu.int/net4/CRM/xreg/web/registration.aspx</w:t>
        </w:r>
        <w:r w:rsidRPr="00A4437D">
          <w:rPr>
            <w:rStyle w:val="Hyperlink"/>
            <w:rFonts w:cstheme="minorHAnsi"/>
            <w:bCs/>
            <w:sz w:val="22"/>
            <w:szCs w:val="22"/>
          </w:rPr>
          <w:t>?</w:t>
        </w:r>
        <w:r w:rsidRPr="00A4437D">
          <w:rPr>
            <w:rStyle w:val="Hyperlink"/>
            <w:rFonts w:cstheme="minorHAnsi"/>
            <w:bCs/>
            <w:sz w:val="22"/>
            <w:szCs w:val="22"/>
          </w:rPr>
          <w:t>Event=C-00007744</w:t>
        </w:r>
      </w:hyperlink>
      <w:r w:rsidRPr="00A4437D">
        <w:rPr>
          <w:rFonts w:cstheme="minorHAnsi"/>
          <w:bCs/>
          <w:sz w:val="22"/>
          <w:szCs w:val="22"/>
        </w:rPr>
        <w:t xml:space="preserve">. </w:t>
      </w:r>
      <w:r w:rsidRPr="00A4437D">
        <w:rPr>
          <w:rFonts w:cstheme="minorHAnsi"/>
          <w:b/>
          <w:sz w:val="22"/>
          <w:szCs w:val="22"/>
        </w:rPr>
        <w:t>Il est conseillé de s'inscrire à l'avance pour participer à l'atelier sur place</w:t>
      </w:r>
      <w:r w:rsidRPr="00A4437D">
        <w:rPr>
          <w:rFonts w:cstheme="minorHAnsi"/>
          <w:bCs/>
          <w:sz w:val="22"/>
          <w:szCs w:val="22"/>
        </w:rPr>
        <w:t xml:space="preserve">. La capacité du site de la manifestation étant limitée, </w:t>
      </w:r>
      <w:r w:rsidRPr="00A4437D">
        <w:rPr>
          <w:rFonts w:cstheme="minorHAnsi"/>
          <w:b/>
          <w:sz w:val="22"/>
          <w:szCs w:val="22"/>
        </w:rPr>
        <w:t>l'inscription pour la participation sur place</w:t>
      </w:r>
      <w:r w:rsidRPr="00A4437D">
        <w:rPr>
          <w:rFonts w:cstheme="minorHAnsi"/>
          <w:bCs/>
          <w:sz w:val="22"/>
          <w:szCs w:val="22"/>
        </w:rPr>
        <w:t xml:space="preserve"> doit être effectuée au plus tard le </w:t>
      </w:r>
      <w:r w:rsidRPr="00A4437D">
        <w:rPr>
          <w:rFonts w:cstheme="minorHAnsi"/>
          <w:b/>
          <w:sz w:val="22"/>
          <w:szCs w:val="22"/>
        </w:rPr>
        <w:t>14 avril 2024</w:t>
      </w:r>
      <w:r w:rsidRPr="00A4437D">
        <w:rPr>
          <w:rFonts w:cstheme="minorHAnsi"/>
          <w:bCs/>
          <w:sz w:val="22"/>
          <w:szCs w:val="22"/>
        </w:rPr>
        <w:t>. Veuillez noter que l'inscription préalable des participants à nos manifestations se fait exclusivement en ligne.</w:t>
      </w:r>
    </w:p>
    <w:p w14:paraId="4C19B56D" w14:textId="5744446C" w:rsidR="009349C0" w:rsidRPr="00A4437D" w:rsidRDefault="009349C0" w:rsidP="004462FB">
      <w:pPr>
        <w:keepLines/>
        <w:rPr>
          <w:rFonts w:cstheme="minorHAnsi"/>
          <w:bCs/>
          <w:sz w:val="22"/>
          <w:szCs w:val="22"/>
        </w:rPr>
      </w:pPr>
      <w:r w:rsidRPr="00A4437D">
        <w:rPr>
          <w:rFonts w:cstheme="minorHAnsi"/>
          <w:bCs/>
          <w:sz w:val="22"/>
          <w:szCs w:val="22"/>
        </w:rPr>
        <w:t>7</w:t>
      </w:r>
      <w:r w:rsidRPr="00A4437D">
        <w:rPr>
          <w:rFonts w:cstheme="minorHAnsi"/>
          <w:bCs/>
          <w:sz w:val="22"/>
          <w:szCs w:val="22"/>
        </w:rPr>
        <w:tab/>
        <w:t>Nous vous rappelons que pour les ressortissants de certains pays, l'entrée et le séjour, quelle qu'en soit la durée, sur le territoire de la République de Corée sont soumis à l'obtention d'un visa. Ce visa doit être obtenu auprès de la représentation de la République de Corée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 Des renseignements complémentaires concernant les demandes de visa sont disponibles sur le site web de la manifestation, sous la rubrique "</w:t>
      </w:r>
      <w:r w:rsidRPr="00A4437D">
        <w:rPr>
          <w:rFonts w:cstheme="minorHAnsi"/>
          <w:b/>
          <w:sz w:val="22"/>
          <w:szCs w:val="22"/>
        </w:rPr>
        <w:t>Informations pratiques</w:t>
      </w:r>
      <w:r w:rsidRPr="00A4437D">
        <w:rPr>
          <w:rFonts w:cstheme="minorHAnsi"/>
          <w:bCs/>
          <w:sz w:val="22"/>
          <w:szCs w:val="22"/>
        </w:rPr>
        <w:t>".</w:t>
      </w:r>
    </w:p>
    <w:p w14:paraId="46F2C3C2" w14:textId="1151E32D" w:rsidR="00307FB4" w:rsidRPr="00A4437D" w:rsidRDefault="009349C0" w:rsidP="009349C0">
      <w:pPr>
        <w:rPr>
          <w:rFonts w:cstheme="minorHAnsi"/>
          <w:bCs/>
          <w:sz w:val="22"/>
          <w:szCs w:val="22"/>
        </w:rPr>
      </w:pPr>
      <w:r w:rsidRPr="00A4437D">
        <w:rPr>
          <w:rFonts w:cstheme="minorHAnsi"/>
          <w:bCs/>
          <w:sz w:val="22"/>
          <w:szCs w:val="22"/>
        </w:rPr>
        <w:t>Nous nous réjouissons à l'avance de votre participation et de vos contributions précieuses.</w:t>
      </w:r>
    </w:p>
    <w:p w14:paraId="6A4CD67F" w14:textId="77777777" w:rsidR="00307FB4" w:rsidRPr="00A4437D" w:rsidRDefault="00307FB4" w:rsidP="00307FB4">
      <w:pPr>
        <w:rPr>
          <w:rFonts w:cstheme="minorHAnsi"/>
          <w:bCs/>
          <w:sz w:val="22"/>
          <w:szCs w:val="22"/>
        </w:rPr>
      </w:pPr>
      <w:r w:rsidRPr="00A4437D">
        <w:rPr>
          <w:rFonts w:cstheme="minorHAnsi"/>
          <w:bCs/>
          <w:sz w:val="22"/>
          <w:szCs w:val="22"/>
        </w:rPr>
        <w:t>Veuillez agréer, Madame, Monsieur, l'assurance de ma considération distinguée.</w:t>
      </w:r>
    </w:p>
    <w:p w14:paraId="558FB742" w14:textId="4855EA55" w:rsidR="002937DB" w:rsidRPr="00A4437D" w:rsidRDefault="00462010" w:rsidP="00A4437D">
      <w:pPr>
        <w:spacing w:before="84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44774A58" wp14:editId="0A1BF410">
            <wp:simplePos x="0" y="0"/>
            <wp:positionH relativeFrom="column">
              <wp:posOffset>-37465</wp:posOffset>
            </wp:positionH>
            <wp:positionV relativeFrom="paragraph">
              <wp:posOffset>102870</wp:posOffset>
            </wp:positionV>
            <wp:extent cx="529167" cy="396875"/>
            <wp:effectExtent l="0" t="0" r="4445" b="3175"/>
            <wp:wrapNone/>
            <wp:docPr id="104619785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97857"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9167" cy="396875"/>
                    </a:xfrm>
                    <a:prstGeom prst="rect">
                      <a:avLst/>
                    </a:prstGeom>
                  </pic:spPr>
                </pic:pic>
              </a:graphicData>
            </a:graphic>
            <wp14:sizeRelH relativeFrom="margin">
              <wp14:pctWidth>0</wp14:pctWidth>
            </wp14:sizeRelH>
            <wp14:sizeRelV relativeFrom="margin">
              <wp14:pctHeight>0</wp14:pctHeight>
            </wp14:sizeRelV>
          </wp:anchor>
        </w:drawing>
      </w:r>
      <w:r w:rsidR="00307FB4" w:rsidRPr="00A4437D">
        <w:rPr>
          <w:rFonts w:cstheme="minorHAnsi"/>
          <w:bCs/>
          <w:sz w:val="22"/>
          <w:szCs w:val="22"/>
        </w:rPr>
        <w:t>Seizo Onoe</w:t>
      </w:r>
      <w:r w:rsidR="00B60868" w:rsidRPr="00A4437D">
        <w:rPr>
          <w:rFonts w:cstheme="minorHAnsi"/>
          <w:bCs/>
          <w:sz w:val="22"/>
          <w:szCs w:val="22"/>
        </w:rPr>
        <w:br/>
      </w:r>
      <w:r w:rsidR="00307FB4" w:rsidRPr="00A4437D">
        <w:rPr>
          <w:rFonts w:cstheme="minorHAnsi"/>
          <w:bCs/>
          <w:sz w:val="22"/>
          <w:szCs w:val="22"/>
        </w:rPr>
        <w:t>Directeur du Bureau de la normalisation</w:t>
      </w:r>
      <w:r w:rsidR="00B60868" w:rsidRPr="00A4437D">
        <w:rPr>
          <w:rFonts w:cstheme="minorHAnsi"/>
          <w:bCs/>
          <w:sz w:val="22"/>
          <w:szCs w:val="22"/>
        </w:rPr>
        <w:br/>
      </w:r>
      <w:r w:rsidR="00307FB4" w:rsidRPr="00A4437D">
        <w:rPr>
          <w:rFonts w:cstheme="minorHAnsi"/>
          <w:bCs/>
          <w:sz w:val="22"/>
          <w:szCs w:val="22"/>
        </w:rPr>
        <w:t>des télécommunications</w:t>
      </w:r>
    </w:p>
    <w:sectPr w:rsidR="002937DB" w:rsidRPr="00A4437D"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8C41903" w:rsidR="00697BC1" w:rsidRPr="00697BC1" w:rsidRDefault="0046201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9349C0">
      <w:rPr>
        <w:noProof/>
        <w:sz w:val="18"/>
        <w:szCs w:val="16"/>
      </w:rPr>
      <w:t>180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97021"/>
    <w:rsid w:val="002E395D"/>
    <w:rsid w:val="00307FB4"/>
    <w:rsid w:val="003131F0"/>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462FB"/>
    <w:rsid w:val="00462010"/>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68C0"/>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49C0"/>
    <w:rsid w:val="00935AA8"/>
    <w:rsid w:val="00971C9A"/>
    <w:rsid w:val="00972207"/>
    <w:rsid w:val="009D51FA"/>
    <w:rsid w:val="009F1E23"/>
    <w:rsid w:val="00A15179"/>
    <w:rsid w:val="00A4437D"/>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077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fs/sc/2024042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dfs/seclab/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T-RES-T.89-2022/fr"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24</TotalTime>
  <Pages>2</Pages>
  <Words>986</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7354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2024-03-15T10:46:00Z</cp:lastPrinted>
  <dcterms:created xsi:type="dcterms:W3CDTF">2024-02-20T15:08:00Z</dcterms:created>
  <dcterms:modified xsi:type="dcterms:W3CDTF">2024-03-15T10:47:00Z</dcterms:modified>
</cp:coreProperties>
</file>