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000" w:firstRow="0" w:lastRow="0" w:firstColumn="0" w:lastColumn="0" w:noHBand="0" w:noVBand="0"/>
      </w:tblPr>
      <w:tblGrid>
        <w:gridCol w:w="1279"/>
        <w:gridCol w:w="3298"/>
        <w:gridCol w:w="5152"/>
      </w:tblGrid>
      <w:tr w:rsidR="00EF6A23" w:rsidRPr="00E272CA" w14:paraId="3FDAE1F3" w14:textId="77777777" w:rsidTr="003F083D">
        <w:trPr>
          <w:cantSplit/>
        </w:trPr>
        <w:tc>
          <w:tcPr>
            <w:tcW w:w="0" w:type="auto"/>
            <w:vAlign w:val="center"/>
          </w:tcPr>
          <w:p w14:paraId="3DE42CAA" w14:textId="77777777" w:rsidR="00EF6A23" w:rsidRPr="00E272CA" w:rsidRDefault="00EF6A23" w:rsidP="00D14F31">
            <w:pPr>
              <w:tabs>
                <w:tab w:val="right" w:pos="8732"/>
              </w:tabs>
              <w:spacing w:before="0"/>
              <w:rPr>
                <w:b/>
                <w:bCs/>
                <w:iCs/>
                <w:color w:val="FFFFFF"/>
                <w:sz w:val="30"/>
                <w:szCs w:val="30"/>
              </w:rPr>
            </w:pPr>
            <w:r w:rsidRPr="00E272CA">
              <w:rPr>
                <w:noProof/>
                <w:lang w:eastAsia="zh-CN"/>
              </w:rPr>
              <w:drawing>
                <wp:inline distT="0" distB="0" distL="0" distR="0" wp14:anchorId="05764050" wp14:editId="248DEEAB">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0" w:type="auto"/>
            <w:gridSpan w:val="2"/>
            <w:vAlign w:val="center"/>
          </w:tcPr>
          <w:p w14:paraId="75924CEF" w14:textId="77777777" w:rsidR="00EF6A23" w:rsidRPr="00E272CA" w:rsidRDefault="00EF6A23" w:rsidP="00EF6A23">
            <w:pPr>
              <w:spacing w:before="0"/>
              <w:rPr>
                <w:rFonts w:cs="Times New Roman Bold"/>
                <w:b/>
                <w:bCs/>
                <w:iCs/>
                <w:smallCaps/>
                <w:sz w:val="34"/>
                <w:szCs w:val="34"/>
              </w:rPr>
            </w:pPr>
            <w:r w:rsidRPr="00E272CA">
              <w:rPr>
                <w:rFonts w:cs="Times New Roman Bold"/>
                <w:b/>
                <w:bCs/>
                <w:iCs/>
                <w:smallCaps/>
                <w:sz w:val="34"/>
                <w:szCs w:val="34"/>
              </w:rPr>
              <w:t>Union internationale des télécommunications</w:t>
            </w:r>
          </w:p>
          <w:p w14:paraId="089E66D0" w14:textId="77777777" w:rsidR="00EF6A23" w:rsidRPr="00E272CA" w:rsidRDefault="00EF6A23" w:rsidP="00EF6A23">
            <w:pPr>
              <w:spacing w:before="0"/>
              <w:rPr>
                <w:color w:val="FFFFFF"/>
                <w:sz w:val="26"/>
                <w:szCs w:val="26"/>
              </w:rPr>
            </w:pPr>
            <w:r w:rsidRPr="00E272CA">
              <w:rPr>
                <w:rFonts w:cs="Times New Roman Bold"/>
                <w:b/>
                <w:bCs/>
                <w:iCs/>
                <w:smallCaps/>
                <w:sz w:val="28"/>
                <w:szCs w:val="28"/>
              </w:rPr>
              <w:t>B</w:t>
            </w:r>
            <w:r w:rsidRPr="00E272CA">
              <w:rPr>
                <w:b/>
                <w:bCs/>
                <w:iCs/>
                <w:smallCaps/>
                <w:sz w:val="28"/>
                <w:szCs w:val="28"/>
              </w:rPr>
              <w:t>ureau de la Normalisation des Télécommunications</w:t>
            </w:r>
          </w:p>
        </w:tc>
      </w:tr>
      <w:tr w:rsidR="00036F4F" w:rsidRPr="00E272CA" w14:paraId="18B25741" w14:textId="77777777" w:rsidTr="00237575">
        <w:trPr>
          <w:cantSplit/>
        </w:trPr>
        <w:tc>
          <w:tcPr>
            <w:tcW w:w="0" w:type="auto"/>
          </w:tcPr>
          <w:p w14:paraId="4B1AFD72" w14:textId="77777777" w:rsidR="00036F4F" w:rsidRPr="00E272CA" w:rsidRDefault="00036F4F" w:rsidP="00A5280F">
            <w:pPr>
              <w:tabs>
                <w:tab w:val="left" w:pos="4111"/>
              </w:tabs>
              <w:spacing w:before="10"/>
              <w:ind w:left="57"/>
            </w:pPr>
          </w:p>
        </w:tc>
        <w:tc>
          <w:tcPr>
            <w:tcW w:w="3340" w:type="dxa"/>
          </w:tcPr>
          <w:p w14:paraId="6579D3E8" w14:textId="77777777" w:rsidR="00036F4F" w:rsidRPr="00E272CA" w:rsidRDefault="00036F4F" w:rsidP="00A5280F">
            <w:pPr>
              <w:tabs>
                <w:tab w:val="left" w:pos="4111"/>
              </w:tabs>
              <w:spacing w:before="10"/>
              <w:ind w:left="57"/>
              <w:rPr>
                <w:b/>
              </w:rPr>
            </w:pPr>
          </w:p>
        </w:tc>
        <w:tc>
          <w:tcPr>
            <w:tcW w:w="5110" w:type="dxa"/>
          </w:tcPr>
          <w:p w14:paraId="0DC34ECA" w14:textId="2D9AD72C" w:rsidR="00036F4F" w:rsidRPr="00E272CA" w:rsidRDefault="00036F4F" w:rsidP="00A5645A">
            <w:pPr>
              <w:tabs>
                <w:tab w:val="clear" w:pos="794"/>
                <w:tab w:val="clear" w:pos="1191"/>
                <w:tab w:val="clear" w:pos="1588"/>
                <w:tab w:val="clear" w:pos="1985"/>
                <w:tab w:val="left" w:pos="284"/>
              </w:tabs>
              <w:spacing w:after="120"/>
              <w:ind w:left="284" w:hanging="227"/>
            </w:pPr>
            <w:r w:rsidRPr="00E272CA">
              <w:t>Genève, le</w:t>
            </w:r>
            <w:r w:rsidR="004419E9" w:rsidRPr="00E272CA">
              <w:t xml:space="preserve"> </w:t>
            </w:r>
            <w:r w:rsidR="00237575" w:rsidRPr="00E272CA">
              <w:t>1er mai 2024</w:t>
            </w:r>
          </w:p>
        </w:tc>
      </w:tr>
      <w:tr w:rsidR="00237575" w:rsidRPr="00E272CA" w14:paraId="16CDDFEF" w14:textId="77777777" w:rsidTr="00237575">
        <w:trPr>
          <w:cantSplit/>
          <w:trHeight w:val="340"/>
        </w:trPr>
        <w:tc>
          <w:tcPr>
            <w:tcW w:w="0" w:type="auto"/>
          </w:tcPr>
          <w:p w14:paraId="3EFF375D" w14:textId="58556577" w:rsidR="00237575" w:rsidRPr="00E272CA" w:rsidRDefault="00237575" w:rsidP="00307FB4">
            <w:pPr>
              <w:tabs>
                <w:tab w:val="left" w:pos="4111"/>
              </w:tabs>
              <w:spacing w:before="10"/>
              <w:ind w:left="57"/>
              <w:rPr>
                <w:b/>
                <w:bCs/>
              </w:rPr>
            </w:pPr>
            <w:r w:rsidRPr="00E272CA">
              <w:rPr>
                <w:b/>
                <w:bCs/>
              </w:rPr>
              <w:t>Réf.:</w:t>
            </w:r>
          </w:p>
        </w:tc>
        <w:tc>
          <w:tcPr>
            <w:tcW w:w="3340" w:type="dxa"/>
          </w:tcPr>
          <w:p w14:paraId="5FFBBC9B" w14:textId="0A021AE6" w:rsidR="00237575" w:rsidRPr="00E272CA" w:rsidRDefault="00237575" w:rsidP="00A5280F">
            <w:pPr>
              <w:tabs>
                <w:tab w:val="left" w:pos="4111"/>
              </w:tabs>
              <w:spacing w:before="10"/>
              <w:ind w:left="57"/>
              <w:rPr>
                <w:b/>
              </w:rPr>
            </w:pPr>
            <w:r w:rsidRPr="00E272CA">
              <w:rPr>
                <w:b/>
              </w:rPr>
              <w:t>Circulaire TSB 179</w:t>
            </w:r>
          </w:p>
          <w:p w14:paraId="577F6DA2" w14:textId="63181BB3" w:rsidR="00237575" w:rsidRPr="00E272CA" w:rsidRDefault="00237575" w:rsidP="00307FB4">
            <w:pPr>
              <w:tabs>
                <w:tab w:val="left" w:pos="4111"/>
              </w:tabs>
              <w:spacing w:before="10"/>
              <w:ind w:left="57"/>
            </w:pPr>
            <w:r w:rsidRPr="00E272CA">
              <w:t>GCNT/BJ</w:t>
            </w:r>
          </w:p>
        </w:tc>
        <w:tc>
          <w:tcPr>
            <w:tcW w:w="5110" w:type="dxa"/>
            <w:vMerge w:val="restart"/>
          </w:tcPr>
          <w:p w14:paraId="56FFB697" w14:textId="77777777" w:rsidR="00237575" w:rsidRPr="00E272CA" w:rsidRDefault="00237575" w:rsidP="00307FB4">
            <w:pPr>
              <w:tabs>
                <w:tab w:val="left" w:pos="226"/>
                <w:tab w:val="left" w:pos="4111"/>
              </w:tabs>
              <w:spacing w:before="0"/>
              <w:ind w:left="226" w:hanging="226"/>
              <w:rPr>
                <w:b/>
                <w:bCs/>
              </w:rPr>
            </w:pPr>
            <w:bookmarkStart w:id="0" w:name="Addressee_F"/>
            <w:bookmarkEnd w:id="0"/>
            <w:r w:rsidRPr="00E272CA">
              <w:rPr>
                <w:b/>
                <w:bCs/>
              </w:rPr>
              <w:t>Aux:</w:t>
            </w:r>
          </w:p>
          <w:p w14:paraId="35271D8E" w14:textId="536C0CE8" w:rsidR="00237575" w:rsidRPr="00E272CA" w:rsidRDefault="00237575" w:rsidP="00307FB4">
            <w:pPr>
              <w:tabs>
                <w:tab w:val="left" w:pos="4111"/>
              </w:tabs>
              <w:spacing w:before="0"/>
              <w:ind w:left="426" w:hanging="426"/>
            </w:pPr>
            <w:r w:rsidRPr="00E272CA">
              <w:t>–</w:t>
            </w:r>
            <w:r w:rsidRPr="00E272CA">
              <w:tab/>
              <w:t>Administrations des États Membres de l'Union;</w:t>
            </w:r>
          </w:p>
          <w:p w14:paraId="4987CD6E" w14:textId="77777777" w:rsidR="00237575" w:rsidRPr="00E272CA" w:rsidRDefault="00237575" w:rsidP="00237575">
            <w:pPr>
              <w:tabs>
                <w:tab w:val="left" w:pos="4111"/>
              </w:tabs>
              <w:spacing w:before="0"/>
              <w:ind w:left="426" w:hanging="426"/>
            </w:pPr>
            <w:r w:rsidRPr="00E272CA">
              <w:t>–</w:t>
            </w:r>
            <w:r w:rsidRPr="00E272CA">
              <w:tab/>
              <w:t>Membres du Secteur de l'UIT-T</w:t>
            </w:r>
          </w:p>
          <w:p w14:paraId="79E0C176" w14:textId="77777777" w:rsidR="00237575" w:rsidRPr="00E272CA" w:rsidRDefault="00237575" w:rsidP="00307FB4">
            <w:pPr>
              <w:tabs>
                <w:tab w:val="clear" w:pos="794"/>
                <w:tab w:val="left" w:pos="226"/>
                <w:tab w:val="left" w:pos="4111"/>
              </w:tabs>
              <w:spacing w:before="0"/>
              <w:ind w:left="226" w:hanging="226"/>
              <w:rPr>
                <w:b/>
                <w:bCs/>
              </w:rPr>
            </w:pPr>
            <w:r w:rsidRPr="00E272CA">
              <w:rPr>
                <w:b/>
                <w:bCs/>
              </w:rPr>
              <w:t>Copie:</w:t>
            </w:r>
          </w:p>
          <w:p w14:paraId="3E6AB72A" w14:textId="00EB6FB6" w:rsidR="00237575" w:rsidRPr="00E272CA" w:rsidRDefault="00237575" w:rsidP="00237575">
            <w:pPr>
              <w:tabs>
                <w:tab w:val="clear" w:pos="794"/>
                <w:tab w:val="left" w:pos="4111"/>
              </w:tabs>
              <w:spacing w:before="0"/>
              <w:ind w:left="426" w:hanging="426"/>
            </w:pPr>
            <w:r w:rsidRPr="00E272CA">
              <w:t>–</w:t>
            </w:r>
            <w:r w:rsidRPr="00E272CA">
              <w:tab/>
              <w:t>Aux Associés de l'UIT-T participant aux travaux des Commissions d'études;</w:t>
            </w:r>
          </w:p>
          <w:p w14:paraId="1F01A44C" w14:textId="77777777" w:rsidR="00237575" w:rsidRPr="00E272CA" w:rsidRDefault="00237575" w:rsidP="00237575">
            <w:pPr>
              <w:tabs>
                <w:tab w:val="clear" w:pos="794"/>
                <w:tab w:val="left" w:pos="4111"/>
              </w:tabs>
              <w:spacing w:before="0"/>
              <w:ind w:left="426" w:hanging="426"/>
            </w:pPr>
            <w:r w:rsidRPr="00E272CA">
              <w:t>–</w:t>
            </w:r>
            <w:r w:rsidRPr="00E272CA">
              <w:tab/>
              <w:t>Aux établissements universitaires participant aux travaux de l'UIT;</w:t>
            </w:r>
          </w:p>
          <w:p w14:paraId="1D08A984" w14:textId="77777777" w:rsidR="00237575" w:rsidRPr="00E272CA" w:rsidRDefault="00237575" w:rsidP="00237575">
            <w:pPr>
              <w:tabs>
                <w:tab w:val="clear" w:pos="794"/>
                <w:tab w:val="left" w:pos="4111"/>
              </w:tabs>
              <w:spacing w:before="0"/>
              <w:ind w:left="426" w:hanging="426"/>
            </w:pPr>
            <w:r w:rsidRPr="00E272CA">
              <w:t>–</w:t>
            </w:r>
            <w:r w:rsidRPr="00E272CA">
              <w:tab/>
              <w:t>Aux Président et Vice-Présidents du GCNT;</w:t>
            </w:r>
          </w:p>
          <w:p w14:paraId="705BDF61" w14:textId="77777777" w:rsidR="00237575" w:rsidRPr="00E272CA" w:rsidRDefault="00237575" w:rsidP="00237575">
            <w:pPr>
              <w:tabs>
                <w:tab w:val="clear" w:pos="794"/>
                <w:tab w:val="left" w:pos="4111"/>
              </w:tabs>
              <w:spacing w:before="0"/>
              <w:ind w:left="426" w:hanging="426"/>
            </w:pPr>
            <w:r w:rsidRPr="00E272CA">
              <w:t>–</w:t>
            </w:r>
            <w:r w:rsidRPr="00E272CA">
              <w:tab/>
              <w:t>Au Directeur du Bureau de développement des télécommunications;</w:t>
            </w:r>
          </w:p>
          <w:p w14:paraId="461460AE" w14:textId="0F956F72" w:rsidR="00237575" w:rsidRPr="00E272CA" w:rsidRDefault="00237575" w:rsidP="00237575">
            <w:pPr>
              <w:tabs>
                <w:tab w:val="left" w:pos="4111"/>
              </w:tabs>
              <w:spacing w:before="0"/>
              <w:ind w:left="426" w:hanging="426"/>
            </w:pPr>
            <w:r w:rsidRPr="00E272CA">
              <w:t>–</w:t>
            </w:r>
            <w:r w:rsidRPr="00E272CA">
              <w:tab/>
              <w:t>Au Directeur du Bureau des radiocommunications</w:t>
            </w:r>
          </w:p>
        </w:tc>
      </w:tr>
      <w:tr w:rsidR="00237575" w:rsidRPr="00E272CA" w14:paraId="06A3F0E7" w14:textId="77777777" w:rsidTr="00237575">
        <w:trPr>
          <w:cantSplit/>
          <w:trHeight w:val="340"/>
        </w:trPr>
        <w:tc>
          <w:tcPr>
            <w:tcW w:w="0" w:type="auto"/>
          </w:tcPr>
          <w:p w14:paraId="5CF43A7B" w14:textId="1D52FE05" w:rsidR="00237575" w:rsidRPr="00E272CA" w:rsidRDefault="00237575" w:rsidP="00237575">
            <w:pPr>
              <w:tabs>
                <w:tab w:val="left" w:pos="4111"/>
              </w:tabs>
              <w:spacing w:before="10"/>
              <w:ind w:left="57"/>
              <w:rPr>
                <w:b/>
                <w:bCs/>
              </w:rPr>
            </w:pPr>
            <w:r w:rsidRPr="00E272CA">
              <w:rPr>
                <w:b/>
                <w:bCs/>
              </w:rPr>
              <w:t>Tél.:</w:t>
            </w:r>
          </w:p>
        </w:tc>
        <w:tc>
          <w:tcPr>
            <w:tcW w:w="3340" w:type="dxa"/>
          </w:tcPr>
          <w:p w14:paraId="2074781F" w14:textId="5C79912F" w:rsidR="00237575" w:rsidRPr="00E272CA" w:rsidRDefault="00237575" w:rsidP="00237575">
            <w:pPr>
              <w:tabs>
                <w:tab w:val="left" w:pos="4111"/>
              </w:tabs>
              <w:spacing w:before="10"/>
              <w:ind w:left="57"/>
              <w:rPr>
                <w:b/>
              </w:rPr>
            </w:pPr>
            <w:r w:rsidRPr="00E272CA">
              <w:t>+41 22 730 6311</w:t>
            </w:r>
          </w:p>
        </w:tc>
        <w:tc>
          <w:tcPr>
            <w:tcW w:w="5110" w:type="dxa"/>
            <w:vMerge/>
          </w:tcPr>
          <w:p w14:paraId="2F310545" w14:textId="325D8A1A" w:rsidR="00237575" w:rsidRPr="00E272CA" w:rsidRDefault="00237575" w:rsidP="00237575">
            <w:pPr>
              <w:tabs>
                <w:tab w:val="left" w:pos="4111"/>
              </w:tabs>
              <w:spacing w:before="0"/>
              <w:ind w:left="426" w:hanging="426"/>
            </w:pPr>
          </w:p>
        </w:tc>
      </w:tr>
      <w:tr w:rsidR="00237575" w:rsidRPr="00E272CA" w14:paraId="724FD23E" w14:textId="77777777" w:rsidTr="00237575">
        <w:trPr>
          <w:cantSplit/>
        </w:trPr>
        <w:tc>
          <w:tcPr>
            <w:tcW w:w="0" w:type="auto"/>
          </w:tcPr>
          <w:p w14:paraId="73149CCD" w14:textId="3E1AC8A1" w:rsidR="00237575" w:rsidRPr="00E272CA" w:rsidRDefault="00237575" w:rsidP="00237575">
            <w:pPr>
              <w:tabs>
                <w:tab w:val="left" w:pos="4111"/>
              </w:tabs>
              <w:spacing w:before="10"/>
              <w:ind w:left="57"/>
              <w:rPr>
                <w:b/>
                <w:bCs/>
                <w:sz w:val="20"/>
              </w:rPr>
            </w:pPr>
            <w:r w:rsidRPr="00E272CA">
              <w:rPr>
                <w:b/>
                <w:bCs/>
              </w:rPr>
              <w:t>Télécopie:</w:t>
            </w:r>
          </w:p>
        </w:tc>
        <w:tc>
          <w:tcPr>
            <w:tcW w:w="3340" w:type="dxa"/>
          </w:tcPr>
          <w:p w14:paraId="78D06186" w14:textId="248FAEB1" w:rsidR="00237575" w:rsidRPr="00E272CA" w:rsidRDefault="00237575" w:rsidP="00237575">
            <w:pPr>
              <w:tabs>
                <w:tab w:val="left" w:pos="4111"/>
              </w:tabs>
              <w:spacing w:before="0"/>
              <w:ind w:left="57"/>
            </w:pPr>
            <w:r w:rsidRPr="00E272CA">
              <w:t>+41 22 730 5853</w:t>
            </w:r>
          </w:p>
        </w:tc>
        <w:tc>
          <w:tcPr>
            <w:tcW w:w="5110" w:type="dxa"/>
            <w:vMerge/>
          </w:tcPr>
          <w:p w14:paraId="6D3A5806" w14:textId="6AA7E308" w:rsidR="00237575" w:rsidRPr="00E272CA" w:rsidRDefault="00237575" w:rsidP="00237575">
            <w:pPr>
              <w:tabs>
                <w:tab w:val="left" w:pos="4111"/>
              </w:tabs>
              <w:spacing w:before="0"/>
              <w:ind w:left="426" w:hanging="426"/>
              <w:rPr>
                <w:b/>
              </w:rPr>
            </w:pPr>
          </w:p>
        </w:tc>
      </w:tr>
      <w:tr w:rsidR="00237575" w:rsidRPr="00E272CA" w14:paraId="030F9AE5" w14:textId="77777777" w:rsidTr="00237575">
        <w:trPr>
          <w:cantSplit/>
          <w:trHeight w:val="586"/>
        </w:trPr>
        <w:tc>
          <w:tcPr>
            <w:tcW w:w="0" w:type="auto"/>
          </w:tcPr>
          <w:p w14:paraId="7B417C4C" w14:textId="07BFED75" w:rsidR="00237575" w:rsidRPr="00E272CA" w:rsidRDefault="00237575" w:rsidP="00237575">
            <w:pPr>
              <w:tabs>
                <w:tab w:val="left" w:pos="4111"/>
              </w:tabs>
              <w:spacing w:before="10"/>
              <w:ind w:left="57"/>
              <w:rPr>
                <w:b/>
                <w:bCs/>
                <w:sz w:val="20"/>
              </w:rPr>
            </w:pPr>
            <w:r w:rsidRPr="00E272CA">
              <w:rPr>
                <w:b/>
                <w:bCs/>
              </w:rPr>
              <w:t>Courriel:</w:t>
            </w:r>
          </w:p>
        </w:tc>
        <w:tc>
          <w:tcPr>
            <w:tcW w:w="3340" w:type="dxa"/>
          </w:tcPr>
          <w:p w14:paraId="1A4A5F7B" w14:textId="0E34213A" w:rsidR="00237575" w:rsidRPr="00E272CA" w:rsidRDefault="001422A7" w:rsidP="00237575">
            <w:pPr>
              <w:tabs>
                <w:tab w:val="left" w:pos="4111"/>
              </w:tabs>
              <w:spacing w:before="0"/>
              <w:ind w:left="57"/>
            </w:pPr>
            <w:hyperlink r:id="rId9" w:history="1">
              <w:r w:rsidR="00237575" w:rsidRPr="00E272CA">
                <w:rPr>
                  <w:rStyle w:val="Hyperlink"/>
                </w:rPr>
                <w:t>tsbtsag@itu.int</w:t>
              </w:r>
            </w:hyperlink>
          </w:p>
        </w:tc>
        <w:tc>
          <w:tcPr>
            <w:tcW w:w="5110" w:type="dxa"/>
            <w:vMerge/>
          </w:tcPr>
          <w:p w14:paraId="323DAC81" w14:textId="4599FFBB" w:rsidR="00237575" w:rsidRPr="00E272CA" w:rsidRDefault="00237575" w:rsidP="00237575">
            <w:pPr>
              <w:tabs>
                <w:tab w:val="left" w:pos="4111"/>
              </w:tabs>
              <w:spacing w:before="0"/>
              <w:ind w:left="426" w:hanging="426"/>
              <w:rPr>
                <w:b/>
              </w:rPr>
            </w:pPr>
          </w:p>
        </w:tc>
      </w:tr>
      <w:tr w:rsidR="00237575" w:rsidRPr="00E272CA" w14:paraId="640FB6B9" w14:textId="77777777" w:rsidTr="00237575">
        <w:trPr>
          <w:cantSplit/>
        </w:trPr>
        <w:tc>
          <w:tcPr>
            <w:tcW w:w="0" w:type="auto"/>
          </w:tcPr>
          <w:p w14:paraId="15527369" w14:textId="36A9A3A9" w:rsidR="00237575" w:rsidRPr="00E272CA" w:rsidRDefault="00237575" w:rsidP="00237575">
            <w:pPr>
              <w:tabs>
                <w:tab w:val="left" w:pos="4111"/>
              </w:tabs>
              <w:spacing w:before="10"/>
              <w:ind w:left="57"/>
              <w:rPr>
                <w:b/>
                <w:bCs/>
              </w:rPr>
            </w:pPr>
          </w:p>
        </w:tc>
        <w:tc>
          <w:tcPr>
            <w:tcW w:w="3340" w:type="dxa"/>
          </w:tcPr>
          <w:p w14:paraId="172249CE" w14:textId="75CF8EE3" w:rsidR="00237575" w:rsidRPr="00E272CA" w:rsidRDefault="00237575" w:rsidP="00237575">
            <w:pPr>
              <w:tabs>
                <w:tab w:val="left" w:pos="4111"/>
              </w:tabs>
              <w:spacing w:before="0"/>
              <w:ind w:left="57"/>
            </w:pPr>
          </w:p>
        </w:tc>
        <w:tc>
          <w:tcPr>
            <w:tcW w:w="5110" w:type="dxa"/>
            <w:vMerge/>
          </w:tcPr>
          <w:p w14:paraId="19762254" w14:textId="67DB34E6" w:rsidR="00237575" w:rsidRPr="00E272CA" w:rsidRDefault="00237575" w:rsidP="00237575">
            <w:pPr>
              <w:tabs>
                <w:tab w:val="clear" w:pos="794"/>
                <w:tab w:val="left" w:pos="4111"/>
              </w:tabs>
              <w:spacing w:before="0"/>
              <w:ind w:left="426" w:hanging="426"/>
            </w:pPr>
          </w:p>
        </w:tc>
      </w:tr>
      <w:tr w:rsidR="00237575" w:rsidRPr="00E272CA" w14:paraId="5435C04A" w14:textId="77777777" w:rsidTr="00C41B89">
        <w:trPr>
          <w:cantSplit/>
          <w:trHeight w:val="397"/>
        </w:trPr>
        <w:tc>
          <w:tcPr>
            <w:tcW w:w="0" w:type="auto"/>
          </w:tcPr>
          <w:p w14:paraId="2A0B9B4F" w14:textId="77777777" w:rsidR="00237575" w:rsidRPr="00E272CA" w:rsidRDefault="00237575" w:rsidP="00237575">
            <w:pPr>
              <w:tabs>
                <w:tab w:val="left" w:pos="4111"/>
              </w:tabs>
              <w:ind w:left="57"/>
              <w:rPr>
                <w:b/>
                <w:bCs/>
                <w:szCs w:val="22"/>
              </w:rPr>
            </w:pPr>
            <w:r w:rsidRPr="00E272CA">
              <w:rPr>
                <w:b/>
                <w:bCs/>
                <w:szCs w:val="22"/>
              </w:rPr>
              <w:t>Objet:</w:t>
            </w:r>
          </w:p>
        </w:tc>
        <w:tc>
          <w:tcPr>
            <w:tcW w:w="0" w:type="auto"/>
            <w:gridSpan w:val="2"/>
          </w:tcPr>
          <w:p w14:paraId="1A51EE75" w14:textId="772D40A7" w:rsidR="00237575" w:rsidRPr="00E272CA" w:rsidRDefault="00237575" w:rsidP="00237575">
            <w:pPr>
              <w:tabs>
                <w:tab w:val="left" w:pos="4111"/>
              </w:tabs>
              <w:spacing w:after="120"/>
              <w:ind w:left="57"/>
              <w:rPr>
                <w:b/>
                <w:bCs/>
                <w:szCs w:val="22"/>
              </w:rPr>
            </w:pPr>
            <w:r w:rsidRPr="00E272CA">
              <w:rPr>
                <w:b/>
                <w:bCs/>
                <w:szCs w:val="22"/>
              </w:rPr>
              <w:t>Proposition de suppression des Recommandations UIT-T A.4 (2012) et A.6 (2012) conformément à la décision prise par le GCNT à sa réunion du 26 janvier 2024</w:t>
            </w:r>
          </w:p>
        </w:tc>
      </w:tr>
    </w:tbl>
    <w:p w14:paraId="0D662ED8" w14:textId="77777777" w:rsidR="00237575" w:rsidRPr="00E272CA" w:rsidRDefault="00237575" w:rsidP="00237575">
      <w:pPr>
        <w:pStyle w:val="Normalaftertitle"/>
      </w:pPr>
      <w:bookmarkStart w:id="1" w:name="StartTyping_F"/>
      <w:bookmarkEnd w:id="1"/>
      <w:r w:rsidRPr="00E272CA">
        <w:t>Madame, Monsieur,</w:t>
      </w:r>
    </w:p>
    <w:p w14:paraId="241FC21A" w14:textId="2C83B83D" w:rsidR="00237575" w:rsidRPr="00E272CA" w:rsidRDefault="00237575" w:rsidP="00237575">
      <w:r w:rsidRPr="00E272CA">
        <w:t>1</w:t>
      </w:r>
      <w:r w:rsidRPr="00E272CA">
        <w:tab/>
        <w:t>À la demande du Président du GCNT (</w:t>
      </w:r>
      <w:r w:rsidRPr="00E272CA">
        <w:rPr>
          <w:i/>
          <w:iCs/>
        </w:rPr>
        <w:t>Groupe consultatif de la normalisation des télécommunications</w:t>
      </w:r>
      <w:r w:rsidRPr="00E272CA">
        <w:t>), j'ai l'honneur de vous informer que ledit groupe, lors de sa réunion tenue du 22 au 26 janvier 2024, a décidé de supprimer les Recommandations UIT-T A.4 (2012) et</w:t>
      </w:r>
      <w:r w:rsidR="00E272CA" w:rsidRPr="00E272CA">
        <w:t> </w:t>
      </w:r>
      <w:r w:rsidRPr="00E272CA">
        <w:t>A.6</w:t>
      </w:r>
      <w:r w:rsidR="00E272CA" w:rsidRPr="00E272CA">
        <w:t> </w:t>
      </w:r>
      <w:r w:rsidRPr="00E272CA">
        <w:t>(2012), conformément aux dispositions du § 9.8.2, section 9 de la Résolution 1 de l'AMNT (Rév. Genève, 2022), de façon coordonnée avec l'approbation (selon la procédure d'approbation traditionnelle) du projet de nouvelle Recommandation UIT-T A.24 (</w:t>
      </w:r>
      <w:r w:rsidRPr="00E272CA">
        <w:rPr>
          <w:i/>
          <w:iCs/>
        </w:rPr>
        <w:t>Collaboration et échange d'informations avec d'autres organisations</w:t>
      </w:r>
      <w:r w:rsidRPr="00E272CA">
        <w:t>). Quarante-deux États Membres et vingt</w:t>
      </w:r>
      <w:r w:rsidRPr="00E272CA">
        <w:noBreakHyphen/>
        <w:t>quatre Membres du Secteur ont participé à la réunion et aucune objection n</w:t>
      </w:r>
      <w:r w:rsidR="00E272CA" w:rsidRPr="00E272CA">
        <w:t>'</w:t>
      </w:r>
      <w:r w:rsidRPr="00E272CA">
        <w:t>a été émise contre cette décision.</w:t>
      </w:r>
    </w:p>
    <w:p w14:paraId="71662AAC" w14:textId="77777777" w:rsidR="00237575" w:rsidRPr="00E272CA" w:rsidRDefault="00237575" w:rsidP="00237575">
      <w:r w:rsidRPr="00E272CA">
        <w:t>2</w:t>
      </w:r>
      <w:r w:rsidRPr="00E272CA">
        <w:tab/>
        <w:t>L'</w:t>
      </w:r>
      <w:r w:rsidRPr="00E272CA">
        <w:rPr>
          <w:b/>
          <w:bCs/>
        </w:rPr>
        <w:t>Annexe 1</w:t>
      </w:r>
      <w:r w:rsidRPr="00E272CA">
        <w:t xml:space="preserve"> donne des informations sur cette décision et contient un résumé explicatif des motifs de la suppression.</w:t>
      </w:r>
    </w:p>
    <w:p w14:paraId="777FF068" w14:textId="0EEA7A67" w:rsidR="00237575" w:rsidRPr="00E272CA" w:rsidRDefault="00237575" w:rsidP="00237575">
      <w:r w:rsidRPr="00E272CA">
        <w:t>3</w:t>
      </w:r>
      <w:r w:rsidRPr="00E272CA">
        <w:tab/>
        <w:t xml:space="preserve">Eu égard aux dispositions de la section 9 de la Résolution 1, je vous serais reconnaissant de bien vouloir m'informer d'ici au </w:t>
      </w:r>
      <w:r w:rsidRPr="00E272CA">
        <w:rPr>
          <w:b/>
          <w:bCs/>
        </w:rPr>
        <w:t>jeudi 1er août 2024</w:t>
      </w:r>
      <w:r w:rsidRPr="00E272CA">
        <w:t>, à 24 heures UTC au plus tard, si votre administration/organisation approuve ou rejette cette suppression.</w:t>
      </w:r>
    </w:p>
    <w:p w14:paraId="0236C397" w14:textId="77777777" w:rsidR="00237575" w:rsidRPr="00E272CA" w:rsidRDefault="00237575" w:rsidP="00237575">
      <w:r w:rsidRPr="00E272CA">
        <w:tab/>
        <w:t>Au cas où des États Membres ou des Membres du Secteur estimeraient que la suppression ne doit pas être acceptée, ils devraient indiquer le motif de leur désaccord et la question serait renvoyée à la Commission d'études.</w:t>
      </w:r>
    </w:p>
    <w:p w14:paraId="09FA2A70" w14:textId="77777777" w:rsidR="00237575" w:rsidRPr="00E272CA" w:rsidRDefault="00237575" w:rsidP="00237575">
      <w:r w:rsidRPr="00E272CA">
        <w:t>4</w:t>
      </w:r>
      <w:r w:rsidRPr="00E272CA">
        <w:tab/>
        <w:t>Après la date limite mentionnée au point 3 ci-dessus, le Directeur du TSB fera connaître, dans une circulaire, le résultat de la consultation. Cette information sera également publiée dans le Bulletin d'exploitation de l'UIT.</w:t>
      </w:r>
    </w:p>
    <w:p w14:paraId="5D3AAF1B" w14:textId="77777777" w:rsidR="00237575" w:rsidRPr="00E272CA" w:rsidRDefault="00237575" w:rsidP="00237575">
      <w:pPr>
        <w:keepNext/>
        <w:keepLines/>
      </w:pPr>
      <w:r w:rsidRPr="00E272CA">
        <w:lastRenderedPageBreak/>
        <w:t>Veuillez agréer, Madame, Monsieur, l'assurance de ma considération distinguée.</w:t>
      </w:r>
    </w:p>
    <w:p w14:paraId="2F5C73EB" w14:textId="77777777" w:rsidR="00237575" w:rsidRPr="00E272CA" w:rsidRDefault="00237575" w:rsidP="00237575">
      <w:pPr>
        <w:keepNext/>
        <w:keepLines/>
        <w:spacing w:before="480" w:after="480"/>
      </w:pPr>
      <w:r w:rsidRPr="00E272CA">
        <w:t>(</w:t>
      </w:r>
      <w:r w:rsidRPr="00E272CA">
        <w:rPr>
          <w:i/>
          <w:iCs/>
        </w:rPr>
        <w:t>signé</w:t>
      </w:r>
      <w:r w:rsidRPr="00E272CA">
        <w:t>)</w:t>
      </w:r>
    </w:p>
    <w:p w14:paraId="70839855" w14:textId="5B7F0D3F" w:rsidR="00237575" w:rsidRPr="00E272CA" w:rsidRDefault="00237575" w:rsidP="00237575">
      <w:r w:rsidRPr="00E272CA">
        <w:t>Seizo Onoe</w:t>
      </w:r>
      <w:r w:rsidRPr="00E272CA">
        <w:br/>
        <w:t>Directeur du Bureau de la normalisation</w:t>
      </w:r>
      <w:r w:rsidRPr="00E272CA">
        <w:br/>
        <w:t>des télécommunications</w:t>
      </w:r>
    </w:p>
    <w:p w14:paraId="2D1EC328" w14:textId="342C15B6" w:rsidR="00517A03" w:rsidRPr="00E272CA" w:rsidRDefault="00237575" w:rsidP="00237575">
      <w:pPr>
        <w:spacing w:before="840"/>
      </w:pPr>
      <w:r w:rsidRPr="00E272CA">
        <w:rPr>
          <w:b/>
          <w:bCs/>
        </w:rPr>
        <w:t>Annexe</w:t>
      </w:r>
      <w:r w:rsidRPr="00E272CA">
        <w:t>: 1</w:t>
      </w:r>
    </w:p>
    <w:p w14:paraId="601A1E45" w14:textId="77777777" w:rsidR="002937DB" w:rsidRPr="00E272CA" w:rsidRDefault="002937DB">
      <w:pPr>
        <w:tabs>
          <w:tab w:val="clear" w:pos="794"/>
          <w:tab w:val="clear" w:pos="1191"/>
          <w:tab w:val="clear" w:pos="1588"/>
          <w:tab w:val="clear" w:pos="1985"/>
        </w:tabs>
        <w:overflowPunct/>
        <w:autoSpaceDE/>
        <w:autoSpaceDN/>
        <w:adjustRightInd/>
        <w:spacing w:before="0"/>
        <w:textAlignment w:val="auto"/>
        <w:rPr>
          <w:bCs/>
        </w:rPr>
      </w:pPr>
      <w:r w:rsidRPr="00E272CA">
        <w:rPr>
          <w:bCs/>
        </w:rPr>
        <w:br w:type="page"/>
      </w:r>
    </w:p>
    <w:p w14:paraId="383B782F" w14:textId="77777777" w:rsidR="00CC1F22" w:rsidRPr="00E272CA" w:rsidRDefault="00CC1F22" w:rsidP="00DD4E98">
      <w:pPr>
        <w:pStyle w:val="AnnexTitle"/>
      </w:pPr>
      <w:r w:rsidRPr="00E272CA">
        <w:lastRenderedPageBreak/>
        <w:t>ANNEXE 1</w:t>
      </w:r>
    </w:p>
    <w:p w14:paraId="5C7E61DD" w14:textId="77777777" w:rsidR="00CC1F22" w:rsidRPr="00E272CA" w:rsidRDefault="00CC1F22" w:rsidP="00CC1F22">
      <w:pPr>
        <w:pStyle w:val="AnnexTitle"/>
      </w:pPr>
      <w:r w:rsidRPr="00E272CA">
        <w:t>Recommandations qu'il est proposé de supprimer: UIT-T A.4 (2012) et A.6 (2012)</w:t>
      </w:r>
    </w:p>
    <w:p w14:paraId="1AA81013" w14:textId="77777777" w:rsidR="00CC1F22" w:rsidRPr="00E272CA" w:rsidRDefault="00CC1F22" w:rsidP="00CC1F22">
      <w:pPr>
        <w:pStyle w:val="headingb"/>
        <w:spacing w:before="480"/>
      </w:pPr>
      <w:r w:rsidRPr="00E272CA">
        <w:t xml:space="preserve">Recommandation UIT-T A.4 (2012), </w:t>
      </w:r>
      <w:r w:rsidRPr="00E272CA">
        <w:rPr>
          <w:i/>
          <w:iCs/>
        </w:rPr>
        <w:t>Processus de communication entre le Secteur de la normalisation des télécommunications de l'UIT et les forums et consortiums</w:t>
      </w:r>
    </w:p>
    <w:p w14:paraId="3C7D62F9" w14:textId="77777777" w:rsidR="00CC1F22" w:rsidRPr="00E272CA" w:rsidRDefault="00CC1F22" w:rsidP="00E272CA">
      <w:pPr>
        <w:pStyle w:val="headingb"/>
        <w:tabs>
          <w:tab w:val="clear" w:pos="2127"/>
          <w:tab w:val="clear" w:pos="2410"/>
          <w:tab w:val="left" w:pos="2268"/>
        </w:tabs>
      </w:pPr>
      <w:r w:rsidRPr="00E272CA">
        <w:t>Date d'approbation:</w:t>
      </w:r>
      <w:r w:rsidRPr="00E272CA">
        <w:tab/>
        <w:t>30-11-2012</w:t>
      </w:r>
    </w:p>
    <w:p w14:paraId="314ABB88" w14:textId="77777777" w:rsidR="00CC1F22" w:rsidRPr="00E272CA" w:rsidRDefault="00CC1F22" w:rsidP="00CC1F22">
      <w:pPr>
        <w:pStyle w:val="headingb"/>
      </w:pPr>
      <w:r w:rsidRPr="00E272CA">
        <w:t>Résumé</w:t>
      </w:r>
    </w:p>
    <w:p w14:paraId="1B09186A" w14:textId="77777777" w:rsidR="00CC1F22" w:rsidRPr="00E272CA" w:rsidRDefault="00CC1F22" w:rsidP="00CC1F22">
      <w:r w:rsidRPr="00E272CA">
        <w:t>Cette Recommandation décrit comment engager un processus de communication entre l'UIT-T et un forum/consortium. Elle donne la liste des critères d'habilitation A.4 pour les forums/consortiums et décrit l'échange de documents entre les forums/consortiums habilités A.4 et l'UIT-T.</w:t>
      </w:r>
    </w:p>
    <w:p w14:paraId="0EC1C95D" w14:textId="77777777" w:rsidR="00CC1F22" w:rsidRPr="00E272CA" w:rsidRDefault="00CC1F22" w:rsidP="00CC1F22">
      <w:pPr>
        <w:pStyle w:val="headingb"/>
        <w:spacing w:before="480"/>
      </w:pPr>
      <w:r w:rsidRPr="00E272CA">
        <w:t xml:space="preserve">Recommandation UIT-T A.6 (2012), </w:t>
      </w:r>
      <w:r w:rsidRPr="00E272CA">
        <w:rPr>
          <w:i/>
          <w:iCs/>
        </w:rPr>
        <w:t>Coopération et échange d'informations entre le Secteur de la normalisation des télécommunications de l'UIT et les organisations de normalisation régionales et nationales</w:t>
      </w:r>
    </w:p>
    <w:p w14:paraId="3B56B693" w14:textId="77777777" w:rsidR="00CC1F22" w:rsidRPr="00E272CA" w:rsidRDefault="00CC1F22" w:rsidP="00E272CA">
      <w:pPr>
        <w:pStyle w:val="headingb"/>
        <w:tabs>
          <w:tab w:val="clear" w:pos="2127"/>
          <w:tab w:val="clear" w:pos="2410"/>
          <w:tab w:val="left" w:pos="2268"/>
        </w:tabs>
      </w:pPr>
      <w:r w:rsidRPr="00E272CA">
        <w:t>Date d'approbation:</w:t>
      </w:r>
      <w:r w:rsidRPr="00E272CA">
        <w:tab/>
        <w:t>30-11-2012</w:t>
      </w:r>
    </w:p>
    <w:p w14:paraId="08A6EB50" w14:textId="77777777" w:rsidR="00CC1F22" w:rsidRPr="00E272CA" w:rsidRDefault="00CC1F22" w:rsidP="00CC1F22">
      <w:pPr>
        <w:pStyle w:val="headingb"/>
      </w:pPr>
      <w:r w:rsidRPr="00E272CA">
        <w:t>Résumé</w:t>
      </w:r>
    </w:p>
    <w:p w14:paraId="069E219A" w14:textId="77777777" w:rsidR="00CC1F22" w:rsidRPr="00E272CA" w:rsidRDefault="00CC1F22" w:rsidP="00CC1F22">
      <w:r w:rsidRPr="00E272CA">
        <w:t>Cette Recommandation décrit l'engagement du processus de coopération et d'échange d'informations entre l'UIT-T et les organisations de normalisation régionales et nationales ainsi que le processus de communication une fois qu'une organisation a été habilitée A.6.</w:t>
      </w:r>
    </w:p>
    <w:p w14:paraId="53A751E0" w14:textId="77777777" w:rsidR="00CC1F22" w:rsidRPr="00E272CA" w:rsidRDefault="00CC1F22" w:rsidP="00CC1F22">
      <w:pPr>
        <w:pStyle w:val="headingb"/>
        <w:spacing w:before="480"/>
      </w:pPr>
      <w:r w:rsidRPr="00E272CA">
        <w:t>Résumé explicatif des motifs de la suppression des Recommandations UIT-T A.4 et A.6</w:t>
      </w:r>
    </w:p>
    <w:p w14:paraId="54FCDA50" w14:textId="552BFD3B" w:rsidR="00CC1F22" w:rsidRPr="00E272CA" w:rsidRDefault="00CC1F22" w:rsidP="00CC1F22">
      <w:r w:rsidRPr="00E272CA">
        <w:t xml:space="preserve">Toutes les dispositions pertinentes des Recommandations UIT-T A.4 et UIT-T A.6 sont déjà couvertes aussi bien dans les Recommandations UIT-T A.5 et A.25 que dans le projet de nouvelle Recommandation UIT-T A.24, qui est actuellement en cours d'approbation selon la procédure d'approbation traditionnelle (TAP) (voir la </w:t>
      </w:r>
      <w:hyperlink r:id="rId10" w:history="1">
        <w:r w:rsidRPr="00E272CA">
          <w:rPr>
            <w:rStyle w:val="Hyperlink"/>
          </w:rPr>
          <w:t>Circulaire TSB 203</w:t>
        </w:r>
      </w:hyperlink>
      <w:r w:rsidRPr="00E272CA">
        <w:t>).</w:t>
      </w:r>
    </w:p>
    <w:p w14:paraId="03500409" w14:textId="2DBFC9AB" w:rsidR="00CC1F22" w:rsidRPr="00E272CA" w:rsidRDefault="00CC1F22" w:rsidP="00CC1F22">
      <w:r w:rsidRPr="00E272CA">
        <w:t>À la réunion du GCNT tenue à Genève du 22 au 26 janvier 2024, il a été convenu que la procédure de suppression des Recommandations UIT-T A.4 et A.6 débuterait trois mois avant la réunion du GCNT qui se tiendra à Genève du 29 juillet au 2 août 2024 (de sorte que la suppression entrera en vigueur au moment où le GCNT examinera l</w:t>
      </w:r>
      <w:r w:rsidR="00E272CA" w:rsidRPr="00E272CA">
        <w:t>'</w:t>
      </w:r>
      <w:r w:rsidRPr="00E272CA">
        <w:t>approbation de la Recommandation UIT T A.24).</w:t>
      </w:r>
    </w:p>
    <w:p w14:paraId="2FB77FFF" w14:textId="25B170D9" w:rsidR="00CC1F22" w:rsidRPr="00E272CA" w:rsidRDefault="00CC1F22" w:rsidP="00CC1F22">
      <w:r w:rsidRPr="00E272CA">
        <w:t>Pour plus d</w:t>
      </w:r>
      <w:r w:rsidR="00E272CA" w:rsidRPr="00E272CA">
        <w:t>'</w:t>
      </w:r>
      <w:r w:rsidRPr="00E272CA">
        <w:t>informations sur les motifs justifiant ces suppressions, consultez les Documents </w:t>
      </w:r>
      <w:hyperlink r:id="rId11" w:history="1">
        <w:r w:rsidRPr="00E272CA">
          <w:rPr>
            <w:rStyle w:val="Hyperlink"/>
          </w:rPr>
          <w:t>TSAG TD394R1</w:t>
        </w:r>
      </w:hyperlink>
      <w:r w:rsidRPr="00E272CA">
        <w:t xml:space="preserve"> et </w:t>
      </w:r>
      <w:hyperlink r:id="rId12" w:history="1">
        <w:r w:rsidRPr="00E272CA">
          <w:rPr>
            <w:rStyle w:val="Hyperlink"/>
          </w:rPr>
          <w:t>TSAG-R4</w:t>
        </w:r>
      </w:hyperlink>
      <w:r w:rsidRPr="00E272CA">
        <w:t>.</w:t>
      </w:r>
    </w:p>
    <w:p w14:paraId="3B647157" w14:textId="4467A50F" w:rsidR="00517A03" w:rsidRPr="00E272CA" w:rsidRDefault="00CC1F22" w:rsidP="00CC1F22">
      <w:r w:rsidRPr="00E272CA">
        <w:t xml:space="preserve">NOTE: </w:t>
      </w:r>
      <w:r w:rsidR="00B5685A">
        <w:t>l</w:t>
      </w:r>
      <w:r w:rsidRPr="00E272CA">
        <w:t>e projet de nouvelle Recommandation UIT-T A.24 a été élaboré sur la base du Supplément 5 aux Recommandations UIT-T de la Série A, que le GCNT prévoit également de supprimer dès l'approbation que ledit projet de nouvelle Recommandation aura été approuvé (voir le Document </w:t>
      </w:r>
      <w:hyperlink r:id="rId13" w:history="1">
        <w:r w:rsidRPr="00E272CA">
          <w:rPr>
            <w:rStyle w:val="Hyperlink"/>
          </w:rPr>
          <w:t>TSAG-TD317R5</w:t>
        </w:r>
      </w:hyperlink>
      <w:r w:rsidRPr="00E272CA">
        <w:t>).</w:t>
      </w:r>
    </w:p>
    <w:p w14:paraId="2AADCB1B" w14:textId="377DE589" w:rsidR="00CC1F22" w:rsidRPr="00E272CA" w:rsidRDefault="00CC1F22" w:rsidP="00CC1F22">
      <w:pPr>
        <w:jc w:val="center"/>
      </w:pPr>
      <w:r w:rsidRPr="00E272CA">
        <w:t>______________</w:t>
      </w:r>
    </w:p>
    <w:sectPr w:rsidR="00CC1F22" w:rsidRPr="00E272CA" w:rsidSect="00A15179">
      <w:headerReference w:type="even" r:id="rId14"/>
      <w:headerReference w:type="default" r:id="rId15"/>
      <w:footerReference w:type="even" r:id="rId16"/>
      <w:footerReference w:type="default" r:id="rId17"/>
      <w:headerReference w:type="first" r:id="rId18"/>
      <w:footerReference w:type="first" r:id="rId19"/>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87419" w14:textId="77777777" w:rsidR="004419E9" w:rsidRDefault="004419E9">
      <w:r>
        <w:separator/>
      </w:r>
    </w:p>
  </w:endnote>
  <w:endnote w:type="continuationSeparator" w:id="0">
    <w:p w14:paraId="31479BA6" w14:textId="77777777" w:rsidR="004419E9" w:rsidRDefault="00441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051C0" w14:textId="77777777" w:rsidR="001422A7" w:rsidRDefault="001422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52736" w14:textId="0C2321EF" w:rsidR="00697BC1" w:rsidRPr="001422A7" w:rsidRDefault="00697BC1" w:rsidP="001422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1A9C5" w14:textId="77777777" w:rsidR="005120A2" w:rsidRPr="003E66AD"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w:t>
    </w:r>
    <w:r w:rsidR="00085F5A" w:rsidRPr="003E66AD">
      <w:rPr>
        <w:color w:val="0070C0"/>
        <w:sz w:val="18"/>
        <w:szCs w:val="18"/>
        <w:lang w:val="fr-CH"/>
      </w:rPr>
      <w:t xml:space="preserve"> •</w:t>
    </w:r>
    <w:r w:rsidRPr="003E66AD">
      <w:rPr>
        <w:color w:val="0070C0"/>
        <w:sz w:val="18"/>
        <w:szCs w:val="18"/>
        <w:lang w:val="fr-CH"/>
      </w:rPr>
      <w:t xml:space="preserve"> CH</w:t>
    </w:r>
    <w:r w:rsidRPr="003E66AD">
      <w:rPr>
        <w:color w:val="0070C0"/>
        <w:sz w:val="18"/>
        <w:szCs w:val="18"/>
        <w:lang w:val="fr-CH"/>
      </w:rPr>
      <w:noBreakHyphen/>
      <w:t>1211 Genève 20</w:t>
    </w:r>
    <w:r w:rsidR="00085F5A" w:rsidRPr="003E66AD">
      <w:rPr>
        <w:color w:val="0070C0"/>
        <w:sz w:val="18"/>
        <w:szCs w:val="18"/>
        <w:lang w:val="fr-CH"/>
      </w:rPr>
      <w:t xml:space="preserve"> •</w:t>
    </w:r>
    <w:r w:rsidRPr="003E66AD">
      <w:rPr>
        <w:color w:val="0070C0"/>
        <w:sz w:val="18"/>
        <w:szCs w:val="18"/>
        <w:lang w:val="fr-CH"/>
      </w:rPr>
      <w:t xml:space="preserve"> Suisse </w:t>
    </w:r>
    <w:r w:rsidRPr="003E66AD">
      <w:rPr>
        <w:color w:val="0070C0"/>
        <w:sz w:val="18"/>
        <w:szCs w:val="18"/>
        <w:lang w:val="fr-CH"/>
      </w:rPr>
      <w:br/>
      <w:t>Tél</w:t>
    </w:r>
    <w:r w:rsidR="00085F5A" w:rsidRPr="003E66AD">
      <w:rPr>
        <w:color w:val="0070C0"/>
        <w:sz w:val="18"/>
        <w:szCs w:val="18"/>
        <w:lang w:val="fr-CH"/>
      </w:rPr>
      <w:t>.</w:t>
    </w:r>
    <w:r w:rsidRPr="003E66AD">
      <w:rPr>
        <w:color w:val="0070C0"/>
        <w:sz w:val="18"/>
        <w:szCs w:val="18"/>
        <w:lang w:val="fr-CH"/>
      </w:rPr>
      <w:t xml:space="preserve">: +41 22 730 5111 • Fax: +41 22 733 7256 • </w:t>
    </w:r>
    <w:r w:rsidR="00085F5A" w:rsidRPr="003E66AD">
      <w:rPr>
        <w:color w:val="0070C0"/>
        <w:sz w:val="18"/>
        <w:szCs w:val="18"/>
        <w:lang w:val="fr-CH"/>
      </w:rPr>
      <w:t>Courriel</w:t>
    </w:r>
    <w:r w:rsidRPr="003E66AD">
      <w:rPr>
        <w:color w:val="0070C0"/>
        <w:sz w:val="18"/>
        <w:szCs w:val="18"/>
        <w:lang w:val="fr-CH"/>
      </w:rPr>
      <w:t xml:space="preserve">: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r w:rsidRPr="003E66AD">
      <w:rPr>
        <w:color w:val="0070C0"/>
        <w:sz w:val="18"/>
        <w:szCs w:val="18"/>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9D309" w14:textId="77777777" w:rsidR="004419E9" w:rsidRDefault="004419E9">
      <w:r>
        <w:t>____________________</w:t>
      </w:r>
    </w:p>
  </w:footnote>
  <w:footnote w:type="continuationSeparator" w:id="0">
    <w:p w14:paraId="5828E93A" w14:textId="77777777" w:rsidR="004419E9" w:rsidRDefault="00441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0BE55" w14:textId="77777777" w:rsidR="001422A7" w:rsidRDefault="001422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D5492" w14:textId="5F135B46" w:rsidR="00697BC1" w:rsidRPr="00697BC1" w:rsidRDefault="001422A7" w:rsidP="00697BC1">
    <w:pPr>
      <w:pStyle w:val="Header"/>
      <w:rPr>
        <w:sz w:val="18"/>
        <w:szCs w:val="16"/>
      </w:rPr>
    </w:pPr>
    <w:sdt>
      <w:sdtPr>
        <w:rPr>
          <w:sz w:val="18"/>
          <w:szCs w:val="16"/>
        </w:rPr>
        <w:id w:val="526448189"/>
        <w:docPartObj>
          <w:docPartGallery w:val="Page Numbers (Top of Page)"/>
          <w:docPartUnique/>
        </w:docPartObj>
      </w:sdtPr>
      <w:sdtEndPr>
        <w:rPr>
          <w:noProof/>
        </w:rPr>
      </w:sdtEndPr>
      <w:sdtContent>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036F4F">
          <w:rPr>
            <w:noProof/>
            <w:sz w:val="18"/>
            <w:szCs w:val="16"/>
          </w:rPr>
          <w:t>2</w:t>
        </w:r>
        <w:r w:rsidR="00697BC1" w:rsidRPr="00697BC1">
          <w:rPr>
            <w:noProof/>
            <w:sz w:val="18"/>
            <w:szCs w:val="16"/>
          </w:rPr>
          <w:fldChar w:fldCharType="end"/>
        </w:r>
      </w:sdtContent>
    </w:sdt>
    <w:r w:rsidR="00AF0D7D">
      <w:rPr>
        <w:noProof/>
        <w:sz w:val="18"/>
        <w:szCs w:val="16"/>
      </w:rPr>
      <w:br/>
      <w:t xml:space="preserve">Circulaire TSB </w:t>
    </w:r>
    <w:r w:rsidR="00CC1F22">
      <w:rPr>
        <w:noProof/>
        <w:sz w:val="18"/>
        <w:szCs w:val="16"/>
      </w:rPr>
      <w:t>179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58716" w14:textId="77777777" w:rsidR="001422A7" w:rsidRDefault="001422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5120867">
    <w:abstractNumId w:val="1"/>
  </w:num>
  <w:num w:numId="2" w16cid:durableId="2119984868">
    <w:abstractNumId w:val="3"/>
  </w:num>
  <w:num w:numId="3" w16cid:durableId="2075545744">
    <w:abstractNumId w:val="2"/>
  </w:num>
  <w:num w:numId="4" w16cid:durableId="1871449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E9"/>
    <w:rsid w:val="000039EE"/>
    <w:rsid w:val="00005622"/>
    <w:rsid w:val="0002519E"/>
    <w:rsid w:val="00035B43"/>
    <w:rsid w:val="00036F4F"/>
    <w:rsid w:val="000758B3"/>
    <w:rsid w:val="00085F5A"/>
    <w:rsid w:val="000B0D96"/>
    <w:rsid w:val="000B59D8"/>
    <w:rsid w:val="000C1F6B"/>
    <w:rsid w:val="000C25CC"/>
    <w:rsid w:val="000C56BE"/>
    <w:rsid w:val="001026FD"/>
    <w:rsid w:val="001077FD"/>
    <w:rsid w:val="00115DD7"/>
    <w:rsid w:val="001422A7"/>
    <w:rsid w:val="00167472"/>
    <w:rsid w:val="00167F92"/>
    <w:rsid w:val="00173738"/>
    <w:rsid w:val="001B79A3"/>
    <w:rsid w:val="002152A3"/>
    <w:rsid w:val="0023667A"/>
    <w:rsid w:val="00237575"/>
    <w:rsid w:val="002937DB"/>
    <w:rsid w:val="002E395D"/>
    <w:rsid w:val="00307FB4"/>
    <w:rsid w:val="003131F0"/>
    <w:rsid w:val="00333A80"/>
    <w:rsid w:val="00341117"/>
    <w:rsid w:val="00364E95"/>
    <w:rsid w:val="00372875"/>
    <w:rsid w:val="003742F8"/>
    <w:rsid w:val="003B1E80"/>
    <w:rsid w:val="003B66E8"/>
    <w:rsid w:val="003E66AD"/>
    <w:rsid w:val="004033F1"/>
    <w:rsid w:val="00414B0C"/>
    <w:rsid w:val="00423C21"/>
    <w:rsid w:val="004257AC"/>
    <w:rsid w:val="0043711B"/>
    <w:rsid w:val="004419E9"/>
    <w:rsid w:val="00445B68"/>
    <w:rsid w:val="0048088B"/>
    <w:rsid w:val="004977C9"/>
    <w:rsid w:val="004B732E"/>
    <w:rsid w:val="004D51F4"/>
    <w:rsid w:val="004D64E0"/>
    <w:rsid w:val="005120A2"/>
    <w:rsid w:val="0051210D"/>
    <w:rsid w:val="005136D2"/>
    <w:rsid w:val="00517A03"/>
    <w:rsid w:val="005A3DD9"/>
    <w:rsid w:val="005B1DFC"/>
    <w:rsid w:val="00601682"/>
    <w:rsid w:val="00603470"/>
    <w:rsid w:val="00625E79"/>
    <w:rsid w:val="006333F7"/>
    <w:rsid w:val="006427A1"/>
    <w:rsid w:val="00644741"/>
    <w:rsid w:val="00697BC1"/>
    <w:rsid w:val="006A6FFE"/>
    <w:rsid w:val="006C5A91"/>
    <w:rsid w:val="006F52F7"/>
    <w:rsid w:val="00716BBC"/>
    <w:rsid w:val="007321BC"/>
    <w:rsid w:val="00760063"/>
    <w:rsid w:val="00775E4B"/>
    <w:rsid w:val="0079553B"/>
    <w:rsid w:val="00795679"/>
    <w:rsid w:val="007A40FE"/>
    <w:rsid w:val="00810105"/>
    <w:rsid w:val="008157E0"/>
    <w:rsid w:val="00850477"/>
    <w:rsid w:val="00854E1D"/>
    <w:rsid w:val="00887FA6"/>
    <w:rsid w:val="008C4397"/>
    <w:rsid w:val="008C465A"/>
    <w:rsid w:val="008F2C9B"/>
    <w:rsid w:val="00923CD6"/>
    <w:rsid w:val="00935AA8"/>
    <w:rsid w:val="00971C9A"/>
    <w:rsid w:val="009D51FA"/>
    <w:rsid w:val="009F1E23"/>
    <w:rsid w:val="00A15179"/>
    <w:rsid w:val="00A51537"/>
    <w:rsid w:val="00A5280F"/>
    <w:rsid w:val="00A5645A"/>
    <w:rsid w:val="00A60FC1"/>
    <w:rsid w:val="00A97C37"/>
    <w:rsid w:val="00AA131B"/>
    <w:rsid w:val="00AC37B5"/>
    <w:rsid w:val="00AD752F"/>
    <w:rsid w:val="00AF08A4"/>
    <w:rsid w:val="00AF0D7D"/>
    <w:rsid w:val="00B27B41"/>
    <w:rsid w:val="00B42659"/>
    <w:rsid w:val="00B46F2D"/>
    <w:rsid w:val="00B5685A"/>
    <w:rsid w:val="00B60868"/>
    <w:rsid w:val="00B8573E"/>
    <w:rsid w:val="00BB24C0"/>
    <w:rsid w:val="00BD6ECF"/>
    <w:rsid w:val="00C26F2E"/>
    <w:rsid w:val="00C302E3"/>
    <w:rsid w:val="00C41B89"/>
    <w:rsid w:val="00C45376"/>
    <w:rsid w:val="00C9028F"/>
    <w:rsid w:val="00CA0416"/>
    <w:rsid w:val="00CB1125"/>
    <w:rsid w:val="00CB4E80"/>
    <w:rsid w:val="00CC1F22"/>
    <w:rsid w:val="00CD042E"/>
    <w:rsid w:val="00CF2560"/>
    <w:rsid w:val="00CF5B46"/>
    <w:rsid w:val="00D46B68"/>
    <w:rsid w:val="00D542A5"/>
    <w:rsid w:val="00DC3D47"/>
    <w:rsid w:val="00DD4E98"/>
    <w:rsid w:val="00DD77DA"/>
    <w:rsid w:val="00E06C61"/>
    <w:rsid w:val="00E13DB3"/>
    <w:rsid w:val="00E2408B"/>
    <w:rsid w:val="00E272CA"/>
    <w:rsid w:val="00E62CEA"/>
    <w:rsid w:val="00E72AE1"/>
    <w:rsid w:val="00ED6A7A"/>
    <w:rsid w:val="00EE4C36"/>
    <w:rsid w:val="00EF6A23"/>
    <w:rsid w:val="00F346CE"/>
    <w:rsid w:val="00F34F98"/>
    <w:rsid w:val="00F40540"/>
    <w:rsid w:val="00F67402"/>
    <w:rsid w:val="00F766A2"/>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4031F"/>
  <w15:docId w15:val="{C0C524F5-3929-45CC-8FD1-E984F510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styleId="UnresolvedMention">
    <w:name w:val="Unresolved Mention"/>
    <w:basedOn w:val="DefaultParagraphFont"/>
    <w:uiPriority w:val="99"/>
    <w:semiHidden/>
    <w:unhideWhenUsed/>
    <w:rsid w:val="00307FB4"/>
    <w:rPr>
      <w:color w:val="605E5C"/>
      <w:shd w:val="clear" w:color="auto" w:fill="E1DFDD"/>
    </w:rPr>
  </w:style>
  <w:style w:type="character" w:styleId="FollowedHyperlink">
    <w:name w:val="FollowedHyperlink"/>
    <w:basedOn w:val="DefaultParagraphFont"/>
    <w:semiHidden/>
    <w:unhideWhenUsed/>
    <w:rsid w:val="00307FB4"/>
    <w:rPr>
      <w:color w:val="800080" w:themeColor="followedHyperlink"/>
      <w:u w:val="single"/>
    </w:rPr>
  </w:style>
  <w:style w:type="paragraph" w:customStyle="1" w:styleId="Reasons">
    <w:name w:val="Reasons"/>
    <w:basedOn w:val="Normal"/>
    <w:qFormat/>
    <w:rsid w:val="00CC1F22"/>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md/T22-TSAG-240122-TD-GEN-0317/f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tu.int/md/T22-TSAG-R-0004/f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T22-TSAG-240122-TD-GEN-0394/f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itu.int/md/T22-TSB-CIR-0203/f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tsbtsag@itu.int"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6824F-16C0-45D0-B266-61AC5B6DA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PF_TSB_Circular.dotx</Template>
  <TotalTime>11</TotalTime>
  <Pages>3</Pages>
  <Words>713</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5124</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French</dc:creator>
  <cp:lastModifiedBy>Al-Mnini, Lara</cp:lastModifiedBy>
  <cp:revision>7</cp:revision>
  <cp:lastPrinted>2011-04-15T08:01:00Z</cp:lastPrinted>
  <dcterms:created xsi:type="dcterms:W3CDTF">2024-05-03T14:02:00Z</dcterms:created>
  <dcterms:modified xsi:type="dcterms:W3CDTF">2024-05-08T10:28:00Z</dcterms:modified>
</cp:coreProperties>
</file>