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Y="-449"/>
        <w:tblW w:w="9889" w:type="dxa"/>
        <w:tblLook w:val="04A0" w:firstRow="1" w:lastRow="0" w:firstColumn="1" w:lastColumn="0" w:noHBand="0" w:noVBand="1"/>
      </w:tblPr>
      <w:tblGrid>
        <w:gridCol w:w="1495"/>
        <w:gridCol w:w="3609"/>
        <w:gridCol w:w="4785"/>
      </w:tblGrid>
      <w:tr w:rsidR="0074438F" w:rsidRPr="002A78F0" w14:paraId="67FF3254" w14:textId="77777777" w:rsidTr="0074438F">
        <w:tc>
          <w:tcPr>
            <w:tcW w:w="1134" w:type="dxa"/>
            <w:shd w:val="clear" w:color="auto" w:fill="auto"/>
          </w:tcPr>
          <w:p w14:paraId="68F7CA58" w14:textId="77777777" w:rsidR="0074438F" w:rsidRPr="00930FCB" w:rsidRDefault="00247133" w:rsidP="0074438F">
            <w:pPr>
              <w:pStyle w:val="Header"/>
              <w:spacing w:line="360" w:lineRule="auto"/>
              <w:jc w:val="left"/>
              <w:rPr>
                <w:rFonts w:cs="Calibri"/>
                <w:lang w:val="fr-CH"/>
              </w:rPr>
            </w:pPr>
            <w:r w:rsidRPr="00F1238A">
              <w:rPr>
                <w:noProof/>
                <w:lang w:val="en-US" w:eastAsia="zh-CN"/>
              </w:rPr>
              <w:drawing>
                <wp:inline distT="0" distB="0" distL="0" distR="0" wp14:anchorId="2BA0378A" wp14:editId="3C7F69CC">
                  <wp:extent cx="812165" cy="812165"/>
                  <wp:effectExtent l="0" t="0" r="0" b="0"/>
                  <wp:docPr id="2" name="Picture 2" descr="The International Teleocmmunication Union - Connecting the World.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The International Teleocmmunication Union - Connecting the World." title="ITU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12165" cy="8121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55" w:type="dxa"/>
            <w:shd w:val="clear" w:color="auto" w:fill="auto"/>
            <w:vAlign w:val="center"/>
          </w:tcPr>
          <w:p w14:paraId="051A7900" w14:textId="77777777" w:rsidR="0074438F" w:rsidRPr="00402FF5" w:rsidRDefault="0074438F" w:rsidP="0074438F">
            <w:pPr>
              <w:tabs>
                <w:tab w:val="right" w:pos="8732"/>
              </w:tabs>
              <w:spacing w:before="0"/>
              <w:rPr>
                <w:rFonts w:hAnsi="SimSun"/>
                <w:b/>
                <w:bCs/>
                <w:sz w:val="28"/>
                <w:szCs w:val="28"/>
                <w:lang w:val="fr-CH" w:eastAsia="zh-CN"/>
              </w:rPr>
            </w:pP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国</w:t>
            </w:r>
            <w:r w:rsidRPr="00402FF5">
              <w:rPr>
                <w:rFonts w:hAnsi="SimSun" w:hint="eastAsia"/>
                <w:b/>
                <w:bCs/>
                <w:sz w:val="28"/>
                <w:szCs w:val="28"/>
                <w:lang w:val="fr-CH"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际</w:t>
            </w:r>
            <w:r w:rsidRPr="00402FF5">
              <w:rPr>
                <w:rFonts w:hAnsi="SimSun" w:hint="eastAsia"/>
                <w:b/>
                <w:bCs/>
                <w:sz w:val="28"/>
                <w:szCs w:val="28"/>
                <w:lang w:val="fr-CH"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电</w:t>
            </w:r>
            <w:r w:rsidRPr="00402FF5">
              <w:rPr>
                <w:rFonts w:hAnsi="SimSun" w:hint="eastAsia"/>
                <w:b/>
                <w:bCs/>
                <w:sz w:val="28"/>
                <w:szCs w:val="28"/>
                <w:lang w:val="fr-CH"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信</w:t>
            </w:r>
            <w:r w:rsidRPr="00402FF5">
              <w:rPr>
                <w:rFonts w:hAnsi="SimSun" w:hint="eastAsia"/>
                <w:b/>
                <w:bCs/>
                <w:sz w:val="28"/>
                <w:szCs w:val="28"/>
                <w:lang w:val="fr-CH"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联</w:t>
            </w:r>
            <w:r w:rsidRPr="00402FF5">
              <w:rPr>
                <w:rFonts w:hAnsi="SimSun" w:hint="eastAsia"/>
                <w:b/>
                <w:bCs/>
                <w:sz w:val="28"/>
                <w:szCs w:val="28"/>
                <w:lang w:val="fr-CH" w:eastAsia="zh-CN"/>
              </w:rPr>
              <w:t xml:space="preserve"> </w:t>
            </w:r>
            <w:r w:rsidRPr="00390EC6">
              <w:rPr>
                <w:rFonts w:hAnsi="SimSun" w:hint="eastAsia"/>
                <w:b/>
                <w:bCs/>
                <w:sz w:val="28"/>
                <w:szCs w:val="28"/>
                <w:lang w:eastAsia="zh-CN"/>
              </w:rPr>
              <w:t>盟</w:t>
            </w:r>
          </w:p>
          <w:p w14:paraId="63A09F1C" w14:textId="77777777" w:rsidR="0074438F" w:rsidRPr="00930FCB" w:rsidRDefault="0074438F" w:rsidP="0074438F">
            <w:pPr>
              <w:pStyle w:val="Header"/>
              <w:spacing w:line="360" w:lineRule="auto"/>
              <w:jc w:val="left"/>
              <w:rPr>
                <w:rFonts w:cs="Calibri"/>
                <w:lang w:val="fr-CH" w:eastAsia="zh-CN"/>
              </w:rPr>
            </w:pPr>
            <w:r w:rsidRPr="00B73F4D">
              <w:rPr>
                <w:rFonts w:ascii="SimSun" w:hAnsi="SimSun" w:hint="eastAsia"/>
                <w:b/>
                <w:bCs/>
                <w:sz w:val="28"/>
                <w:szCs w:val="28"/>
                <w:lang w:eastAsia="zh-CN"/>
              </w:rPr>
              <w:t>电信标准化局</w:t>
            </w:r>
          </w:p>
        </w:tc>
        <w:tc>
          <w:tcPr>
            <w:tcW w:w="5000" w:type="dxa"/>
            <w:shd w:val="clear" w:color="auto" w:fill="auto"/>
          </w:tcPr>
          <w:p w14:paraId="2404D229" w14:textId="77777777" w:rsidR="0074438F" w:rsidRPr="00930FCB" w:rsidRDefault="0074438F" w:rsidP="0074438F">
            <w:pPr>
              <w:pStyle w:val="Header"/>
              <w:spacing w:line="360" w:lineRule="auto"/>
              <w:ind w:right="175"/>
              <w:jc w:val="right"/>
              <w:rPr>
                <w:rFonts w:cs="Calibri"/>
                <w:lang w:val="fr-CH" w:eastAsia="zh-CN"/>
              </w:rPr>
            </w:pPr>
          </w:p>
        </w:tc>
      </w:tr>
    </w:tbl>
    <w:p w14:paraId="443AACA3" w14:textId="77777777" w:rsidR="0074438F" w:rsidRPr="00402FF5" w:rsidRDefault="0074438F" w:rsidP="00281589">
      <w:pPr>
        <w:tabs>
          <w:tab w:val="clear" w:pos="794"/>
          <w:tab w:val="clear" w:pos="1191"/>
          <w:tab w:val="clear" w:pos="1588"/>
          <w:tab w:val="clear" w:pos="1985"/>
          <w:tab w:val="left" w:pos="6480"/>
        </w:tabs>
        <w:rPr>
          <w:sz w:val="23"/>
          <w:szCs w:val="23"/>
          <w:lang w:val="fr-CH" w:eastAsia="zh-CN"/>
        </w:rPr>
      </w:pPr>
    </w:p>
    <w:p w14:paraId="19FDC72D" w14:textId="3326F940" w:rsidR="00746E31" w:rsidRPr="0033229B" w:rsidRDefault="00746E31" w:rsidP="00281589">
      <w:pPr>
        <w:tabs>
          <w:tab w:val="clear" w:pos="794"/>
          <w:tab w:val="clear" w:pos="1191"/>
          <w:tab w:val="clear" w:pos="1588"/>
          <w:tab w:val="clear" w:pos="1985"/>
          <w:tab w:val="left" w:pos="6480"/>
        </w:tabs>
        <w:rPr>
          <w:szCs w:val="24"/>
          <w:lang w:eastAsia="zh-CN"/>
        </w:rPr>
      </w:pPr>
      <w:r w:rsidRPr="00402FF5">
        <w:rPr>
          <w:sz w:val="23"/>
          <w:szCs w:val="23"/>
          <w:lang w:val="fr-CH" w:eastAsia="zh-CN"/>
        </w:rPr>
        <w:tab/>
      </w:r>
      <w:r w:rsidR="00F6669A">
        <w:rPr>
          <w:rFonts w:hint="eastAsia"/>
          <w:sz w:val="22"/>
          <w:szCs w:val="18"/>
          <w:lang w:eastAsia="ja-JP"/>
        </w:rPr>
        <w:t>2024</w:t>
      </w:r>
      <w:r w:rsidR="00F6669A" w:rsidRPr="003B4ACD">
        <w:rPr>
          <w:rFonts w:ascii="SimSun" w:hAnsi="SimSun" w:hint="eastAsia"/>
          <w:sz w:val="22"/>
          <w:szCs w:val="18"/>
          <w:lang w:eastAsia="zh-CN"/>
        </w:rPr>
        <w:t>年</w:t>
      </w:r>
      <w:r w:rsidR="00F6669A">
        <w:rPr>
          <w:rFonts w:hint="eastAsia"/>
          <w:sz w:val="22"/>
          <w:szCs w:val="18"/>
          <w:lang w:eastAsia="zh-CN"/>
        </w:rPr>
        <w:t>5</w:t>
      </w:r>
      <w:r w:rsidR="00F6669A" w:rsidRPr="003B4ACD">
        <w:rPr>
          <w:rFonts w:ascii="SimSun" w:hAnsi="SimSun" w:hint="eastAsia"/>
          <w:sz w:val="22"/>
          <w:szCs w:val="18"/>
          <w:lang w:eastAsia="zh-CN"/>
        </w:rPr>
        <w:t>月</w:t>
      </w:r>
      <w:r w:rsidR="00F6669A">
        <w:rPr>
          <w:rFonts w:hint="eastAsia"/>
          <w:sz w:val="22"/>
          <w:szCs w:val="18"/>
          <w:lang w:eastAsia="zh-CN"/>
        </w:rPr>
        <w:t>1</w:t>
      </w:r>
      <w:r w:rsidR="00F6669A" w:rsidRPr="003B4ACD">
        <w:rPr>
          <w:rFonts w:ascii="SimSun" w:hAnsi="SimSun" w:hint="eastAsia"/>
          <w:sz w:val="22"/>
          <w:szCs w:val="18"/>
          <w:lang w:eastAsia="zh-CN"/>
        </w:rPr>
        <w:t>日，日内瓦</w:t>
      </w:r>
    </w:p>
    <w:p w14:paraId="37CEDAA5" w14:textId="77777777" w:rsidR="00746E31" w:rsidRDefault="00746E31" w:rsidP="00281589">
      <w:pPr>
        <w:spacing w:before="0"/>
        <w:rPr>
          <w:sz w:val="23"/>
          <w:szCs w:val="23"/>
          <w:lang w:eastAsia="zh-CN"/>
        </w:rPr>
      </w:pPr>
    </w:p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68"/>
        <w:gridCol w:w="4402"/>
        <w:gridCol w:w="4103"/>
      </w:tblGrid>
      <w:tr w:rsidR="00746E31" w14:paraId="3050A654" w14:textId="77777777" w:rsidTr="00F6669A">
        <w:trPr>
          <w:cantSplit/>
          <w:trHeight w:val="340"/>
        </w:trPr>
        <w:tc>
          <w:tcPr>
            <w:tcW w:w="1268" w:type="dxa"/>
          </w:tcPr>
          <w:p w14:paraId="15A6C8DB" w14:textId="77777777" w:rsidR="00746E31" w:rsidRPr="00F6669A" w:rsidRDefault="00746E31" w:rsidP="00281589">
            <w:pPr>
              <w:tabs>
                <w:tab w:val="left" w:pos="4111"/>
              </w:tabs>
              <w:spacing w:before="10"/>
              <w:ind w:left="57"/>
              <w:rPr>
                <w:b/>
                <w:bCs/>
                <w:sz w:val="22"/>
                <w:szCs w:val="22"/>
                <w:lang w:eastAsia="zh-CN"/>
              </w:rPr>
            </w:pPr>
            <w:r w:rsidRPr="00F6669A">
              <w:rPr>
                <w:rFonts w:hint="eastAsia"/>
                <w:b/>
                <w:bCs/>
                <w:sz w:val="22"/>
                <w:szCs w:val="22"/>
                <w:lang w:eastAsia="zh-CN"/>
              </w:rPr>
              <w:t>文号：</w:t>
            </w:r>
          </w:p>
        </w:tc>
        <w:tc>
          <w:tcPr>
            <w:tcW w:w="4402" w:type="dxa"/>
          </w:tcPr>
          <w:p w14:paraId="3A743607" w14:textId="736EFC01" w:rsidR="00746E31" w:rsidRPr="0033229B" w:rsidRDefault="00746E31" w:rsidP="00281589">
            <w:pPr>
              <w:tabs>
                <w:tab w:val="left" w:pos="4111"/>
              </w:tabs>
              <w:spacing w:before="0"/>
              <w:ind w:left="57"/>
              <w:rPr>
                <w:rFonts w:ascii="SimSun" w:hAnsi="SimSun"/>
                <w:b/>
                <w:szCs w:val="24"/>
                <w:lang w:eastAsia="zh-CN"/>
              </w:rPr>
            </w:pPr>
            <w:r w:rsidRPr="0033229B">
              <w:rPr>
                <w:rFonts w:ascii="SimSun" w:hAnsi="SimSun" w:hint="eastAsia"/>
                <w:b/>
                <w:bCs/>
                <w:iCs/>
                <w:szCs w:val="24"/>
                <w:lang w:eastAsia="zh-CN"/>
              </w:rPr>
              <w:t>电信标准化局</w:t>
            </w:r>
            <w:r w:rsidRPr="0033229B">
              <w:rPr>
                <w:rFonts w:ascii="SimSun" w:hAnsi="SimSun" w:hint="eastAsia"/>
                <w:b/>
                <w:bCs/>
                <w:iCs/>
                <w:szCs w:val="24"/>
                <w:lang w:val="fr-CH" w:eastAsia="zh-CN"/>
              </w:rPr>
              <w:t>第</w:t>
            </w:r>
            <w:r w:rsidR="00F6669A">
              <w:rPr>
                <w:rFonts w:hint="eastAsia"/>
                <w:b/>
                <w:szCs w:val="24"/>
                <w:lang w:eastAsia="zh-CN"/>
              </w:rPr>
              <w:t>179</w:t>
            </w:r>
            <w:r w:rsidRPr="0033229B">
              <w:rPr>
                <w:rFonts w:ascii="SimSun" w:hAnsi="SimSun" w:hint="eastAsia"/>
                <w:b/>
                <w:szCs w:val="24"/>
                <w:lang w:eastAsia="zh-CN"/>
              </w:rPr>
              <w:t>号</w:t>
            </w:r>
            <w:r w:rsidRPr="0033229B">
              <w:rPr>
                <w:rFonts w:ascii="SimSun" w:hAnsi="SimSun" w:hint="eastAsia"/>
                <w:b/>
                <w:bCs/>
                <w:iCs/>
                <w:szCs w:val="24"/>
                <w:lang w:eastAsia="zh-CN"/>
              </w:rPr>
              <w:t>集体函</w:t>
            </w:r>
          </w:p>
          <w:p w14:paraId="780430D1" w14:textId="2EAF2754" w:rsidR="00746E31" w:rsidRPr="00F6669A" w:rsidRDefault="00F6669A" w:rsidP="00281589">
            <w:pPr>
              <w:tabs>
                <w:tab w:val="left" w:pos="4111"/>
              </w:tabs>
              <w:spacing w:before="0"/>
              <w:ind w:left="57"/>
              <w:rPr>
                <w:b/>
                <w:szCs w:val="24"/>
                <w:lang w:eastAsia="zh-CN"/>
              </w:rPr>
            </w:pPr>
            <w:r>
              <w:rPr>
                <w:rFonts w:hint="eastAsia"/>
                <w:sz w:val="22"/>
                <w:szCs w:val="18"/>
                <w:lang w:eastAsia="ja-JP"/>
              </w:rPr>
              <w:t>TSAG</w:t>
            </w:r>
            <w:r w:rsidRPr="00020DAD">
              <w:rPr>
                <w:sz w:val="22"/>
                <w:szCs w:val="18"/>
              </w:rPr>
              <w:t>/</w:t>
            </w:r>
            <w:r>
              <w:rPr>
                <w:rFonts w:hint="eastAsia"/>
                <w:sz w:val="22"/>
                <w:szCs w:val="18"/>
                <w:lang w:eastAsia="ja-JP"/>
              </w:rPr>
              <w:t>BJ</w:t>
            </w:r>
          </w:p>
        </w:tc>
        <w:tc>
          <w:tcPr>
            <w:tcW w:w="4103" w:type="dxa"/>
          </w:tcPr>
          <w:p w14:paraId="53D1BD1B" w14:textId="77777777" w:rsidR="00746E31" w:rsidRDefault="00746E31" w:rsidP="00281589">
            <w:pPr>
              <w:tabs>
                <w:tab w:val="left" w:pos="4111"/>
              </w:tabs>
              <w:spacing w:before="0"/>
              <w:ind w:left="57"/>
              <w:rPr>
                <w:b/>
                <w:sz w:val="23"/>
                <w:szCs w:val="23"/>
                <w:lang w:eastAsia="zh-CN"/>
              </w:rPr>
            </w:pPr>
          </w:p>
        </w:tc>
      </w:tr>
      <w:tr w:rsidR="00746E31" w14:paraId="61B6C3AC" w14:textId="77777777" w:rsidTr="00F6669A">
        <w:trPr>
          <w:cantSplit/>
        </w:trPr>
        <w:tc>
          <w:tcPr>
            <w:tcW w:w="1268" w:type="dxa"/>
          </w:tcPr>
          <w:p w14:paraId="21099F1D" w14:textId="77777777" w:rsidR="00746E31" w:rsidRPr="00F6669A" w:rsidRDefault="00746E31" w:rsidP="00281589">
            <w:pPr>
              <w:tabs>
                <w:tab w:val="left" w:pos="4111"/>
              </w:tabs>
              <w:spacing w:before="0"/>
              <w:ind w:left="57"/>
              <w:rPr>
                <w:b/>
                <w:bCs/>
                <w:sz w:val="22"/>
                <w:szCs w:val="22"/>
                <w:lang w:eastAsia="zh-CN"/>
              </w:rPr>
            </w:pPr>
            <w:r w:rsidRPr="00F6669A">
              <w:rPr>
                <w:rFonts w:hint="eastAsia"/>
                <w:b/>
                <w:bCs/>
                <w:sz w:val="22"/>
                <w:szCs w:val="22"/>
                <w:lang w:eastAsia="zh-CN"/>
              </w:rPr>
              <w:t>电话：</w:t>
            </w:r>
            <w:r w:rsidRPr="00F6669A">
              <w:rPr>
                <w:b/>
                <w:bCs/>
                <w:sz w:val="22"/>
                <w:szCs w:val="22"/>
                <w:lang w:eastAsia="zh-CN"/>
              </w:rPr>
              <w:br/>
            </w:r>
            <w:r w:rsidRPr="00F6669A">
              <w:rPr>
                <w:rFonts w:hint="eastAsia"/>
                <w:b/>
                <w:bCs/>
                <w:sz w:val="22"/>
                <w:szCs w:val="22"/>
                <w:lang w:eastAsia="zh-CN"/>
              </w:rPr>
              <w:t>传真：</w:t>
            </w:r>
          </w:p>
          <w:p w14:paraId="0929D0AA" w14:textId="6DD8E4BC" w:rsidR="00746E31" w:rsidRPr="00F6669A" w:rsidRDefault="00746E31" w:rsidP="00281589">
            <w:pPr>
              <w:tabs>
                <w:tab w:val="left" w:pos="4111"/>
              </w:tabs>
              <w:spacing w:before="0"/>
              <w:ind w:left="57"/>
              <w:rPr>
                <w:b/>
                <w:bCs/>
                <w:sz w:val="21"/>
                <w:szCs w:val="21"/>
                <w:lang w:eastAsia="zh-CN"/>
              </w:rPr>
            </w:pPr>
            <w:r w:rsidRPr="00F6669A">
              <w:rPr>
                <w:rFonts w:hint="eastAsia"/>
                <w:b/>
                <w:bCs/>
                <w:sz w:val="22"/>
                <w:szCs w:val="22"/>
                <w:lang w:eastAsia="zh-CN"/>
              </w:rPr>
              <w:t>电子邮件：</w:t>
            </w:r>
            <w:r w:rsidRPr="00F6669A">
              <w:rPr>
                <w:b/>
                <w:bCs/>
                <w:sz w:val="21"/>
                <w:szCs w:val="21"/>
                <w:lang w:eastAsia="zh-CN"/>
              </w:rPr>
              <w:br/>
            </w:r>
          </w:p>
        </w:tc>
        <w:tc>
          <w:tcPr>
            <w:tcW w:w="4402" w:type="dxa"/>
          </w:tcPr>
          <w:p w14:paraId="39C0831F" w14:textId="5B1D4D06" w:rsidR="00746E31" w:rsidRPr="0033229B" w:rsidRDefault="00746E31" w:rsidP="00F6669A">
            <w:pPr>
              <w:tabs>
                <w:tab w:val="clear" w:pos="794"/>
                <w:tab w:val="left" w:pos="4111"/>
              </w:tabs>
              <w:spacing w:before="0"/>
              <w:ind w:left="52" w:firstLine="5"/>
              <w:rPr>
                <w:szCs w:val="24"/>
                <w:lang w:eastAsia="zh-CN"/>
              </w:rPr>
            </w:pPr>
            <w:r w:rsidRPr="0033229B">
              <w:rPr>
                <w:szCs w:val="24"/>
                <w:lang w:eastAsia="zh-CN"/>
              </w:rPr>
              <w:t>+41 22 730</w:t>
            </w:r>
            <w:r w:rsidR="00F6669A">
              <w:rPr>
                <w:rFonts w:hint="eastAsia"/>
                <w:szCs w:val="24"/>
                <w:lang w:eastAsia="zh-CN"/>
              </w:rPr>
              <w:t xml:space="preserve"> 6311</w:t>
            </w:r>
            <w:r w:rsidRPr="0033229B">
              <w:rPr>
                <w:szCs w:val="24"/>
                <w:lang w:eastAsia="zh-CN"/>
              </w:rPr>
              <w:br/>
              <w:t>+41 22 730 5853</w:t>
            </w:r>
            <w:r w:rsidR="00F6669A">
              <w:rPr>
                <w:szCs w:val="24"/>
                <w:lang w:eastAsia="zh-CN"/>
              </w:rPr>
              <w:br/>
            </w:r>
            <w:hyperlink r:id="rId8" w:history="1">
              <w:r w:rsidR="0091493D" w:rsidRPr="00984A5A">
                <w:rPr>
                  <w:rStyle w:val="Hyperlink"/>
                  <w:rFonts w:hint="eastAsia"/>
                  <w:bCs/>
                  <w:sz w:val="22"/>
                  <w:szCs w:val="18"/>
                  <w:lang w:eastAsia="ja-JP"/>
                </w:rPr>
                <w:t>tsbtsag@itu.int</w:t>
              </w:r>
            </w:hyperlink>
          </w:p>
        </w:tc>
        <w:tc>
          <w:tcPr>
            <w:tcW w:w="4103" w:type="dxa"/>
          </w:tcPr>
          <w:p w14:paraId="205CEAED" w14:textId="77777777" w:rsidR="00F6669A" w:rsidRPr="00F6669A" w:rsidRDefault="00F6669A" w:rsidP="00F6669A">
            <w:pPr>
              <w:pStyle w:val="Tabletext0"/>
              <w:rPr>
                <w:rFonts w:asciiTheme="minorHAnsi" w:eastAsiaTheme="minorEastAsia" w:hAnsiTheme="minorHAnsi" w:cstheme="minorHAnsi"/>
                <w:sz w:val="22"/>
                <w:szCs w:val="18"/>
                <w:lang w:eastAsia="zh-CN"/>
              </w:rPr>
            </w:pPr>
            <w:r w:rsidRPr="00F6669A">
              <w:rPr>
                <w:rFonts w:asciiTheme="minorHAnsi" w:eastAsiaTheme="minorEastAsia" w:hAnsiTheme="minorHAnsi" w:cstheme="minorHAnsi"/>
                <w:b/>
                <w:sz w:val="22"/>
                <w:szCs w:val="18"/>
                <w:lang w:eastAsia="zh-CN"/>
              </w:rPr>
              <w:t>致：</w:t>
            </w:r>
          </w:p>
          <w:p w14:paraId="27AD37B4" w14:textId="77777777" w:rsidR="00F6669A" w:rsidRPr="00F6669A" w:rsidRDefault="00F6669A" w:rsidP="00F6669A">
            <w:pPr>
              <w:pStyle w:val="Tabletext0"/>
              <w:ind w:left="283" w:hanging="283"/>
              <w:rPr>
                <w:rFonts w:asciiTheme="minorHAnsi" w:eastAsiaTheme="minorEastAsia" w:hAnsiTheme="minorHAnsi" w:cstheme="minorHAnsi"/>
                <w:sz w:val="22"/>
                <w:szCs w:val="18"/>
                <w:lang w:eastAsia="zh-CN"/>
              </w:rPr>
            </w:pPr>
            <w:r w:rsidRPr="00F6669A">
              <w:rPr>
                <w:rFonts w:asciiTheme="minorHAnsi" w:eastAsiaTheme="minorEastAsia" w:hAnsiTheme="minorHAnsi" w:cstheme="minorHAnsi"/>
                <w:sz w:val="22"/>
                <w:szCs w:val="18"/>
                <w:lang w:eastAsia="zh-CN"/>
              </w:rPr>
              <w:t>-</w:t>
            </w:r>
            <w:r w:rsidRPr="00F6669A">
              <w:rPr>
                <w:rFonts w:asciiTheme="minorHAnsi" w:eastAsiaTheme="minorEastAsia" w:hAnsiTheme="minorHAnsi" w:cstheme="minorHAnsi"/>
                <w:sz w:val="22"/>
                <w:szCs w:val="18"/>
                <w:lang w:eastAsia="zh-CN"/>
              </w:rPr>
              <w:tab/>
            </w:r>
            <w:proofErr w:type="gramStart"/>
            <w:r w:rsidRPr="00F6669A">
              <w:rPr>
                <w:rFonts w:asciiTheme="minorHAnsi" w:eastAsiaTheme="minorEastAsia" w:hAnsiTheme="minorHAnsi" w:cstheme="minorHAnsi"/>
                <w:sz w:val="22"/>
                <w:szCs w:val="18"/>
                <w:lang w:eastAsia="zh-CN"/>
              </w:rPr>
              <w:t>国际电联各成员国主管部门；</w:t>
            </w:r>
            <w:proofErr w:type="gramEnd"/>
          </w:p>
          <w:p w14:paraId="3B3EB14F" w14:textId="77777777" w:rsidR="00F6669A" w:rsidRPr="00F6669A" w:rsidRDefault="00F6669A" w:rsidP="00F6669A">
            <w:pPr>
              <w:pStyle w:val="Tabletext0"/>
              <w:ind w:left="283" w:hanging="283"/>
              <w:rPr>
                <w:rFonts w:asciiTheme="minorHAnsi" w:eastAsiaTheme="minorEastAsia" w:hAnsiTheme="minorHAnsi" w:cstheme="minorHAnsi"/>
                <w:sz w:val="22"/>
                <w:szCs w:val="18"/>
                <w:lang w:eastAsia="zh-CN"/>
              </w:rPr>
            </w:pPr>
            <w:r w:rsidRPr="00F6669A">
              <w:rPr>
                <w:rFonts w:asciiTheme="minorHAnsi" w:eastAsiaTheme="minorEastAsia" w:hAnsiTheme="minorHAnsi" w:cstheme="minorHAnsi"/>
                <w:sz w:val="22"/>
                <w:szCs w:val="18"/>
                <w:lang w:eastAsia="zh-CN"/>
              </w:rPr>
              <w:t>-</w:t>
            </w:r>
            <w:r w:rsidRPr="00F6669A">
              <w:rPr>
                <w:rFonts w:asciiTheme="minorHAnsi" w:eastAsiaTheme="minorEastAsia" w:hAnsiTheme="minorHAnsi" w:cstheme="minorHAnsi"/>
                <w:sz w:val="22"/>
                <w:szCs w:val="18"/>
                <w:lang w:eastAsia="zh-CN"/>
              </w:rPr>
              <w:tab/>
              <w:t>ITU-T</w:t>
            </w:r>
            <w:r w:rsidRPr="00F6669A">
              <w:rPr>
                <w:rFonts w:asciiTheme="minorHAnsi" w:eastAsiaTheme="minorEastAsia" w:hAnsiTheme="minorHAnsi" w:cstheme="minorHAnsi"/>
                <w:sz w:val="22"/>
                <w:szCs w:val="18"/>
                <w:lang w:eastAsia="zh-CN"/>
              </w:rPr>
              <w:t>部门成员</w:t>
            </w:r>
          </w:p>
          <w:p w14:paraId="6F24F106" w14:textId="77777777" w:rsidR="00F6669A" w:rsidRPr="00F6669A" w:rsidRDefault="00F6669A" w:rsidP="00F6669A">
            <w:pPr>
              <w:pStyle w:val="Tabletext0"/>
              <w:rPr>
                <w:rFonts w:asciiTheme="minorHAnsi" w:eastAsiaTheme="minorEastAsia" w:hAnsiTheme="minorHAnsi" w:cstheme="minorHAnsi"/>
                <w:sz w:val="22"/>
                <w:szCs w:val="18"/>
                <w:lang w:eastAsia="zh-CN"/>
              </w:rPr>
            </w:pPr>
            <w:r w:rsidRPr="00F6669A">
              <w:rPr>
                <w:rFonts w:asciiTheme="minorHAnsi" w:eastAsiaTheme="minorEastAsia" w:hAnsiTheme="minorHAnsi" w:cstheme="minorHAnsi"/>
                <w:b/>
                <w:sz w:val="22"/>
                <w:szCs w:val="18"/>
                <w:lang w:eastAsia="zh-CN"/>
              </w:rPr>
              <w:t>抄送：</w:t>
            </w:r>
          </w:p>
          <w:p w14:paraId="773F5E66" w14:textId="77777777" w:rsidR="00F6669A" w:rsidRPr="00F6669A" w:rsidRDefault="00F6669A" w:rsidP="00F6669A">
            <w:pPr>
              <w:pStyle w:val="Tabletext0"/>
              <w:ind w:left="283" w:hanging="283"/>
              <w:rPr>
                <w:rFonts w:asciiTheme="minorHAnsi" w:eastAsiaTheme="minorEastAsia" w:hAnsiTheme="minorHAnsi" w:cstheme="minorHAnsi"/>
                <w:sz w:val="22"/>
                <w:szCs w:val="18"/>
                <w:lang w:eastAsia="zh-CN"/>
              </w:rPr>
            </w:pPr>
            <w:r w:rsidRPr="00F6669A">
              <w:rPr>
                <w:rFonts w:asciiTheme="minorHAnsi" w:eastAsiaTheme="minorEastAsia" w:hAnsiTheme="minorHAnsi" w:cstheme="minorHAnsi"/>
                <w:sz w:val="22"/>
                <w:szCs w:val="18"/>
                <w:lang w:eastAsia="zh-CN"/>
              </w:rPr>
              <w:t>-</w:t>
            </w:r>
            <w:r w:rsidRPr="00F6669A">
              <w:rPr>
                <w:rFonts w:asciiTheme="minorHAnsi" w:eastAsiaTheme="minorEastAsia" w:hAnsiTheme="minorHAnsi" w:cstheme="minorHAnsi"/>
                <w:sz w:val="22"/>
                <w:szCs w:val="18"/>
                <w:lang w:eastAsia="zh-CN"/>
              </w:rPr>
              <w:tab/>
              <w:t>ITU-</w:t>
            </w:r>
            <w:proofErr w:type="gramStart"/>
            <w:r w:rsidRPr="00F6669A">
              <w:rPr>
                <w:rFonts w:asciiTheme="minorHAnsi" w:eastAsiaTheme="minorEastAsia" w:hAnsiTheme="minorHAnsi" w:cstheme="minorHAnsi"/>
                <w:sz w:val="22"/>
                <w:szCs w:val="18"/>
                <w:lang w:eastAsia="zh-CN"/>
              </w:rPr>
              <w:t>T</w:t>
            </w:r>
            <w:r w:rsidRPr="00F6669A">
              <w:rPr>
                <w:rFonts w:asciiTheme="minorHAnsi" w:eastAsiaTheme="minorEastAsia" w:hAnsiTheme="minorHAnsi" w:cstheme="minorHAnsi"/>
                <w:sz w:val="22"/>
                <w:szCs w:val="18"/>
                <w:lang w:eastAsia="zh-CN"/>
              </w:rPr>
              <w:t>各研究组准成员；</w:t>
            </w:r>
            <w:proofErr w:type="gramEnd"/>
          </w:p>
          <w:p w14:paraId="55156C8F" w14:textId="77777777" w:rsidR="00F6669A" w:rsidRPr="00F6669A" w:rsidRDefault="00F6669A" w:rsidP="00F6669A">
            <w:pPr>
              <w:pStyle w:val="Tabletext0"/>
              <w:ind w:left="283" w:hanging="283"/>
              <w:rPr>
                <w:rFonts w:asciiTheme="minorHAnsi" w:eastAsiaTheme="minorEastAsia" w:hAnsiTheme="minorHAnsi" w:cstheme="minorHAnsi"/>
                <w:sz w:val="22"/>
                <w:szCs w:val="18"/>
                <w:lang w:eastAsia="zh-CN"/>
              </w:rPr>
            </w:pPr>
            <w:r w:rsidRPr="00F6669A">
              <w:rPr>
                <w:rFonts w:asciiTheme="minorHAnsi" w:eastAsiaTheme="minorEastAsia" w:hAnsiTheme="minorHAnsi" w:cstheme="minorHAnsi"/>
                <w:sz w:val="22"/>
                <w:szCs w:val="18"/>
                <w:lang w:eastAsia="zh-CN"/>
              </w:rPr>
              <w:t>-</w:t>
            </w:r>
            <w:r w:rsidRPr="00F6669A">
              <w:rPr>
                <w:rFonts w:asciiTheme="minorHAnsi" w:eastAsiaTheme="minorEastAsia" w:hAnsiTheme="minorHAnsi" w:cstheme="minorHAnsi"/>
                <w:sz w:val="22"/>
                <w:szCs w:val="18"/>
                <w:lang w:eastAsia="zh-CN"/>
              </w:rPr>
              <w:tab/>
            </w:r>
            <w:proofErr w:type="gramStart"/>
            <w:r w:rsidRPr="00F6669A">
              <w:rPr>
                <w:rFonts w:asciiTheme="minorHAnsi" w:eastAsiaTheme="minorEastAsia" w:hAnsiTheme="minorHAnsi" w:cstheme="minorHAnsi"/>
                <w:sz w:val="22"/>
                <w:szCs w:val="18"/>
                <w:lang w:eastAsia="zh-CN"/>
              </w:rPr>
              <w:t>国际电联学术成员；</w:t>
            </w:r>
            <w:proofErr w:type="gramEnd"/>
          </w:p>
          <w:p w14:paraId="31F28D61" w14:textId="77777777" w:rsidR="00F6669A" w:rsidRPr="00F6669A" w:rsidRDefault="00F6669A" w:rsidP="00F6669A">
            <w:pPr>
              <w:pStyle w:val="Tabletext0"/>
              <w:ind w:left="283" w:hanging="283"/>
              <w:rPr>
                <w:rFonts w:asciiTheme="minorHAnsi" w:eastAsiaTheme="minorEastAsia" w:hAnsiTheme="minorHAnsi" w:cstheme="minorHAnsi"/>
                <w:sz w:val="22"/>
                <w:szCs w:val="18"/>
                <w:lang w:eastAsia="zh-CN"/>
              </w:rPr>
            </w:pPr>
            <w:r w:rsidRPr="00F6669A">
              <w:rPr>
                <w:rFonts w:asciiTheme="minorHAnsi" w:eastAsiaTheme="minorEastAsia" w:hAnsiTheme="minorHAnsi" w:cstheme="minorHAnsi"/>
                <w:sz w:val="22"/>
                <w:szCs w:val="18"/>
                <w:lang w:eastAsia="zh-CN"/>
              </w:rPr>
              <w:t>-</w:t>
            </w:r>
            <w:r w:rsidRPr="00F6669A">
              <w:rPr>
                <w:rFonts w:asciiTheme="minorHAnsi" w:eastAsiaTheme="minorEastAsia" w:hAnsiTheme="minorHAnsi" w:cstheme="minorHAnsi"/>
                <w:sz w:val="22"/>
                <w:szCs w:val="18"/>
                <w:lang w:eastAsia="zh-CN"/>
              </w:rPr>
              <w:tab/>
            </w:r>
            <w:proofErr w:type="gramStart"/>
            <w:r w:rsidRPr="00F6669A">
              <w:rPr>
                <w:rFonts w:asciiTheme="minorHAnsi" w:eastAsiaTheme="minorEastAsia" w:hAnsiTheme="minorHAnsi" w:cstheme="minorHAnsi"/>
                <w:sz w:val="22"/>
                <w:szCs w:val="18"/>
                <w:lang w:eastAsia="zh-CN"/>
              </w:rPr>
              <w:t>TSAG</w:t>
            </w:r>
            <w:r w:rsidRPr="00F6669A">
              <w:rPr>
                <w:rFonts w:asciiTheme="minorHAnsi" w:eastAsiaTheme="minorEastAsia" w:hAnsiTheme="minorHAnsi" w:cstheme="minorHAnsi"/>
                <w:sz w:val="22"/>
                <w:szCs w:val="18"/>
                <w:lang w:eastAsia="zh-CN"/>
              </w:rPr>
              <w:t>正副主席；</w:t>
            </w:r>
            <w:proofErr w:type="gramEnd"/>
          </w:p>
          <w:p w14:paraId="41269D80" w14:textId="77777777" w:rsidR="00F6669A" w:rsidRPr="00F6669A" w:rsidRDefault="00F6669A" w:rsidP="00F6669A">
            <w:pPr>
              <w:pStyle w:val="Tabletext0"/>
              <w:ind w:left="283" w:hanging="283"/>
              <w:rPr>
                <w:rFonts w:asciiTheme="minorHAnsi" w:eastAsiaTheme="minorEastAsia" w:hAnsiTheme="minorHAnsi" w:cstheme="minorHAnsi"/>
                <w:sz w:val="22"/>
                <w:szCs w:val="18"/>
                <w:lang w:eastAsia="zh-CN"/>
              </w:rPr>
            </w:pPr>
            <w:r w:rsidRPr="00F6669A">
              <w:rPr>
                <w:rFonts w:asciiTheme="minorHAnsi" w:eastAsiaTheme="minorEastAsia" w:hAnsiTheme="minorHAnsi" w:cstheme="minorHAnsi"/>
                <w:sz w:val="22"/>
                <w:szCs w:val="18"/>
                <w:lang w:eastAsia="zh-CN"/>
              </w:rPr>
              <w:t>-</w:t>
            </w:r>
            <w:r w:rsidRPr="00F6669A">
              <w:rPr>
                <w:rFonts w:asciiTheme="minorHAnsi" w:eastAsiaTheme="minorEastAsia" w:hAnsiTheme="minorHAnsi" w:cstheme="minorHAnsi"/>
                <w:sz w:val="22"/>
                <w:szCs w:val="18"/>
                <w:lang w:eastAsia="zh-CN"/>
              </w:rPr>
              <w:tab/>
            </w:r>
            <w:proofErr w:type="gramStart"/>
            <w:r w:rsidRPr="00F6669A">
              <w:rPr>
                <w:rFonts w:asciiTheme="minorHAnsi" w:eastAsiaTheme="minorEastAsia" w:hAnsiTheme="minorHAnsi" w:cstheme="minorHAnsi"/>
                <w:sz w:val="22"/>
                <w:szCs w:val="18"/>
                <w:lang w:eastAsia="zh-CN"/>
              </w:rPr>
              <w:t>电信发展局主任；</w:t>
            </w:r>
            <w:proofErr w:type="gramEnd"/>
          </w:p>
          <w:p w14:paraId="65073CDC" w14:textId="01751A7C" w:rsidR="00746E31" w:rsidRPr="00F6669A" w:rsidRDefault="00F6669A" w:rsidP="00F6669A">
            <w:pPr>
              <w:pStyle w:val="Tabletext0"/>
              <w:ind w:left="283" w:hanging="283"/>
              <w:rPr>
                <w:sz w:val="23"/>
                <w:szCs w:val="23"/>
                <w:lang w:eastAsia="zh-CN"/>
              </w:rPr>
            </w:pPr>
            <w:r w:rsidRPr="00F6669A">
              <w:rPr>
                <w:rFonts w:asciiTheme="minorHAnsi" w:eastAsiaTheme="minorEastAsia" w:hAnsiTheme="minorHAnsi" w:cstheme="minorHAnsi"/>
                <w:sz w:val="22"/>
                <w:szCs w:val="18"/>
                <w:lang w:eastAsia="zh-CN"/>
              </w:rPr>
              <w:t>-</w:t>
            </w:r>
            <w:r w:rsidRPr="00F6669A">
              <w:rPr>
                <w:rFonts w:asciiTheme="minorHAnsi" w:eastAsiaTheme="minorEastAsia" w:hAnsiTheme="minorHAnsi" w:cstheme="minorHAnsi"/>
                <w:sz w:val="22"/>
                <w:szCs w:val="18"/>
                <w:lang w:eastAsia="zh-CN"/>
              </w:rPr>
              <w:tab/>
            </w:r>
            <w:r w:rsidRPr="00F6669A">
              <w:rPr>
                <w:rFonts w:asciiTheme="minorHAnsi" w:eastAsiaTheme="minorEastAsia" w:hAnsiTheme="minorHAnsi" w:cstheme="minorHAnsi"/>
                <w:sz w:val="22"/>
                <w:szCs w:val="18"/>
                <w:lang w:eastAsia="zh-CN"/>
              </w:rPr>
              <w:t>无线电通信局主任</w:t>
            </w:r>
          </w:p>
        </w:tc>
      </w:tr>
      <w:tr w:rsidR="00F6669A" w14:paraId="5BAE409C" w14:textId="77777777" w:rsidTr="00F6669A">
        <w:trPr>
          <w:cantSplit/>
          <w:trHeight w:val="680"/>
        </w:trPr>
        <w:tc>
          <w:tcPr>
            <w:tcW w:w="1268" w:type="dxa"/>
          </w:tcPr>
          <w:p w14:paraId="5B59AEA7" w14:textId="77777777" w:rsidR="00F6669A" w:rsidRPr="00F6669A" w:rsidRDefault="00F6669A" w:rsidP="00F6669A">
            <w:pPr>
              <w:tabs>
                <w:tab w:val="left" w:pos="4111"/>
              </w:tabs>
              <w:ind w:left="57"/>
              <w:rPr>
                <w:rFonts w:ascii="Futura Lt BT" w:hAnsi="Futura Lt BT"/>
                <w:b/>
                <w:bCs/>
                <w:sz w:val="19"/>
                <w:szCs w:val="19"/>
                <w:lang w:eastAsia="zh-CN"/>
              </w:rPr>
            </w:pPr>
            <w:bookmarkStart w:id="0" w:name="Addressee_E"/>
            <w:bookmarkEnd w:id="0"/>
            <w:r w:rsidRPr="00F6669A">
              <w:rPr>
                <w:rFonts w:hint="eastAsia"/>
                <w:b/>
                <w:bCs/>
                <w:sz w:val="22"/>
                <w:szCs w:val="22"/>
                <w:lang w:eastAsia="zh-CN"/>
              </w:rPr>
              <w:t>事由：</w:t>
            </w:r>
          </w:p>
        </w:tc>
        <w:tc>
          <w:tcPr>
            <w:tcW w:w="8505" w:type="dxa"/>
            <w:gridSpan w:val="2"/>
          </w:tcPr>
          <w:p w14:paraId="1A8E2F03" w14:textId="042A5A0D" w:rsidR="00F6669A" w:rsidRPr="008E27FA" w:rsidRDefault="00F6669A" w:rsidP="00F6669A">
            <w:pPr>
              <w:tabs>
                <w:tab w:val="left" w:pos="4111"/>
              </w:tabs>
              <w:ind w:left="57"/>
              <w:rPr>
                <w:b/>
                <w:szCs w:val="24"/>
                <w:lang w:eastAsia="zh-CN"/>
              </w:rPr>
            </w:pPr>
            <w:r w:rsidRPr="003B4ACD">
              <w:rPr>
                <w:rFonts w:hint="eastAsia"/>
                <w:b/>
                <w:sz w:val="22"/>
                <w:szCs w:val="18"/>
                <w:lang w:eastAsia="zh-CN"/>
              </w:rPr>
              <w:t>TSAG</w:t>
            </w:r>
            <w:r>
              <w:rPr>
                <w:rFonts w:hint="eastAsia"/>
                <w:b/>
                <w:sz w:val="22"/>
                <w:szCs w:val="18"/>
                <w:lang w:eastAsia="zh-CN"/>
              </w:rPr>
              <w:t>在其</w:t>
            </w:r>
            <w:r w:rsidRPr="003B4ACD">
              <w:rPr>
                <w:b/>
                <w:sz w:val="22"/>
                <w:szCs w:val="18"/>
                <w:lang w:eastAsia="zh-CN"/>
              </w:rPr>
              <w:t>202</w:t>
            </w:r>
            <w:r w:rsidRPr="003B4ACD">
              <w:rPr>
                <w:rFonts w:hint="eastAsia"/>
                <w:b/>
                <w:sz w:val="22"/>
                <w:szCs w:val="18"/>
                <w:lang w:eastAsia="zh-CN"/>
              </w:rPr>
              <w:t>4</w:t>
            </w:r>
            <w:r>
              <w:rPr>
                <w:rFonts w:hint="eastAsia"/>
                <w:b/>
                <w:sz w:val="22"/>
                <w:szCs w:val="18"/>
                <w:lang w:eastAsia="zh-CN"/>
              </w:rPr>
              <w:t>年</w:t>
            </w:r>
            <w:r>
              <w:rPr>
                <w:rFonts w:hint="eastAsia"/>
                <w:b/>
                <w:sz w:val="22"/>
                <w:szCs w:val="18"/>
                <w:lang w:eastAsia="zh-CN"/>
              </w:rPr>
              <w:t>1</w:t>
            </w:r>
            <w:r>
              <w:rPr>
                <w:rFonts w:hint="eastAsia"/>
                <w:b/>
                <w:sz w:val="22"/>
                <w:szCs w:val="18"/>
                <w:lang w:eastAsia="zh-CN"/>
              </w:rPr>
              <w:t>月</w:t>
            </w:r>
            <w:r>
              <w:rPr>
                <w:rFonts w:hint="eastAsia"/>
                <w:b/>
                <w:sz w:val="22"/>
                <w:szCs w:val="18"/>
                <w:lang w:eastAsia="zh-CN"/>
              </w:rPr>
              <w:t>2</w:t>
            </w:r>
            <w:r>
              <w:rPr>
                <w:b/>
                <w:sz w:val="22"/>
                <w:szCs w:val="18"/>
                <w:lang w:eastAsia="zh-CN"/>
              </w:rPr>
              <w:t>6</w:t>
            </w:r>
            <w:r>
              <w:rPr>
                <w:rFonts w:hint="eastAsia"/>
                <w:b/>
                <w:sz w:val="22"/>
                <w:szCs w:val="18"/>
                <w:lang w:eastAsia="zh-CN"/>
              </w:rPr>
              <w:t>日会议上同意拟议删除</w:t>
            </w:r>
            <w:r w:rsidRPr="003B4ACD">
              <w:rPr>
                <w:b/>
                <w:sz w:val="22"/>
                <w:szCs w:val="18"/>
                <w:lang w:eastAsia="zh-CN"/>
              </w:rPr>
              <w:t xml:space="preserve">ITU-T </w:t>
            </w:r>
            <w:r w:rsidRPr="003B4ACD">
              <w:rPr>
                <w:rFonts w:hint="eastAsia"/>
                <w:b/>
                <w:sz w:val="22"/>
                <w:szCs w:val="22"/>
                <w:lang w:eastAsia="zh-CN"/>
              </w:rPr>
              <w:t>A.4</w:t>
            </w:r>
            <w:r w:rsidRPr="003B4ACD">
              <w:rPr>
                <w:b/>
                <w:sz w:val="22"/>
                <w:szCs w:val="22"/>
                <w:lang w:eastAsia="zh-CN"/>
              </w:rPr>
              <w:t xml:space="preserve"> (</w:t>
            </w:r>
            <w:proofErr w:type="gramStart"/>
            <w:r w:rsidRPr="003B4ACD">
              <w:rPr>
                <w:b/>
                <w:sz w:val="22"/>
                <w:szCs w:val="22"/>
                <w:lang w:eastAsia="zh-CN"/>
              </w:rPr>
              <w:t>20</w:t>
            </w:r>
            <w:r w:rsidRPr="003B4ACD">
              <w:rPr>
                <w:rFonts w:hint="eastAsia"/>
                <w:b/>
                <w:sz w:val="22"/>
                <w:szCs w:val="22"/>
                <w:lang w:eastAsia="zh-CN"/>
              </w:rPr>
              <w:t>12</w:t>
            </w:r>
            <w:r w:rsidRPr="003B4ACD">
              <w:rPr>
                <w:b/>
                <w:sz w:val="22"/>
                <w:szCs w:val="22"/>
                <w:lang w:eastAsia="zh-CN"/>
              </w:rPr>
              <w:t>)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和</w:t>
            </w:r>
            <w:proofErr w:type="gramEnd"/>
            <w:r w:rsidRPr="003B4ACD">
              <w:rPr>
                <w:rFonts w:hint="eastAsia"/>
                <w:b/>
                <w:sz w:val="22"/>
                <w:szCs w:val="22"/>
                <w:lang w:eastAsia="zh-CN"/>
              </w:rPr>
              <w:t>A.6 (2012)</w:t>
            </w:r>
            <w:r>
              <w:rPr>
                <w:rFonts w:hint="eastAsia"/>
                <w:b/>
                <w:sz w:val="22"/>
                <w:szCs w:val="22"/>
                <w:lang w:eastAsia="zh-CN"/>
              </w:rPr>
              <w:t>建议书</w:t>
            </w:r>
          </w:p>
        </w:tc>
      </w:tr>
    </w:tbl>
    <w:p w14:paraId="2F7AF13B" w14:textId="77777777" w:rsidR="00F6669A" w:rsidRPr="00E11CEB" w:rsidRDefault="00F6669A" w:rsidP="00F6669A">
      <w:pPr>
        <w:spacing w:before="360"/>
        <w:rPr>
          <w:sz w:val="22"/>
          <w:szCs w:val="18"/>
          <w:lang w:eastAsia="zh-CN"/>
        </w:rPr>
      </w:pPr>
      <w:bookmarkStart w:id="1" w:name="StartTyping_E"/>
      <w:bookmarkEnd w:id="1"/>
      <w:r w:rsidRPr="00E11CEB">
        <w:rPr>
          <w:rFonts w:hint="eastAsia"/>
          <w:sz w:val="22"/>
          <w:szCs w:val="18"/>
          <w:lang w:eastAsia="zh-CN"/>
        </w:rPr>
        <w:t>尊敬的先生</w:t>
      </w:r>
      <w:r w:rsidRPr="00E11CEB">
        <w:rPr>
          <w:rFonts w:hint="eastAsia"/>
          <w:sz w:val="22"/>
          <w:szCs w:val="18"/>
          <w:lang w:eastAsia="zh-CN"/>
        </w:rPr>
        <w:t>/</w:t>
      </w:r>
      <w:r w:rsidRPr="00E11CEB">
        <w:rPr>
          <w:rFonts w:hint="eastAsia"/>
          <w:sz w:val="22"/>
          <w:szCs w:val="18"/>
          <w:lang w:eastAsia="zh-CN"/>
        </w:rPr>
        <w:t>女士：</w:t>
      </w:r>
    </w:p>
    <w:p w14:paraId="1A852686" w14:textId="77777777" w:rsidR="00F6669A" w:rsidRPr="00E11CEB" w:rsidRDefault="00F6669A" w:rsidP="00F6669A">
      <w:pPr>
        <w:rPr>
          <w:sz w:val="22"/>
          <w:szCs w:val="18"/>
          <w:lang w:eastAsia="zh-CN"/>
        </w:rPr>
      </w:pPr>
      <w:r w:rsidRPr="00E11CEB">
        <w:rPr>
          <w:sz w:val="22"/>
          <w:szCs w:val="18"/>
          <w:lang w:eastAsia="zh-CN"/>
        </w:rPr>
        <w:t>1</w:t>
      </w:r>
      <w:r w:rsidRPr="00E11CEB">
        <w:rPr>
          <w:sz w:val="22"/>
          <w:szCs w:val="18"/>
          <w:lang w:eastAsia="zh-CN"/>
        </w:rPr>
        <w:tab/>
      </w:r>
      <w:r>
        <w:rPr>
          <w:rFonts w:hint="eastAsia"/>
          <w:sz w:val="22"/>
          <w:szCs w:val="18"/>
          <w:lang w:eastAsia="zh-CN"/>
        </w:rPr>
        <w:t>应</w:t>
      </w:r>
      <w:r w:rsidRPr="00E11CEB">
        <w:rPr>
          <w:rFonts w:hint="eastAsia"/>
          <w:sz w:val="22"/>
          <w:szCs w:val="18"/>
          <w:lang w:eastAsia="zh-CN"/>
        </w:rPr>
        <w:t>TSAG</w:t>
      </w:r>
      <w:r>
        <w:rPr>
          <w:rFonts w:hint="eastAsia"/>
          <w:sz w:val="22"/>
          <w:szCs w:val="18"/>
          <w:lang w:eastAsia="zh-CN"/>
        </w:rPr>
        <w:t>（</w:t>
      </w:r>
      <w:r w:rsidRPr="009E7E69">
        <w:rPr>
          <w:rFonts w:ascii="STKaiti" w:eastAsia="STKaiti" w:hAnsi="STKaiti" w:hint="eastAsia"/>
          <w:sz w:val="22"/>
          <w:szCs w:val="18"/>
          <w:lang w:eastAsia="zh-CN"/>
        </w:rPr>
        <w:t>电信标准化顾问组</w:t>
      </w:r>
      <w:r>
        <w:rPr>
          <w:rFonts w:hint="eastAsia"/>
          <w:sz w:val="22"/>
          <w:szCs w:val="18"/>
          <w:lang w:eastAsia="zh-CN"/>
        </w:rPr>
        <w:t>）主席的请求，我荣幸地告知您，</w:t>
      </w:r>
      <w:r w:rsidRPr="00E11CEB">
        <w:rPr>
          <w:rFonts w:hint="eastAsia"/>
          <w:sz w:val="22"/>
          <w:szCs w:val="18"/>
          <w:lang w:eastAsia="zh-CN"/>
        </w:rPr>
        <w:t>TSAG</w:t>
      </w:r>
      <w:r>
        <w:rPr>
          <w:rFonts w:hint="eastAsia"/>
          <w:sz w:val="22"/>
          <w:szCs w:val="18"/>
          <w:lang w:eastAsia="zh-CN"/>
        </w:rPr>
        <w:t>在其</w:t>
      </w:r>
      <w:r>
        <w:rPr>
          <w:rFonts w:hint="eastAsia"/>
          <w:sz w:val="22"/>
          <w:szCs w:val="18"/>
          <w:lang w:eastAsia="zh-CN"/>
        </w:rPr>
        <w:t>2</w:t>
      </w:r>
      <w:r>
        <w:rPr>
          <w:sz w:val="22"/>
          <w:szCs w:val="18"/>
          <w:lang w:eastAsia="zh-CN"/>
        </w:rPr>
        <w:t>024</w:t>
      </w:r>
      <w:r>
        <w:rPr>
          <w:rFonts w:hint="eastAsia"/>
          <w:sz w:val="22"/>
          <w:szCs w:val="18"/>
          <w:lang w:eastAsia="zh-CN"/>
        </w:rPr>
        <w:t>年</w:t>
      </w:r>
      <w:r>
        <w:rPr>
          <w:rFonts w:hint="eastAsia"/>
          <w:sz w:val="22"/>
          <w:szCs w:val="18"/>
          <w:lang w:eastAsia="zh-CN"/>
        </w:rPr>
        <w:t>1</w:t>
      </w:r>
      <w:r>
        <w:rPr>
          <w:rFonts w:hint="eastAsia"/>
          <w:sz w:val="22"/>
          <w:szCs w:val="18"/>
          <w:lang w:eastAsia="zh-CN"/>
        </w:rPr>
        <w:t>月</w:t>
      </w:r>
      <w:r w:rsidRPr="00E11CEB">
        <w:rPr>
          <w:rFonts w:hint="eastAsia"/>
          <w:sz w:val="22"/>
          <w:szCs w:val="18"/>
          <w:lang w:eastAsia="zh-CN"/>
        </w:rPr>
        <w:t>22-26</w:t>
      </w:r>
      <w:r>
        <w:rPr>
          <w:rFonts w:hint="eastAsia"/>
          <w:sz w:val="22"/>
          <w:szCs w:val="18"/>
          <w:lang w:eastAsia="zh-CN"/>
        </w:rPr>
        <w:t>日召开的会议上，同意根据世界电信标准化全会（</w:t>
      </w:r>
      <w:r>
        <w:rPr>
          <w:rFonts w:hint="eastAsia"/>
          <w:sz w:val="22"/>
          <w:szCs w:val="18"/>
          <w:lang w:eastAsia="zh-CN"/>
        </w:rPr>
        <w:t>WTSA</w:t>
      </w:r>
      <w:r>
        <w:rPr>
          <w:rFonts w:hint="eastAsia"/>
          <w:sz w:val="22"/>
          <w:szCs w:val="18"/>
          <w:lang w:eastAsia="zh-CN"/>
        </w:rPr>
        <w:t>）第</w:t>
      </w:r>
      <w:r>
        <w:rPr>
          <w:rFonts w:hint="eastAsia"/>
          <w:sz w:val="22"/>
          <w:szCs w:val="18"/>
          <w:lang w:eastAsia="zh-CN"/>
        </w:rPr>
        <w:t>1</w:t>
      </w:r>
      <w:r>
        <w:rPr>
          <w:rFonts w:hint="eastAsia"/>
          <w:sz w:val="22"/>
          <w:szCs w:val="18"/>
          <w:lang w:eastAsia="zh-CN"/>
        </w:rPr>
        <w:t>号决议（</w:t>
      </w:r>
      <w:r>
        <w:rPr>
          <w:rFonts w:hint="eastAsia"/>
          <w:sz w:val="22"/>
          <w:szCs w:val="18"/>
          <w:lang w:eastAsia="zh-CN"/>
        </w:rPr>
        <w:t>2</w:t>
      </w:r>
      <w:r>
        <w:rPr>
          <w:sz w:val="22"/>
          <w:szCs w:val="18"/>
          <w:lang w:eastAsia="zh-CN"/>
        </w:rPr>
        <w:t>022</w:t>
      </w:r>
      <w:r>
        <w:rPr>
          <w:rFonts w:hint="eastAsia"/>
          <w:sz w:val="22"/>
          <w:szCs w:val="18"/>
          <w:lang w:eastAsia="zh-CN"/>
        </w:rPr>
        <w:t>年，日内瓦，修订版）第</w:t>
      </w:r>
      <w:r>
        <w:rPr>
          <w:rFonts w:hint="eastAsia"/>
          <w:sz w:val="22"/>
          <w:szCs w:val="18"/>
          <w:lang w:eastAsia="zh-CN"/>
        </w:rPr>
        <w:t>9</w:t>
      </w:r>
      <w:r>
        <w:rPr>
          <w:rFonts w:hint="eastAsia"/>
          <w:sz w:val="22"/>
          <w:szCs w:val="18"/>
          <w:lang w:eastAsia="zh-CN"/>
        </w:rPr>
        <w:t>节第</w:t>
      </w:r>
      <w:r w:rsidRPr="00E11CEB">
        <w:rPr>
          <w:sz w:val="22"/>
          <w:szCs w:val="18"/>
          <w:lang w:eastAsia="zh-CN"/>
        </w:rPr>
        <w:t>9.8.2</w:t>
      </w:r>
      <w:r>
        <w:rPr>
          <w:rFonts w:hint="eastAsia"/>
          <w:sz w:val="22"/>
          <w:szCs w:val="18"/>
          <w:lang w:eastAsia="zh-CN"/>
        </w:rPr>
        <w:t>段的规定，删除</w:t>
      </w:r>
      <w:r w:rsidRPr="00E11CEB">
        <w:rPr>
          <w:sz w:val="22"/>
          <w:szCs w:val="18"/>
          <w:lang w:eastAsia="zh-CN"/>
        </w:rPr>
        <w:t>ITU-T A.4 (</w:t>
      </w:r>
      <w:proofErr w:type="gramStart"/>
      <w:r w:rsidRPr="00E11CEB">
        <w:rPr>
          <w:sz w:val="22"/>
          <w:szCs w:val="18"/>
          <w:lang w:eastAsia="zh-CN"/>
        </w:rPr>
        <w:t>2012)</w:t>
      </w:r>
      <w:r>
        <w:rPr>
          <w:rFonts w:hint="eastAsia"/>
          <w:sz w:val="22"/>
          <w:szCs w:val="18"/>
          <w:lang w:eastAsia="zh-CN"/>
        </w:rPr>
        <w:t>和</w:t>
      </w:r>
      <w:proofErr w:type="gramEnd"/>
      <w:r w:rsidRPr="00E11CEB">
        <w:rPr>
          <w:sz w:val="22"/>
          <w:szCs w:val="18"/>
          <w:lang w:eastAsia="zh-CN"/>
        </w:rPr>
        <w:t>A.6 (2012)</w:t>
      </w:r>
      <w:r>
        <w:rPr>
          <w:rFonts w:hint="eastAsia"/>
          <w:sz w:val="22"/>
          <w:szCs w:val="18"/>
          <w:lang w:eastAsia="zh-CN"/>
        </w:rPr>
        <w:t>建议书，并与</w:t>
      </w:r>
      <w:r w:rsidRPr="00E11CEB">
        <w:rPr>
          <w:sz w:val="22"/>
          <w:szCs w:val="18"/>
          <w:lang w:eastAsia="zh-CN"/>
        </w:rPr>
        <w:t>ITU-T A.24</w:t>
      </w:r>
      <w:r>
        <w:rPr>
          <w:rFonts w:hint="eastAsia"/>
          <w:sz w:val="22"/>
          <w:szCs w:val="18"/>
          <w:lang w:eastAsia="zh-CN"/>
        </w:rPr>
        <w:t>（</w:t>
      </w:r>
      <w:r w:rsidRPr="001F798F">
        <w:rPr>
          <w:rFonts w:ascii="STKaiti" w:eastAsia="STKaiti" w:hAnsi="STKaiti" w:hint="eastAsia"/>
          <w:sz w:val="22"/>
          <w:szCs w:val="18"/>
          <w:lang w:eastAsia="zh-CN"/>
        </w:rPr>
        <w:t>与其他组织协作和交流信息</w:t>
      </w:r>
      <w:r>
        <w:rPr>
          <w:rFonts w:hint="eastAsia"/>
          <w:sz w:val="22"/>
          <w:szCs w:val="18"/>
          <w:lang w:eastAsia="zh-CN"/>
        </w:rPr>
        <w:t>）建议书新草案的批准（传统批准程序决定）相协调。四十二个成员国和</w:t>
      </w:r>
      <w:r w:rsidRPr="00E11CEB">
        <w:rPr>
          <w:rFonts w:hint="eastAsia"/>
          <w:sz w:val="22"/>
          <w:szCs w:val="18"/>
          <w:lang w:eastAsia="zh-CN"/>
        </w:rPr>
        <w:t>24</w:t>
      </w:r>
      <w:r>
        <w:rPr>
          <w:rFonts w:hint="eastAsia"/>
          <w:sz w:val="22"/>
          <w:szCs w:val="18"/>
          <w:lang w:eastAsia="zh-CN"/>
        </w:rPr>
        <w:t>个部门成员参加了会议，未对该意见提出异议。</w:t>
      </w:r>
    </w:p>
    <w:p w14:paraId="0123AC7D" w14:textId="77777777" w:rsidR="00F6669A" w:rsidRPr="00E11CEB" w:rsidRDefault="00F6669A" w:rsidP="00F6669A">
      <w:pPr>
        <w:rPr>
          <w:sz w:val="22"/>
          <w:szCs w:val="18"/>
          <w:lang w:eastAsia="zh-CN"/>
        </w:rPr>
      </w:pPr>
      <w:r w:rsidRPr="00E11CEB">
        <w:rPr>
          <w:sz w:val="22"/>
          <w:szCs w:val="18"/>
          <w:lang w:eastAsia="zh-CN"/>
        </w:rPr>
        <w:t>2</w:t>
      </w:r>
      <w:r w:rsidRPr="00E11CEB">
        <w:rPr>
          <w:sz w:val="22"/>
          <w:szCs w:val="18"/>
          <w:lang w:eastAsia="zh-CN"/>
        </w:rPr>
        <w:tab/>
      </w:r>
      <w:r w:rsidRPr="001F798F">
        <w:rPr>
          <w:rFonts w:hint="eastAsia"/>
          <w:sz w:val="22"/>
          <w:szCs w:val="18"/>
          <w:lang w:eastAsia="zh-CN"/>
        </w:rPr>
        <w:t>有关该一致意见的信息（包括对删除原因的简要说明）见</w:t>
      </w:r>
      <w:r w:rsidRPr="001F798F">
        <w:rPr>
          <w:rFonts w:hint="eastAsia"/>
          <w:b/>
          <w:bCs/>
          <w:sz w:val="22"/>
          <w:szCs w:val="18"/>
          <w:lang w:eastAsia="zh-CN"/>
        </w:rPr>
        <w:t>附件</w:t>
      </w:r>
      <w:r w:rsidRPr="001F798F">
        <w:rPr>
          <w:b/>
          <w:bCs/>
          <w:sz w:val="22"/>
          <w:szCs w:val="18"/>
          <w:lang w:eastAsia="zh-CN"/>
        </w:rPr>
        <w:t>1</w:t>
      </w:r>
      <w:r w:rsidRPr="001F798F">
        <w:rPr>
          <w:rFonts w:hint="eastAsia"/>
          <w:sz w:val="22"/>
          <w:szCs w:val="18"/>
          <w:lang w:eastAsia="zh-CN"/>
        </w:rPr>
        <w:t>。</w:t>
      </w:r>
    </w:p>
    <w:p w14:paraId="509CE7AA" w14:textId="77777777" w:rsidR="00F6669A" w:rsidRPr="00E11CEB" w:rsidRDefault="00F6669A" w:rsidP="00F6669A">
      <w:pPr>
        <w:rPr>
          <w:sz w:val="22"/>
          <w:szCs w:val="18"/>
          <w:lang w:eastAsia="zh-CN"/>
        </w:rPr>
      </w:pPr>
      <w:r w:rsidRPr="00E11CEB">
        <w:rPr>
          <w:sz w:val="22"/>
          <w:szCs w:val="18"/>
          <w:lang w:eastAsia="zh-CN"/>
        </w:rPr>
        <w:t>3</w:t>
      </w:r>
      <w:r w:rsidRPr="00E11CEB">
        <w:rPr>
          <w:sz w:val="22"/>
          <w:szCs w:val="18"/>
          <w:lang w:eastAsia="zh-CN"/>
        </w:rPr>
        <w:tab/>
      </w:r>
      <w:r w:rsidRPr="00392C49">
        <w:rPr>
          <w:rFonts w:hint="eastAsia"/>
          <w:sz w:val="22"/>
          <w:szCs w:val="18"/>
          <w:lang w:eastAsia="zh-CN"/>
        </w:rPr>
        <w:t>考虑到第</w:t>
      </w:r>
      <w:r w:rsidRPr="00392C49">
        <w:rPr>
          <w:sz w:val="22"/>
          <w:szCs w:val="18"/>
          <w:lang w:eastAsia="zh-CN"/>
        </w:rPr>
        <w:t>1</w:t>
      </w:r>
      <w:r w:rsidRPr="00392C49">
        <w:rPr>
          <w:rFonts w:hint="eastAsia"/>
          <w:sz w:val="22"/>
          <w:szCs w:val="18"/>
          <w:lang w:eastAsia="zh-CN"/>
        </w:rPr>
        <w:t>号决议第</w:t>
      </w:r>
      <w:r w:rsidRPr="00392C49">
        <w:rPr>
          <w:sz w:val="22"/>
          <w:szCs w:val="18"/>
          <w:lang w:eastAsia="zh-CN"/>
        </w:rPr>
        <w:t>9</w:t>
      </w:r>
      <w:r w:rsidRPr="00392C49">
        <w:rPr>
          <w:rFonts w:hint="eastAsia"/>
          <w:sz w:val="22"/>
          <w:szCs w:val="18"/>
          <w:lang w:eastAsia="zh-CN"/>
        </w:rPr>
        <w:t>节的规定，请您在</w:t>
      </w:r>
      <w:r w:rsidRPr="00392C49">
        <w:rPr>
          <w:b/>
          <w:bCs/>
          <w:sz w:val="22"/>
          <w:szCs w:val="18"/>
          <w:lang w:eastAsia="zh-CN"/>
        </w:rPr>
        <w:t>2024</w:t>
      </w:r>
      <w:r w:rsidRPr="00392C49">
        <w:rPr>
          <w:rFonts w:hint="eastAsia"/>
          <w:b/>
          <w:bCs/>
          <w:sz w:val="22"/>
          <w:szCs w:val="18"/>
          <w:lang w:eastAsia="zh-CN"/>
        </w:rPr>
        <w:t>年</w:t>
      </w:r>
      <w:r w:rsidRPr="00392C49">
        <w:rPr>
          <w:b/>
          <w:bCs/>
          <w:sz w:val="22"/>
          <w:szCs w:val="18"/>
          <w:lang w:eastAsia="zh-CN"/>
        </w:rPr>
        <w:t>8</w:t>
      </w:r>
      <w:r w:rsidRPr="00392C49">
        <w:rPr>
          <w:rFonts w:hint="eastAsia"/>
          <w:b/>
          <w:bCs/>
          <w:sz w:val="22"/>
          <w:szCs w:val="18"/>
          <w:lang w:eastAsia="zh-CN"/>
        </w:rPr>
        <w:t>月</w:t>
      </w:r>
      <w:r w:rsidRPr="00392C49">
        <w:rPr>
          <w:b/>
          <w:bCs/>
          <w:sz w:val="22"/>
          <w:szCs w:val="18"/>
          <w:lang w:eastAsia="zh-CN"/>
        </w:rPr>
        <w:t>1</w:t>
      </w:r>
      <w:r w:rsidRPr="00392C49">
        <w:rPr>
          <w:rFonts w:hint="eastAsia"/>
          <w:b/>
          <w:bCs/>
          <w:sz w:val="22"/>
          <w:szCs w:val="18"/>
          <w:lang w:eastAsia="zh-CN"/>
        </w:rPr>
        <w:t>日（星期四）</w:t>
      </w:r>
      <w:r w:rsidRPr="00392C49">
        <w:rPr>
          <w:rFonts w:hint="eastAsia"/>
          <w:sz w:val="22"/>
          <w:szCs w:val="18"/>
          <w:lang w:eastAsia="zh-CN"/>
        </w:rPr>
        <w:t>协调世界时（</w:t>
      </w:r>
      <w:r w:rsidRPr="00392C49">
        <w:rPr>
          <w:sz w:val="22"/>
          <w:szCs w:val="18"/>
          <w:lang w:eastAsia="zh-CN"/>
        </w:rPr>
        <w:t>UTC</w:t>
      </w:r>
      <w:r w:rsidRPr="00392C49">
        <w:rPr>
          <w:rFonts w:hint="eastAsia"/>
          <w:sz w:val="22"/>
          <w:szCs w:val="18"/>
          <w:lang w:eastAsia="zh-CN"/>
        </w:rPr>
        <w:t>）</w:t>
      </w:r>
      <w:r w:rsidRPr="00392C49">
        <w:rPr>
          <w:sz w:val="22"/>
          <w:szCs w:val="18"/>
          <w:lang w:eastAsia="zh-CN"/>
        </w:rPr>
        <w:t>24</w:t>
      </w:r>
      <w:r w:rsidRPr="00392C49">
        <w:rPr>
          <w:rFonts w:hint="eastAsia"/>
          <w:sz w:val="22"/>
          <w:szCs w:val="18"/>
          <w:lang w:eastAsia="zh-CN"/>
        </w:rPr>
        <w:t>时之前告知我，贵主管部门</w:t>
      </w:r>
      <w:r w:rsidRPr="00392C49">
        <w:rPr>
          <w:sz w:val="22"/>
          <w:szCs w:val="18"/>
          <w:lang w:eastAsia="zh-CN"/>
        </w:rPr>
        <w:t>/</w:t>
      </w:r>
      <w:r>
        <w:rPr>
          <w:rFonts w:hint="eastAsia"/>
          <w:sz w:val="22"/>
          <w:szCs w:val="18"/>
          <w:lang w:eastAsia="zh-CN"/>
        </w:rPr>
        <w:t>组织</w:t>
      </w:r>
      <w:r w:rsidRPr="00392C49">
        <w:rPr>
          <w:rFonts w:hint="eastAsia"/>
          <w:sz w:val="22"/>
          <w:szCs w:val="18"/>
          <w:lang w:eastAsia="zh-CN"/>
        </w:rPr>
        <w:t>批准还是反对此项删除。</w:t>
      </w:r>
    </w:p>
    <w:p w14:paraId="2E703DB3" w14:textId="77777777" w:rsidR="00F6669A" w:rsidRPr="00E11CEB" w:rsidRDefault="00F6669A" w:rsidP="00F6669A">
      <w:pPr>
        <w:rPr>
          <w:sz w:val="22"/>
          <w:szCs w:val="18"/>
          <w:lang w:eastAsia="zh-CN"/>
        </w:rPr>
      </w:pPr>
      <w:r w:rsidRPr="00E11CEB">
        <w:rPr>
          <w:sz w:val="22"/>
          <w:szCs w:val="18"/>
          <w:lang w:eastAsia="zh-CN"/>
        </w:rPr>
        <w:tab/>
      </w:r>
      <w:r w:rsidRPr="00392C49">
        <w:rPr>
          <w:rFonts w:hint="eastAsia"/>
          <w:sz w:val="22"/>
          <w:szCs w:val="18"/>
          <w:lang w:eastAsia="zh-CN"/>
        </w:rPr>
        <w:t>如有成员国或部门成员认为</w:t>
      </w:r>
      <w:proofErr w:type="gramStart"/>
      <w:r w:rsidRPr="00392C49">
        <w:rPr>
          <w:rFonts w:hint="eastAsia"/>
          <w:sz w:val="22"/>
          <w:szCs w:val="18"/>
          <w:lang w:eastAsia="zh-CN"/>
        </w:rPr>
        <w:t>不</w:t>
      </w:r>
      <w:proofErr w:type="gramEnd"/>
      <w:r w:rsidRPr="00392C49">
        <w:rPr>
          <w:rFonts w:hint="eastAsia"/>
          <w:sz w:val="22"/>
          <w:szCs w:val="18"/>
          <w:lang w:eastAsia="zh-CN"/>
        </w:rPr>
        <w:t>应接受删除，则应阐明其反对原因，</w:t>
      </w:r>
      <w:r>
        <w:rPr>
          <w:rFonts w:hint="eastAsia"/>
          <w:sz w:val="22"/>
          <w:szCs w:val="18"/>
          <w:lang w:eastAsia="zh-CN"/>
        </w:rPr>
        <w:t>届时</w:t>
      </w:r>
      <w:r w:rsidRPr="00392C49">
        <w:rPr>
          <w:rFonts w:hint="eastAsia"/>
          <w:sz w:val="22"/>
          <w:szCs w:val="18"/>
          <w:lang w:eastAsia="zh-CN"/>
        </w:rPr>
        <w:t>该问题将退回研究组重新审议。</w:t>
      </w:r>
    </w:p>
    <w:p w14:paraId="22FBD246" w14:textId="77777777" w:rsidR="00F6669A" w:rsidRPr="00E11CEB" w:rsidRDefault="00F6669A" w:rsidP="00F6669A">
      <w:pPr>
        <w:tabs>
          <w:tab w:val="left" w:pos="1296"/>
          <w:tab w:val="left" w:pos="2160"/>
          <w:tab w:val="left" w:pos="3024"/>
          <w:tab w:val="left" w:pos="7056"/>
          <w:tab w:val="left" w:pos="8496"/>
        </w:tabs>
        <w:rPr>
          <w:sz w:val="22"/>
          <w:szCs w:val="18"/>
          <w:lang w:eastAsia="zh-CN"/>
        </w:rPr>
      </w:pPr>
      <w:r w:rsidRPr="00E11CEB">
        <w:rPr>
          <w:sz w:val="22"/>
          <w:szCs w:val="18"/>
          <w:lang w:eastAsia="zh-CN"/>
        </w:rPr>
        <w:t>4</w:t>
      </w:r>
      <w:r w:rsidRPr="00E11CEB">
        <w:rPr>
          <w:sz w:val="22"/>
          <w:szCs w:val="18"/>
          <w:lang w:eastAsia="zh-CN"/>
        </w:rPr>
        <w:tab/>
      </w:r>
      <w:r>
        <w:rPr>
          <w:rFonts w:hint="eastAsia"/>
          <w:sz w:val="22"/>
          <w:szCs w:val="18"/>
          <w:lang w:eastAsia="zh-CN"/>
        </w:rPr>
        <w:t>在第</w:t>
      </w:r>
      <w:r>
        <w:rPr>
          <w:rFonts w:hint="eastAsia"/>
          <w:sz w:val="22"/>
          <w:szCs w:val="18"/>
          <w:lang w:eastAsia="zh-CN"/>
        </w:rPr>
        <w:t>3</w:t>
      </w:r>
      <w:r>
        <w:rPr>
          <w:rFonts w:hint="eastAsia"/>
          <w:sz w:val="22"/>
          <w:szCs w:val="18"/>
          <w:lang w:eastAsia="zh-CN"/>
        </w:rPr>
        <w:t>段的截止日期之后，电信标准化局（</w:t>
      </w:r>
      <w:r>
        <w:rPr>
          <w:rFonts w:hint="eastAsia"/>
          <w:sz w:val="22"/>
          <w:szCs w:val="18"/>
          <w:lang w:eastAsia="zh-CN"/>
        </w:rPr>
        <w:t>TSB</w:t>
      </w:r>
      <w:r>
        <w:rPr>
          <w:rFonts w:hint="eastAsia"/>
          <w:sz w:val="22"/>
          <w:szCs w:val="18"/>
          <w:lang w:eastAsia="zh-CN"/>
        </w:rPr>
        <w:t>）主任将通过一份通函通报磋商结果。该结果亦将在《国际电联操作公报》中公布。</w:t>
      </w:r>
    </w:p>
    <w:p w14:paraId="31BE7D87" w14:textId="77777777" w:rsidR="00F6669A" w:rsidRPr="00020DAD" w:rsidRDefault="00F6669A" w:rsidP="00F6669A">
      <w:pPr>
        <w:keepNext/>
        <w:keepLines/>
        <w:spacing w:before="240" w:after="240"/>
        <w:rPr>
          <w:sz w:val="22"/>
          <w:szCs w:val="18"/>
          <w:lang w:eastAsia="zh-CN"/>
        </w:rPr>
      </w:pPr>
      <w:r>
        <w:rPr>
          <w:rFonts w:hint="eastAsia"/>
          <w:sz w:val="22"/>
          <w:szCs w:val="18"/>
          <w:lang w:eastAsia="zh-CN"/>
        </w:rPr>
        <w:t>顺致敬意！</w:t>
      </w:r>
    </w:p>
    <w:p w14:paraId="73E2836D" w14:textId="77777777" w:rsidR="00F6669A" w:rsidRPr="00E11CEB" w:rsidRDefault="00F6669A" w:rsidP="00F6669A">
      <w:pPr>
        <w:keepNext/>
        <w:keepLines/>
        <w:spacing w:before="1080"/>
        <w:rPr>
          <w:rFonts w:ascii="SimSun" w:hAnsi="SimSun"/>
          <w:sz w:val="22"/>
          <w:szCs w:val="18"/>
          <w:lang w:eastAsia="zh-CN"/>
        </w:rPr>
      </w:pPr>
      <w:r w:rsidRPr="00E11CEB">
        <w:rPr>
          <w:rFonts w:ascii="SimSun" w:hAnsi="SimSun" w:hint="eastAsia"/>
          <w:noProof/>
          <w:sz w:val="22"/>
          <w:szCs w:val="22"/>
          <w:lang w:val="zh-CN" w:eastAsia="zh-CN"/>
        </w:rPr>
        <w:drawing>
          <wp:anchor distT="0" distB="0" distL="114300" distR="114300" simplePos="0" relativeHeight="251659264" behindDoc="0" locked="0" layoutInCell="1" allowOverlap="1" wp14:anchorId="1C8D198E" wp14:editId="6C1A0EA3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938145" cy="352425"/>
            <wp:effectExtent l="0" t="0" r="0" b="0"/>
            <wp:wrapNone/>
            <wp:docPr id="1" name="Picture 1" descr="A black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319676" name="Picture 1" descr="A black and white text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8145" cy="352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11CEB">
        <w:rPr>
          <w:rFonts w:ascii="SimSun" w:hAnsi="SimSun" w:cs="Microsoft YaHei" w:hint="eastAsia"/>
          <w:sz w:val="22"/>
          <w:szCs w:val="18"/>
          <w:lang w:eastAsia="zh-CN"/>
        </w:rPr>
        <w:t>电信标准化局主任</w:t>
      </w:r>
      <w:r w:rsidRPr="00E11CEB">
        <w:rPr>
          <w:rFonts w:ascii="SimSun" w:hAnsi="SimSun"/>
          <w:sz w:val="22"/>
          <w:szCs w:val="18"/>
          <w:lang w:eastAsia="zh-CN"/>
        </w:rPr>
        <w:br/>
      </w:r>
      <w:r w:rsidRPr="00E11CEB">
        <w:rPr>
          <w:rFonts w:ascii="SimSun" w:hAnsi="SimSun" w:hint="eastAsia"/>
          <w:sz w:val="22"/>
          <w:szCs w:val="18"/>
          <w:lang w:eastAsia="zh-CN"/>
        </w:rPr>
        <w:t>尾上诚藏</w:t>
      </w:r>
    </w:p>
    <w:p w14:paraId="53D8CF34" w14:textId="77777777" w:rsidR="00F6669A" w:rsidRPr="00020DAD" w:rsidRDefault="00F6669A" w:rsidP="00F6669A">
      <w:pPr>
        <w:spacing w:before="360"/>
        <w:rPr>
          <w:b/>
          <w:bCs/>
          <w:sz w:val="22"/>
          <w:szCs w:val="18"/>
          <w:lang w:val="en-US" w:eastAsia="zh-CN"/>
        </w:rPr>
      </w:pPr>
      <w:r w:rsidRPr="00E11CEB">
        <w:rPr>
          <w:rFonts w:ascii="SimSun" w:hAnsi="SimSun" w:hint="eastAsia"/>
          <w:b/>
          <w:sz w:val="22"/>
          <w:szCs w:val="18"/>
          <w:lang w:eastAsia="zh-CN"/>
        </w:rPr>
        <w:t>附件</w:t>
      </w:r>
      <w:r w:rsidRPr="00E11CEB">
        <w:rPr>
          <w:rFonts w:ascii="SimSun" w:hAnsi="SimSun" w:hint="eastAsia"/>
          <w:bCs/>
          <w:sz w:val="22"/>
          <w:szCs w:val="18"/>
          <w:lang w:eastAsia="zh-CN"/>
        </w:rPr>
        <w:t>：</w:t>
      </w:r>
      <w:r>
        <w:rPr>
          <w:rFonts w:hint="eastAsia"/>
          <w:sz w:val="22"/>
          <w:szCs w:val="18"/>
          <w:lang w:eastAsia="zh-CN"/>
        </w:rPr>
        <w:t>1</w:t>
      </w:r>
      <w:r w:rsidRPr="00E11CEB">
        <w:rPr>
          <w:rFonts w:ascii="SimSun" w:hAnsi="SimSun" w:hint="eastAsia"/>
          <w:sz w:val="22"/>
          <w:szCs w:val="18"/>
          <w:lang w:eastAsia="zh-CN"/>
        </w:rPr>
        <w:t>件</w:t>
      </w:r>
    </w:p>
    <w:p w14:paraId="3F91D93B" w14:textId="77777777" w:rsidR="00F6669A" w:rsidRPr="009E7E69" w:rsidRDefault="00F6669A" w:rsidP="00F6669A">
      <w:pPr>
        <w:pStyle w:val="Annextitle0"/>
        <w:rPr>
          <w:lang w:val="en-US" w:eastAsia="zh-CN"/>
        </w:rPr>
      </w:pPr>
      <w:r>
        <w:rPr>
          <w:lang w:eastAsia="zh-CN"/>
        </w:rPr>
        <w:br w:type="page"/>
      </w:r>
      <w:r w:rsidRPr="009E7E69">
        <w:rPr>
          <w:rFonts w:hint="eastAsia"/>
          <w:lang w:val="en-US" w:eastAsia="zh-CN"/>
        </w:rPr>
        <w:lastRenderedPageBreak/>
        <w:t>附件</w:t>
      </w:r>
      <w:r w:rsidRPr="009E7E69">
        <w:rPr>
          <w:lang w:val="en-US" w:eastAsia="zh-CN"/>
        </w:rPr>
        <w:t>1</w:t>
      </w:r>
    </w:p>
    <w:p w14:paraId="59477005" w14:textId="77777777" w:rsidR="00F6669A" w:rsidRPr="002A78F0" w:rsidRDefault="00F6669A" w:rsidP="00F6669A">
      <w:pPr>
        <w:pStyle w:val="Annextitle0"/>
        <w:rPr>
          <w:rFonts w:asciiTheme="minorHAnsi" w:eastAsia="SimSun" w:hAnsiTheme="minorHAnsi" w:cstheme="minorHAnsi"/>
          <w:lang w:val="fr-FR" w:eastAsia="zh-CN"/>
        </w:rPr>
      </w:pPr>
      <w:r w:rsidRPr="001F41AA">
        <w:rPr>
          <w:rFonts w:asciiTheme="minorHAnsi" w:eastAsia="SimSun" w:hAnsiTheme="minorHAnsi" w:cstheme="minorHAnsi"/>
          <w:lang w:eastAsia="zh-CN"/>
        </w:rPr>
        <w:t>拟议删除的建议书</w:t>
      </w:r>
      <w:r w:rsidRPr="002A78F0">
        <w:rPr>
          <w:rFonts w:asciiTheme="minorHAnsi" w:eastAsia="SimSun" w:hAnsiTheme="minorHAnsi" w:cstheme="minorHAnsi"/>
          <w:lang w:val="fr-FR" w:eastAsia="zh-CN"/>
        </w:rPr>
        <w:t>：</w:t>
      </w:r>
      <w:r w:rsidRPr="002A78F0">
        <w:rPr>
          <w:rFonts w:asciiTheme="minorHAnsi" w:eastAsia="SimSun" w:hAnsiTheme="minorHAnsi" w:cstheme="minorHAnsi"/>
          <w:lang w:val="fr-FR" w:eastAsia="zh-CN"/>
        </w:rPr>
        <w:t>ITU-T A.4 (</w:t>
      </w:r>
      <w:proofErr w:type="gramStart"/>
      <w:r w:rsidRPr="002A78F0">
        <w:rPr>
          <w:rFonts w:asciiTheme="minorHAnsi" w:eastAsia="SimSun" w:hAnsiTheme="minorHAnsi" w:cstheme="minorHAnsi"/>
          <w:lang w:val="fr-FR" w:eastAsia="zh-CN"/>
        </w:rPr>
        <w:t>2012)</w:t>
      </w:r>
      <w:r w:rsidRPr="001F41AA">
        <w:rPr>
          <w:rFonts w:asciiTheme="minorHAnsi" w:eastAsia="SimSun" w:hAnsiTheme="minorHAnsi" w:cstheme="minorHAnsi"/>
          <w:lang w:eastAsia="zh-CN"/>
        </w:rPr>
        <w:t>和</w:t>
      </w:r>
      <w:proofErr w:type="gramEnd"/>
      <w:r w:rsidRPr="002A78F0">
        <w:rPr>
          <w:rFonts w:asciiTheme="minorHAnsi" w:eastAsia="SimSun" w:hAnsiTheme="minorHAnsi" w:cstheme="minorHAnsi"/>
          <w:lang w:val="fr-FR" w:eastAsia="zh-CN"/>
        </w:rPr>
        <w:t>A.6 (2012)</w:t>
      </w:r>
    </w:p>
    <w:p w14:paraId="24A14383" w14:textId="77777777" w:rsidR="00F6669A" w:rsidRPr="002A78F0" w:rsidRDefault="00F6669A" w:rsidP="00F6669A">
      <w:pPr>
        <w:pStyle w:val="Headingb0"/>
        <w:spacing w:before="480"/>
        <w:rPr>
          <w:rFonts w:eastAsia="SimSun"/>
          <w:lang w:val="fr-FR" w:eastAsia="zh-CN"/>
        </w:rPr>
      </w:pPr>
      <w:r w:rsidRPr="002A78F0">
        <w:rPr>
          <w:rFonts w:eastAsia="SimSun"/>
          <w:lang w:val="fr-FR" w:eastAsia="zh-CN"/>
        </w:rPr>
        <w:t>A.4</w:t>
      </w:r>
      <w:r w:rsidRPr="002A78F0">
        <w:rPr>
          <w:rFonts w:eastAsia="SimSun" w:hint="eastAsia"/>
          <w:lang w:val="fr-FR" w:eastAsia="zh-CN"/>
        </w:rPr>
        <w:t xml:space="preserve"> </w:t>
      </w:r>
      <w:r w:rsidRPr="002A78F0">
        <w:rPr>
          <w:rFonts w:eastAsia="SimSun"/>
          <w:lang w:val="fr-FR" w:eastAsia="zh-CN"/>
        </w:rPr>
        <w:t>(</w:t>
      </w:r>
      <w:proofErr w:type="gramStart"/>
      <w:r w:rsidRPr="002A78F0">
        <w:rPr>
          <w:rFonts w:eastAsia="SimSun" w:hint="eastAsia"/>
          <w:lang w:val="fr-FR" w:eastAsia="zh-CN"/>
        </w:rPr>
        <w:t>2</w:t>
      </w:r>
      <w:r w:rsidRPr="002A78F0">
        <w:rPr>
          <w:rFonts w:eastAsia="SimSun"/>
          <w:lang w:val="fr-FR" w:eastAsia="zh-CN"/>
        </w:rPr>
        <w:t>012</w:t>
      </w:r>
      <w:r w:rsidRPr="002A78F0">
        <w:rPr>
          <w:rFonts w:eastAsia="SimSun" w:hint="eastAsia"/>
          <w:lang w:val="fr-FR" w:eastAsia="zh-CN"/>
        </w:rPr>
        <w:t>)</w:t>
      </w:r>
      <w:r w:rsidRPr="00B2220A">
        <w:rPr>
          <w:rFonts w:eastAsia="SimSun" w:hint="eastAsia"/>
          <w:lang w:eastAsia="zh-CN"/>
        </w:rPr>
        <w:t>建议书</w:t>
      </w:r>
      <w:proofErr w:type="gramEnd"/>
      <w:r w:rsidRPr="002A78F0">
        <w:rPr>
          <w:rFonts w:eastAsia="SimSun" w:hint="eastAsia"/>
          <w:lang w:val="fr-FR" w:eastAsia="zh-CN"/>
        </w:rPr>
        <w:t>，</w:t>
      </w:r>
      <w:r w:rsidRPr="00B2220A">
        <w:rPr>
          <w:rFonts w:ascii="STKaiti" w:eastAsia="STKaiti" w:hAnsi="STKaiti" w:hint="eastAsia"/>
          <w:lang w:eastAsia="zh-CN"/>
        </w:rPr>
        <w:t>国际电联电信标准化部门与论坛和企业联盟的交流程序</w:t>
      </w:r>
    </w:p>
    <w:p w14:paraId="59A7CE4E" w14:textId="77777777" w:rsidR="00F6669A" w:rsidRPr="002A78F0" w:rsidRDefault="00F6669A" w:rsidP="0091493D">
      <w:pPr>
        <w:pStyle w:val="Headingb0"/>
        <w:spacing w:before="240"/>
        <w:rPr>
          <w:rFonts w:asciiTheme="minorHAnsi" w:eastAsia="SimSun" w:hAnsiTheme="minorHAnsi" w:cstheme="minorHAnsi"/>
          <w:lang w:val="fr-FR" w:eastAsia="zh-CN"/>
        </w:rPr>
      </w:pPr>
      <w:r w:rsidRPr="00B2220A">
        <w:rPr>
          <w:rFonts w:asciiTheme="minorHAnsi" w:eastAsia="SimSun" w:hAnsiTheme="minorHAnsi" w:cstheme="minorHAnsi" w:hint="eastAsia"/>
          <w:lang w:eastAsia="zh-CN"/>
        </w:rPr>
        <w:t>批准日期</w:t>
      </w:r>
      <w:r w:rsidRPr="002A78F0">
        <w:rPr>
          <w:rFonts w:asciiTheme="minorHAnsi" w:eastAsia="SimSun" w:hAnsiTheme="minorHAnsi" w:cstheme="minorHAnsi" w:hint="eastAsia"/>
          <w:lang w:val="fr-FR" w:eastAsia="zh-CN"/>
        </w:rPr>
        <w:t>：</w:t>
      </w:r>
      <w:r w:rsidRPr="002A78F0">
        <w:rPr>
          <w:rFonts w:asciiTheme="minorHAnsi" w:eastAsia="SimSun" w:hAnsiTheme="minorHAnsi" w:cstheme="minorHAnsi"/>
          <w:lang w:val="fr-FR" w:eastAsia="zh-CN"/>
        </w:rPr>
        <w:t>2012-11-30</w:t>
      </w:r>
    </w:p>
    <w:p w14:paraId="15A27EC0" w14:textId="77777777" w:rsidR="00F6669A" w:rsidRPr="002A78F0" w:rsidRDefault="00F6669A" w:rsidP="0091493D">
      <w:pPr>
        <w:pStyle w:val="Headingb0"/>
        <w:spacing w:before="240"/>
        <w:rPr>
          <w:rFonts w:asciiTheme="minorHAnsi" w:eastAsia="SimSun" w:hAnsiTheme="minorHAnsi" w:cstheme="minorHAnsi"/>
          <w:lang w:val="fr-FR" w:eastAsia="zh-CN"/>
        </w:rPr>
      </w:pPr>
      <w:r w:rsidRPr="00B2220A">
        <w:rPr>
          <w:rFonts w:asciiTheme="minorHAnsi" w:eastAsia="SimSun" w:hAnsiTheme="minorHAnsi" w:cstheme="minorHAnsi" w:hint="eastAsia"/>
          <w:lang w:eastAsia="zh-CN"/>
        </w:rPr>
        <w:t>概要</w:t>
      </w:r>
    </w:p>
    <w:p w14:paraId="15E53B42" w14:textId="77777777" w:rsidR="00F6669A" w:rsidRPr="009E7E69" w:rsidRDefault="00F6669A" w:rsidP="00F6669A">
      <w:pPr>
        <w:ind w:firstLineChars="200" w:firstLine="480"/>
        <w:rPr>
          <w:rFonts w:cstheme="minorHAnsi"/>
          <w:szCs w:val="24"/>
          <w:lang w:eastAsia="zh-CN"/>
        </w:rPr>
      </w:pPr>
      <w:r>
        <w:rPr>
          <w:rFonts w:cstheme="minorHAnsi" w:hint="eastAsia"/>
          <w:szCs w:val="24"/>
          <w:lang w:eastAsia="zh-CN"/>
        </w:rPr>
        <w:t>该</w:t>
      </w:r>
      <w:r w:rsidRPr="00DC67B6">
        <w:rPr>
          <w:rFonts w:cstheme="minorHAnsi" w:hint="eastAsia"/>
          <w:szCs w:val="24"/>
          <w:lang w:eastAsia="zh-CN"/>
        </w:rPr>
        <w:t>建议书</w:t>
      </w:r>
      <w:r>
        <w:rPr>
          <w:rFonts w:cstheme="minorHAnsi" w:hint="eastAsia"/>
          <w:szCs w:val="24"/>
          <w:lang w:eastAsia="zh-CN"/>
        </w:rPr>
        <w:t>阐述</w:t>
      </w:r>
      <w:r w:rsidRPr="00DC67B6">
        <w:rPr>
          <w:rFonts w:cstheme="minorHAnsi" w:hint="eastAsia"/>
          <w:szCs w:val="24"/>
          <w:lang w:eastAsia="zh-CN"/>
        </w:rPr>
        <w:t>了如何启动</w:t>
      </w:r>
      <w:r w:rsidRPr="002A78F0">
        <w:rPr>
          <w:rFonts w:cstheme="minorHAnsi"/>
          <w:szCs w:val="24"/>
          <w:lang w:val="fr-FR" w:eastAsia="zh-CN"/>
        </w:rPr>
        <w:t>ITU-T</w:t>
      </w:r>
      <w:r w:rsidRPr="00DC67B6">
        <w:rPr>
          <w:rFonts w:cstheme="minorHAnsi" w:hint="eastAsia"/>
          <w:szCs w:val="24"/>
          <w:lang w:eastAsia="zh-CN"/>
        </w:rPr>
        <w:t>与论坛</w:t>
      </w:r>
      <w:r w:rsidRPr="002A78F0">
        <w:rPr>
          <w:rFonts w:cstheme="minorHAnsi"/>
          <w:szCs w:val="24"/>
          <w:lang w:val="fr-FR" w:eastAsia="zh-CN"/>
        </w:rPr>
        <w:t>/</w:t>
      </w:r>
      <w:r>
        <w:rPr>
          <w:rFonts w:cstheme="minorHAnsi" w:hint="eastAsia"/>
          <w:szCs w:val="24"/>
          <w:lang w:eastAsia="zh-CN"/>
        </w:rPr>
        <w:t>联盟</w:t>
      </w:r>
      <w:r w:rsidRPr="00DC67B6">
        <w:rPr>
          <w:rFonts w:cstheme="minorHAnsi" w:hint="eastAsia"/>
          <w:szCs w:val="24"/>
          <w:lang w:eastAsia="zh-CN"/>
        </w:rPr>
        <w:t>之间的交流</w:t>
      </w:r>
      <w:r>
        <w:rPr>
          <w:rFonts w:cstheme="minorHAnsi" w:hint="eastAsia"/>
          <w:szCs w:val="24"/>
          <w:lang w:eastAsia="zh-CN"/>
        </w:rPr>
        <w:t>程序</w:t>
      </w:r>
      <w:r w:rsidRPr="00DC67B6">
        <w:rPr>
          <w:rFonts w:cstheme="minorHAnsi" w:hint="eastAsia"/>
          <w:szCs w:val="24"/>
          <w:lang w:eastAsia="zh-CN"/>
        </w:rPr>
        <w:t>。</w:t>
      </w:r>
      <w:r>
        <w:rPr>
          <w:rFonts w:cstheme="minorHAnsi" w:hint="eastAsia"/>
          <w:szCs w:val="24"/>
          <w:lang w:eastAsia="zh-CN"/>
        </w:rPr>
        <w:t>它</w:t>
      </w:r>
      <w:r w:rsidRPr="00DC67B6">
        <w:rPr>
          <w:rFonts w:cstheme="minorHAnsi" w:hint="eastAsia"/>
          <w:szCs w:val="24"/>
          <w:lang w:eastAsia="zh-CN"/>
        </w:rPr>
        <w:t>列出了论坛</w:t>
      </w:r>
      <w:r w:rsidRPr="00DC67B6">
        <w:rPr>
          <w:rFonts w:cstheme="minorHAnsi"/>
          <w:szCs w:val="24"/>
          <w:lang w:eastAsia="zh-CN"/>
        </w:rPr>
        <w:t>/</w:t>
      </w:r>
      <w:r>
        <w:rPr>
          <w:rFonts w:cstheme="minorHAnsi" w:hint="eastAsia"/>
          <w:szCs w:val="24"/>
          <w:lang w:eastAsia="zh-CN"/>
        </w:rPr>
        <w:t>联盟需符合</w:t>
      </w:r>
      <w:r w:rsidRPr="00DC67B6">
        <w:rPr>
          <w:rFonts w:cstheme="minorHAnsi" w:hint="eastAsia"/>
          <w:szCs w:val="24"/>
          <w:lang w:eastAsia="zh-CN"/>
        </w:rPr>
        <w:t>的</w:t>
      </w:r>
      <w:r w:rsidRPr="00DC67B6">
        <w:rPr>
          <w:rFonts w:cstheme="minorHAnsi"/>
          <w:szCs w:val="24"/>
          <w:lang w:eastAsia="zh-CN"/>
        </w:rPr>
        <w:t>A.4</w:t>
      </w:r>
      <w:r w:rsidRPr="00DC67B6">
        <w:rPr>
          <w:rFonts w:cstheme="minorHAnsi" w:hint="eastAsia"/>
          <w:szCs w:val="24"/>
          <w:lang w:eastAsia="zh-CN"/>
        </w:rPr>
        <w:t>资格标准，并描述了符合</w:t>
      </w:r>
      <w:r w:rsidRPr="00DC67B6">
        <w:rPr>
          <w:rFonts w:cstheme="minorHAnsi"/>
          <w:szCs w:val="24"/>
          <w:lang w:eastAsia="zh-CN"/>
        </w:rPr>
        <w:t>A.4</w:t>
      </w:r>
      <w:r w:rsidRPr="00DC67B6">
        <w:rPr>
          <w:rFonts w:cstheme="minorHAnsi" w:hint="eastAsia"/>
          <w:szCs w:val="24"/>
          <w:lang w:eastAsia="zh-CN"/>
        </w:rPr>
        <w:t>资格要求的论坛</w:t>
      </w:r>
      <w:r w:rsidRPr="00DC67B6">
        <w:rPr>
          <w:rFonts w:cstheme="minorHAnsi"/>
          <w:szCs w:val="24"/>
          <w:lang w:eastAsia="zh-CN"/>
        </w:rPr>
        <w:t>/</w:t>
      </w:r>
      <w:r>
        <w:rPr>
          <w:rFonts w:cstheme="minorHAnsi" w:hint="eastAsia"/>
          <w:szCs w:val="24"/>
          <w:lang w:eastAsia="zh-CN"/>
        </w:rPr>
        <w:t>联盟</w:t>
      </w:r>
      <w:r w:rsidRPr="00DC67B6">
        <w:rPr>
          <w:rFonts w:cstheme="minorHAnsi" w:hint="eastAsia"/>
          <w:szCs w:val="24"/>
          <w:lang w:eastAsia="zh-CN"/>
        </w:rPr>
        <w:t>与</w:t>
      </w:r>
      <w:r w:rsidRPr="00DC67B6">
        <w:rPr>
          <w:rFonts w:cstheme="minorHAnsi"/>
          <w:szCs w:val="24"/>
          <w:lang w:eastAsia="zh-CN"/>
        </w:rPr>
        <w:t>ITU-T</w:t>
      </w:r>
      <w:r w:rsidRPr="00DC67B6">
        <w:rPr>
          <w:rFonts w:cstheme="minorHAnsi" w:hint="eastAsia"/>
          <w:szCs w:val="24"/>
          <w:lang w:eastAsia="zh-CN"/>
        </w:rPr>
        <w:t>之间的文件</w:t>
      </w:r>
      <w:r>
        <w:rPr>
          <w:rFonts w:cstheme="minorHAnsi" w:hint="eastAsia"/>
          <w:szCs w:val="24"/>
          <w:lang w:eastAsia="zh-CN"/>
        </w:rPr>
        <w:t>交流程序</w:t>
      </w:r>
      <w:r w:rsidRPr="00DC67B6">
        <w:rPr>
          <w:rFonts w:cstheme="minorHAnsi" w:hint="eastAsia"/>
          <w:szCs w:val="24"/>
          <w:lang w:eastAsia="zh-CN"/>
        </w:rPr>
        <w:t>。</w:t>
      </w:r>
    </w:p>
    <w:p w14:paraId="161F0C99" w14:textId="77777777" w:rsidR="00F6669A" w:rsidRPr="009E7E69" w:rsidRDefault="00F6669A" w:rsidP="00F6669A">
      <w:pPr>
        <w:pStyle w:val="Headingb0"/>
        <w:spacing w:before="480"/>
        <w:rPr>
          <w:rFonts w:eastAsia="SimSun"/>
          <w:lang w:eastAsia="zh-CN"/>
        </w:rPr>
      </w:pPr>
      <w:r w:rsidRPr="009E7E69">
        <w:rPr>
          <w:rFonts w:eastAsia="SimSun"/>
          <w:lang w:eastAsia="zh-CN"/>
        </w:rPr>
        <w:t>A.</w:t>
      </w:r>
      <w:r w:rsidRPr="009E7E69">
        <w:rPr>
          <w:rFonts w:eastAsia="SimSun" w:hint="eastAsia"/>
          <w:lang w:eastAsia="zh-CN"/>
        </w:rPr>
        <w:t>6</w:t>
      </w:r>
      <w:r w:rsidRPr="009E7E69">
        <w:rPr>
          <w:rFonts w:eastAsia="SimSun"/>
          <w:lang w:eastAsia="zh-CN"/>
        </w:rPr>
        <w:t xml:space="preserve"> (</w:t>
      </w:r>
      <w:proofErr w:type="gramStart"/>
      <w:r w:rsidRPr="009E7E69">
        <w:rPr>
          <w:rFonts w:eastAsia="SimSun"/>
          <w:lang w:eastAsia="zh-CN"/>
        </w:rPr>
        <w:t>2012)</w:t>
      </w:r>
      <w:r>
        <w:rPr>
          <w:rFonts w:eastAsia="SimSun" w:hint="eastAsia"/>
          <w:lang w:eastAsia="zh-CN"/>
        </w:rPr>
        <w:t>建议书</w:t>
      </w:r>
      <w:proofErr w:type="gramEnd"/>
      <w:r>
        <w:rPr>
          <w:rFonts w:eastAsia="SimSun" w:hint="eastAsia"/>
          <w:lang w:eastAsia="zh-CN"/>
        </w:rPr>
        <w:t>，</w:t>
      </w:r>
      <w:r w:rsidRPr="00B2220A">
        <w:rPr>
          <w:rFonts w:ascii="STKaiti" w:eastAsia="STKaiti" w:hAnsi="STKaiti" w:hint="eastAsia"/>
          <w:lang w:eastAsia="zh-CN"/>
        </w:rPr>
        <w:t>国</w:t>
      </w:r>
      <w:r w:rsidRPr="00B2220A">
        <w:rPr>
          <w:rFonts w:ascii="STKaiti" w:eastAsia="STKaiti" w:hAnsi="STKaiti" w:cs="Microsoft YaHei" w:hint="eastAsia"/>
          <w:lang w:eastAsia="zh-CN"/>
        </w:rPr>
        <w:t>际电联电</w:t>
      </w:r>
      <w:r w:rsidRPr="00B2220A">
        <w:rPr>
          <w:rFonts w:ascii="STKaiti" w:eastAsia="STKaiti" w:hAnsi="STKaiti" w:cs="MS Mincho" w:hint="eastAsia"/>
          <w:lang w:eastAsia="zh-CN"/>
        </w:rPr>
        <w:t>信</w:t>
      </w:r>
      <w:r w:rsidRPr="00B2220A">
        <w:rPr>
          <w:rFonts w:ascii="STKaiti" w:eastAsia="STKaiti" w:hAnsi="STKaiti" w:cs="Microsoft YaHei" w:hint="eastAsia"/>
          <w:lang w:eastAsia="zh-CN"/>
        </w:rPr>
        <w:t>标</w:t>
      </w:r>
      <w:r w:rsidRPr="00B2220A">
        <w:rPr>
          <w:rFonts w:ascii="STKaiti" w:eastAsia="STKaiti" w:hAnsi="STKaiti" w:cs="MS Mincho" w:hint="eastAsia"/>
          <w:lang w:eastAsia="zh-CN"/>
        </w:rPr>
        <w:t>准化部</w:t>
      </w:r>
      <w:r w:rsidRPr="00B2220A">
        <w:rPr>
          <w:rFonts w:ascii="STKaiti" w:eastAsia="STKaiti" w:hAnsi="STKaiti" w:cs="Microsoft YaHei" w:hint="eastAsia"/>
          <w:lang w:eastAsia="zh-CN"/>
        </w:rPr>
        <w:t>门</w:t>
      </w:r>
      <w:r w:rsidRPr="00B2220A">
        <w:rPr>
          <w:rFonts w:ascii="STKaiti" w:eastAsia="STKaiti" w:hAnsi="STKaiti" w:cs="MS Mincho" w:hint="eastAsia"/>
          <w:lang w:eastAsia="zh-CN"/>
        </w:rPr>
        <w:t>与国家和区域</w:t>
      </w:r>
      <w:r w:rsidRPr="00B2220A">
        <w:rPr>
          <w:rFonts w:ascii="STKaiti" w:eastAsia="STKaiti" w:hAnsi="STKaiti" w:cs="Microsoft YaHei" w:hint="eastAsia"/>
          <w:lang w:eastAsia="zh-CN"/>
        </w:rPr>
        <w:t>标</w:t>
      </w:r>
      <w:r w:rsidRPr="00B2220A">
        <w:rPr>
          <w:rFonts w:ascii="STKaiti" w:eastAsia="STKaiti" w:hAnsi="STKaiti" w:cs="MS Mincho" w:hint="eastAsia"/>
          <w:lang w:eastAsia="zh-CN"/>
        </w:rPr>
        <w:t>准制定机</w:t>
      </w:r>
      <w:r w:rsidRPr="00B2220A">
        <w:rPr>
          <w:rFonts w:ascii="STKaiti" w:eastAsia="STKaiti" w:hAnsi="STKaiti" w:cs="MS Gothic" w:hint="eastAsia"/>
          <w:lang w:eastAsia="zh-CN"/>
        </w:rPr>
        <w:t>构</w:t>
      </w:r>
      <w:r w:rsidRPr="00B2220A">
        <w:rPr>
          <w:rFonts w:ascii="STKaiti" w:eastAsia="STKaiti" w:hAnsi="STKaiti" w:cs="MS Mincho" w:hint="eastAsia"/>
          <w:lang w:eastAsia="zh-CN"/>
        </w:rPr>
        <w:t>的合作和信息交流</w:t>
      </w:r>
    </w:p>
    <w:p w14:paraId="40331735" w14:textId="77777777" w:rsidR="00F6669A" w:rsidRPr="00B2220A" w:rsidRDefault="00F6669A" w:rsidP="0091493D">
      <w:pPr>
        <w:pStyle w:val="Headingb0"/>
        <w:spacing w:before="240"/>
        <w:rPr>
          <w:rFonts w:asciiTheme="minorHAnsi" w:eastAsia="SimSun" w:hAnsiTheme="minorHAnsi" w:cstheme="minorHAnsi"/>
          <w:lang w:eastAsia="zh-CN"/>
        </w:rPr>
      </w:pPr>
      <w:r w:rsidRPr="00B2220A">
        <w:rPr>
          <w:rFonts w:asciiTheme="minorHAnsi" w:eastAsia="SimSun" w:hAnsiTheme="minorHAnsi" w:cstheme="minorHAnsi" w:hint="eastAsia"/>
          <w:lang w:eastAsia="zh-CN"/>
        </w:rPr>
        <w:t>批准日期：</w:t>
      </w:r>
      <w:r w:rsidRPr="00B2220A">
        <w:rPr>
          <w:rFonts w:asciiTheme="minorHAnsi" w:eastAsia="SimSun" w:hAnsiTheme="minorHAnsi" w:cstheme="minorHAnsi"/>
          <w:lang w:eastAsia="zh-CN"/>
        </w:rPr>
        <w:t>2012-11-30</w:t>
      </w:r>
    </w:p>
    <w:p w14:paraId="030E2CFE" w14:textId="77777777" w:rsidR="00F6669A" w:rsidRPr="00B2220A" w:rsidRDefault="00F6669A" w:rsidP="0091493D">
      <w:pPr>
        <w:pStyle w:val="Headingb0"/>
        <w:spacing w:before="240"/>
        <w:rPr>
          <w:rFonts w:asciiTheme="minorHAnsi" w:eastAsia="SimSun" w:hAnsiTheme="minorHAnsi" w:cstheme="minorHAnsi"/>
          <w:lang w:eastAsia="zh-CN"/>
        </w:rPr>
      </w:pPr>
      <w:r w:rsidRPr="00B2220A">
        <w:rPr>
          <w:rFonts w:asciiTheme="minorHAnsi" w:eastAsia="SimSun" w:hAnsiTheme="minorHAnsi" w:cstheme="minorHAnsi" w:hint="eastAsia"/>
          <w:lang w:eastAsia="zh-CN"/>
        </w:rPr>
        <w:t>概要</w:t>
      </w:r>
    </w:p>
    <w:p w14:paraId="51E0AC7E" w14:textId="77777777" w:rsidR="00F6669A" w:rsidRPr="009E7E69" w:rsidRDefault="00F6669A" w:rsidP="00F6669A">
      <w:pPr>
        <w:ind w:firstLineChars="200" w:firstLine="480"/>
        <w:rPr>
          <w:rFonts w:cstheme="minorHAnsi"/>
          <w:szCs w:val="24"/>
          <w:lang w:eastAsia="zh-CN"/>
        </w:rPr>
      </w:pPr>
      <w:r>
        <w:rPr>
          <w:rFonts w:cstheme="minorHAnsi" w:hint="eastAsia"/>
          <w:szCs w:val="24"/>
          <w:lang w:eastAsia="zh-CN"/>
        </w:rPr>
        <w:t>该</w:t>
      </w:r>
      <w:r w:rsidRPr="00C43442">
        <w:rPr>
          <w:rFonts w:cstheme="minorHAnsi" w:hint="eastAsia"/>
          <w:szCs w:val="24"/>
          <w:lang w:eastAsia="zh-CN"/>
        </w:rPr>
        <w:t>建议书阐述了</w:t>
      </w:r>
      <w:r w:rsidRPr="00C43442">
        <w:rPr>
          <w:rFonts w:cstheme="minorHAnsi"/>
          <w:szCs w:val="24"/>
          <w:lang w:eastAsia="zh-CN"/>
        </w:rPr>
        <w:t>ITU-T</w:t>
      </w:r>
      <w:r w:rsidRPr="00C43442">
        <w:rPr>
          <w:rFonts w:cstheme="minorHAnsi" w:hint="eastAsia"/>
          <w:szCs w:val="24"/>
          <w:lang w:eastAsia="zh-CN"/>
        </w:rPr>
        <w:t>与国家和区域性标准制定</w:t>
      </w:r>
      <w:r>
        <w:rPr>
          <w:rFonts w:cstheme="minorHAnsi" w:hint="eastAsia"/>
          <w:szCs w:val="24"/>
          <w:lang w:eastAsia="zh-CN"/>
        </w:rPr>
        <w:t>机构</w:t>
      </w:r>
      <w:r w:rsidRPr="00C43442">
        <w:rPr>
          <w:rFonts w:cstheme="minorHAnsi" w:hint="eastAsia"/>
          <w:szCs w:val="24"/>
          <w:lang w:eastAsia="zh-CN"/>
        </w:rPr>
        <w:t>之间的合作和信息交流程序的建立，以及某个机构</w:t>
      </w:r>
      <w:r>
        <w:rPr>
          <w:rFonts w:cstheme="minorHAnsi" w:hint="eastAsia"/>
          <w:szCs w:val="24"/>
          <w:lang w:eastAsia="zh-CN"/>
        </w:rPr>
        <w:t>符合</w:t>
      </w:r>
      <w:r w:rsidRPr="00C43442">
        <w:rPr>
          <w:rFonts w:cstheme="minorHAnsi"/>
          <w:szCs w:val="24"/>
          <w:lang w:eastAsia="zh-CN"/>
        </w:rPr>
        <w:t>A.6</w:t>
      </w:r>
      <w:r w:rsidRPr="00C43442">
        <w:rPr>
          <w:rFonts w:cstheme="minorHAnsi" w:hint="eastAsia"/>
          <w:szCs w:val="24"/>
          <w:lang w:eastAsia="zh-CN"/>
        </w:rPr>
        <w:t>资格后</w:t>
      </w:r>
      <w:r>
        <w:rPr>
          <w:rFonts w:cstheme="minorHAnsi" w:hint="eastAsia"/>
          <w:szCs w:val="24"/>
          <w:lang w:eastAsia="zh-CN"/>
        </w:rPr>
        <w:t>可</w:t>
      </w:r>
      <w:r w:rsidRPr="00C43442">
        <w:rPr>
          <w:rFonts w:cstheme="minorHAnsi" w:hint="eastAsia"/>
          <w:szCs w:val="24"/>
          <w:lang w:eastAsia="zh-CN"/>
        </w:rPr>
        <w:t>使用的交流程序。</w:t>
      </w:r>
    </w:p>
    <w:p w14:paraId="33463BA9" w14:textId="77777777" w:rsidR="00F6669A" w:rsidRPr="00B2220A" w:rsidRDefault="00F6669A" w:rsidP="00F6669A">
      <w:pPr>
        <w:pStyle w:val="Headingb0"/>
        <w:spacing w:before="360"/>
        <w:rPr>
          <w:rFonts w:asciiTheme="minorHAnsi" w:eastAsia="SimSun" w:hAnsiTheme="minorHAnsi" w:cstheme="minorHAnsi"/>
          <w:lang w:eastAsia="ja-JP"/>
        </w:rPr>
      </w:pPr>
      <w:r w:rsidRPr="00B2220A">
        <w:rPr>
          <w:rFonts w:asciiTheme="minorHAnsi" w:eastAsia="SimSun" w:hAnsiTheme="minorHAnsi" w:cstheme="minorHAnsi"/>
          <w:lang w:eastAsia="zh-CN"/>
        </w:rPr>
        <w:t>简要说明删除</w:t>
      </w:r>
      <w:r w:rsidRPr="00B2220A">
        <w:rPr>
          <w:rFonts w:asciiTheme="minorHAnsi" w:eastAsia="SimSun" w:hAnsiTheme="minorHAnsi" w:cstheme="minorHAnsi"/>
          <w:lang w:eastAsia="ja-JP"/>
        </w:rPr>
        <w:t>ITU-T A.4</w:t>
      </w:r>
      <w:r w:rsidRPr="00B2220A">
        <w:rPr>
          <w:rFonts w:asciiTheme="minorHAnsi" w:eastAsia="SimSun" w:hAnsiTheme="minorHAnsi" w:cstheme="minorHAnsi"/>
          <w:lang w:eastAsia="zh-CN"/>
        </w:rPr>
        <w:t>和</w:t>
      </w:r>
      <w:r w:rsidRPr="00B2220A">
        <w:rPr>
          <w:rFonts w:asciiTheme="minorHAnsi" w:eastAsia="SimSun" w:hAnsiTheme="minorHAnsi" w:cstheme="minorHAnsi"/>
          <w:lang w:eastAsia="ja-JP"/>
        </w:rPr>
        <w:t>A.6</w:t>
      </w:r>
      <w:r w:rsidRPr="00B2220A">
        <w:rPr>
          <w:rFonts w:asciiTheme="minorHAnsi" w:eastAsia="SimSun" w:hAnsiTheme="minorHAnsi" w:cstheme="minorHAnsi"/>
          <w:lang w:eastAsia="zh-CN"/>
        </w:rPr>
        <w:t>建议书的原因</w:t>
      </w:r>
    </w:p>
    <w:p w14:paraId="286BA3BA" w14:textId="67F40130" w:rsidR="00F6669A" w:rsidRPr="009E7E69" w:rsidRDefault="00F6669A" w:rsidP="00F6669A">
      <w:pPr>
        <w:ind w:firstLineChars="200" w:firstLine="480"/>
        <w:rPr>
          <w:lang w:eastAsia="ja-JP"/>
        </w:rPr>
      </w:pPr>
      <w:r w:rsidRPr="009E7E69">
        <w:rPr>
          <w:rFonts w:hint="eastAsia"/>
          <w:lang w:eastAsia="ja-JP"/>
        </w:rPr>
        <w:t xml:space="preserve">ITU-T </w:t>
      </w:r>
      <w:r w:rsidRPr="009E7E69">
        <w:rPr>
          <w:lang w:eastAsia="ja-JP"/>
        </w:rPr>
        <w:t>A.4</w:t>
      </w:r>
      <w:r>
        <w:rPr>
          <w:rFonts w:hint="eastAsia"/>
          <w:lang w:eastAsia="zh-CN"/>
        </w:rPr>
        <w:t>和</w:t>
      </w:r>
      <w:r w:rsidRPr="009E7E69">
        <w:rPr>
          <w:lang w:eastAsia="ja-JP"/>
        </w:rPr>
        <w:t xml:space="preserve">ITU-T </w:t>
      </w:r>
      <w:r w:rsidRPr="009E7E69">
        <w:rPr>
          <w:rFonts w:hint="eastAsia"/>
          <w:lang w:eastAsia="ja-JP"/>
        </w:rPr>
        <w:t>A.</w:t>
      </w:r>
      <w:r w:rsidRPr="009E7E69">
        <w:rPr>
          <w:lang w:eastAsia="ja-JP"/>
        </w:rPr>
        <w:t>6</w:t>
      </w:r>
      <w:r>
        <w:rPr>
          <w:rFonts w:hint="eastAsia"/>
          <w:lang w:eastAsia="zh-CN"/>
        </w:rPr>
        <w:t>建议书的所有相关条款已被</w:t>
      </w:r>
      <w:r w:rsidRPr="009E7E69">
        <w:rPr>
          <w:rFonts w:hint="eastAsia"/>
          <w:lang w:eastAsia="ja-JP"/>
        </w:rPr>
        <w:t>ITU-T A.5</w:t>
      </w:r>
      <w:r>
        <w:rPr>
          <w:rFonts w:hint="eastAsia"/>
          <w:lang w:eastAsia="zh-CN"/>
        </w:rPr>
        <w:t>和</w:t>
      </w:r>
      <w:r w:rsidRPr="009E7E69">
        <w:rPr>
          <w:rFonts w:hint="eastAsia"/>
          <w:lang w:eastAsia="ja-JP"/>
        </w:rPr>
        <w:t>A.25</w:t>
      </w:r>
      <w:r>
        <w:rPr>
          <w:rFonts w:hint="eastAsia"/>
          <w:lang w:eastAsia="zh-CN"/>
        </w:rPr>
        <w:t>建议书或目前正在经过</w:t>
      </w:r>
      <w:r>
        <w:rPr>
          <w:rFonts w:hint="eastAsia"/>
          <w:lang w:eastAsia="zh-CN"/>
        </w:rPr>
        <w:t>TAP</w:t>
      </w:r>
      <w:r>
        <w:rPr>
          <w:rFonts w:hint="eastAsia"/>
          <w:lang w:eastAsia="zh-CN"/>
        </w:rPr>
        <w:t>批准程序批准的</w:t>
      </w:r>
      <w:r w:rsidRPr="009E7E69">
        <w:rPr>
          <w:rFonts w:hint="eastAsia"/>
          <w:lang w:eastAsia="ja-JP"/>
        </w:rPr>
        <w:t>ITU-T A.24</w:t>
      </w:r>
      <w:r>
        <w:rPr>
          <w:rFonts w:hint="eastAsia"/>
          <w:lang w:eastAsia="zh-CN"/>
        </w:rPr>
        <w:t>建议书新草案（见</w:t>
      </w:r>
      <w:hyperlink r:id="rId10" w:history="1">
        <w:r>
          <w:rPr>
            <w:rStyle w:val="Hyperlink"/>
            <w:rFonts w:hint="eastAsia"/>
            <w:lang w:eastAsia="ja-JP"/>
          </w:rPr>
          <w:t>电信标准化局第</w:t>
        </w:r>
        <w:r>
          <w:rPr>
            <w:rStyle w:val="Hyperlink"/>
            <w:rFonts w:hint="eastAsia"/>
            <w:lang w:eastAsia="ja-JP"/>
          </w:rPr>
          <w:t>203</w:t>
        </w:r>
        <w:r>
          <w:rPr>
            <w:rStyle w:val="Hyperlink"/>
            <w:rFonts w:hint="eastAsia"/>
            <w:lang w:eastAsia="ja-JP"/>
          </w:rPr>
          <w:t>号通函</w:t>
        </w:r>
      </w:hyperlink>
      <w:r>
        <w:rPr>
          <w:rFonts w:hint="eastAsia"/>
          <w:lang w:eastAsia="zh-CN"/>
        </w:rPr>
        <w:t>）所涵盖。</w:t>
      </w:r>
    </w:p>
    <w:p w14:paraId="4474EE89" w14:textId="2112C3F3" w:rsidR="00F6669A" w:rsidRPr="009E7E69" w:rsidRDefault="00F6669A" w:rsidP="00F6669A">
      <w:pPr>
        <w:ind w:firstLineChars="200" w:firstLine="480"/>
        <w:rPr>
          <w:lang w:eastAsia="zh-CN"/>
        </w:rPr>
      </w:pPr>
      <w:r w:rsidRPr="009E7E69">
        <w:rPr>
          <w:lang w:eastAsia="zh-CN"/>
        </w:rPr>
        <w:t>TSAG</w:t>
      </w:r>
      <w:r>
        <w:rPr>
          <w:rFonts w:hint="eastAsia"/>
          <w:lang w:eastAsia="zh-CN"/>
        </w:rPr>
        <w:t>在其</w:t>
      </w:r>
      <w:r w:rsidRPr="009E7E69">
        <w:rPr>
          <w:lang w:eastAsia="zh-CN"/>
        </w:rPr>
        <w:t>2024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1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2</w:t>
      </w:r>
      <w:r>
        <w:rPr>
          <w:lang w:eastAsia="zh-CN"/>
        </w:rPr>
        <w:t>2-26</w:t>
      </w:r>
      <w:r>
        <w:rPr>
          <w:rFonts w:hint="eastAsia"/>
          <w:lang w:eastAsia="zh-CN"/>
        </w:rPr>
        <w:t>日在日内瓦召开的会议上同意，</w:t>
      </w:r>
      <w:r w:rsidRPr="009E7E69">
        <w:rPr>
          <w:lang w:eastAsia="zh-CN"/>
        </w:rPr>
        <w:t>ITU-T A.4</w:t>
      </w:r>
      <w:r>
        <w:rPr>
          <w:rFonts w:hint="eastAsia"/>
          <w:lang w:eastAsia="zh-CN"/>
        </w:rPr>
        <w:t>和</w:t>
      </w:r>
      <w:r w:rsidRPr="009E7E69">
        <w:rPr>
          <w:lang w:eastAsia="zh-CN"/>
        </w:rPr>
        <w:t>A.6</w:t>
      </w:r>
      <w:r>
        <w:rPr>
          <w:rFonts w:hint="eastAsia"/>
          <w:lang w:eastAsia="zh-CN"/>
        </w:rPr>
        <w:t>建议书的删除程序须于</w:t>
      </w:r>
      <w:r>
        <w:rPr>
          <w:rFonts w:hint="eastAsia"/>
          <w:lang w:eastAsia="zh-CN"/>
        </w:rPr>
        <w:t>2</w:t>
      </w:r>
      <w:r>
        <w:rPr>
          <w:lang w:eastAsia="zh-CN"/>
        </w:rPr>
        <w:t>024</w:t>
      </w:r>
      <w:r>
        <w:rPr>
          <w:rFonts w:hint="eastAsia"/>
          <w:lang w:eastAsia="zh-CN"/>
        </w:rPr>
        <w:t>年</w:t>
      </w:r>
      <w:r>
        <w:rPr>
          <w:rFonts w:hint="eastAsia"/>
          <w:lang w:eastAsia="zh-CN"/>
        </w:rPr>
        <w:t>7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2</w:t>
      </w:r>
      <w:r>
        <w:rPr>
          <w:lang w:eastAsia="zh-CN"/>
        </w:rPr>
        <w:t>9</w:t>
      </w:r>
      <w:r>
        <w:rPr>
          <w:rFonts w:hint="eastAsia"/>
          <w:lang w:eastAsia="zh-CN"/>
        </w:rPr>
        <w:t>日</w:t>
      </w:r>
      <w:r>
        <w:rPr>
          <w:rFonts w:hint="eastAsia"/>
          <w:lang w:eastAsia="zh-CN"/>
        </w:rPr>
        <w:t>-</w:t>
      </w:r>
      <w:r>
        <w:rPr>
          <w:lang w:eastAsia="zh-CN"/>
        </w:rPr>
        <w:t>8</w:t>
      </w:r>
      <w:r>
        <w:rPr>
          <w:rFonts w:hint="eastAsia"/>
          <w:lang w:eastAsia="zh-CN"/>
        </w:rPr>
        <w:t>月</w:t>
      </w:r>
      <w:r>
        <w:rPr>
          <w:rFonts w:hint="eastAsia"/>
          <w:lang w:eastAsia="zh-CN"/>
        </w:rPr>
        <w:t>2</w:t>
      </w:r>
      <w:r>
        <w:rPr>
          <w:rFonts w:hint="eastAsia"/>
          <w:lang w:eastAsia="zh-CN"/>
        </w:rPr>
        <w:t>日在日内瓦召开的</w:t>
      </w:r>
      <w:r>
        <w:rPr>
          <w:rFonts w:hint="eastAsia"/>
          <w:lang w:eastAsia="zh-CN"/>
        </w:rPr>
        <w:t>TSAG</w:t>
      </w:r>
      <w:r>
        <w:rPr>
          <w:rFonts w:hint="eastAsia"/>
          <w:lang w:eastAsia="zh-CN"/>
        </w:rPr>
        <w:t>会议之前三个月启动（</w:t>
      </w:r>
      <w:r w:rsidRPr="003B6840">
        <w:rPr>
          <w:rFonts w:hint="eastAsia"/>
          <w:lang w:eastAsia="zh-CN"/>
        </w:rPr>
        <w:t>以便</w:t>
      </w:r>
      <w:r>
        <w:rPr>
          <w:rFonts w:hint="eastAsia"/>
          <w:lang w:eastAsia="zh-CN"/>
        </w:rPr>
        <w:t>删除与</w:t>
      </w:r>
      <w:r w:rsidRPr="003B6840">
        <w:rPr>
          <w:lang w:eastAsia="zh-CN"/>
        </w:rPr>
        <w:t>ITU-T A.24</w:t>
      </w:r>
      <w:r>
        <w:rPr>
          <w:rFonts w:hint="eastAsia"/>
          <w:lang w:eastAsia="zh-CN"/>
        </w:rPr>
        <w:t>得到</w:t>
      </w:r>
      <w:r w:rsidRPr="003B6840">
        <w:rPr>
          <w:lang w:eastAsia="zh-CN"/>
        </w:rPr>
        <w:t>TSAG</w:t>
      </w:r>
      <w:r>
        <w:rPr>
          <w:rFonts w:hint="eastAsia"/>
          <w:lang w:eastAsia="zh-CN"/>
        </w:rPr>
        <w:t>的审议</w:t>
      </w:r>
      <w:r w:rsidRPr="003B6840">
        <w:rPr>
          <w:rFonts w:hint="eastAsia"/>
          <w:lang w:eastAsia="zh-CN"/>
        </w:rPr>
        <w:t>批准同时生效</w:t>
      </w:r>
      <w:r>
        <w:rPr>
          <w:rFonts w:hint="eastAsia"/>
          <w:lang w:eastAsia="zh-CN"/>
        </w:rPr>
        <w:t>）。</w:t>
      </w:r>
    </w:p>
    <w:p w14:paraId="54EFE10C" w14:textId="77777777" w:rsidR="00F6669A" w:rsidRPr="009E7E69" w:rsidRDefault="00F6669A" w:rsidP="00F6669A">
      <w:pPr>
        <w:ind w:firstLineChars="200" w:firstLine="480"/>
        <w:rPr>
          <w:lang w:eastAsia="zh-CN"/>
        </w:rPr>
      </w:pPr>
      <w:r>
        <w:rPr>
          <w:rFonts w:hint="eastAsia"/>
          <w:lang w:eastAsia="zh-CN"/>
        </w:rPr>
        <w:t>有关删除这两份建议书的更多原因，请参见</w:t>
      </w:r>
      <w:hyperlink r:id="rId11" w:history="1">
        <w:r w:rsidRPr="009E7E69">
          <w:rPr>
            <w:rStyle w:val="Hyperlink"/>
            <w:rFonts w:hint="eastAsia"/>
            <w:lang w:eastAsia="zh-CN"/>
          </w:rPr>
          <w:t>TSAG-TD394R1</w:t>
        </w:r>
      </w:hyperlink>
      <w:r>
        <w:rPr>
          <w:rFonts w:hint="eastAsia"/>
          <w:lang w:eastAsia="zh-CN"/>
        </w:rPr>
        <w:t>和</w:t>
      </w:r>
      <w:hyperlink r:id="rId12" w:history="1">
        <w:r w:rsidRPr="009E7E69">
          <w:rPr>
            <w:rStyle w:val="Hyperlink"/>
            <w:lang w:eastAsia="zh-CN"/>
          </w:rPr>
          <w:t>TSAG-R4</w:t>
        </w:r>
      </w:hyperlink>
      <w:r>
        <w:rPr>
          <w:rFonts w:hint="eastAsia"/>
          <w:lang w:eastAsia="zh-CN"/>
        </w:rPr>
        <w:t>。</w:t>
      </w:r>
    </w:p>
    <w:p w14:paraId="11997D0D" w14:textId="77777777" w:rsidR="00F6669A" w:rsidRPr="003B6840" w:rsidRDefault="00F6669A" w:rsidP="00F6669A">
      <w:pPr>
        <w:rPr>
          <w:lang w:val="fr-FR" w:eastAsia="ja-JP"/>
        </w:rPr>
      </w:pPr>
      <w:r>
        <w:rPr>
          <w:rFonts w:hint="eastAsia"/>
          <w:lang w:eastAsia="zh-CN"/>
        </w:rPr>
        <w:t>注</w:t>
      </w:r>
      <w:r w:rsidRPr="003B6840">
        <w:rPr>
          <w:rFonts w:hint="eastAsia"/>
          <w:lang w:val="fr-FR" w:eastAsia="zh-CN"/>
        </w:rPr>
        <w:t>：</w:t>
      </w:r>
      <w:r w:rsidRPr="003B6840">
        <w:rPr>
          <w:lang w:val="fr-FR" w:eastAsia="ja-JP"/>
        </w:rPr>
        <w:t>ITU-T A.24</w:t>
      </w:r>
      <w:r>
        <w:rPr>
          <w:rFonts w:hint="eastAsia"/>
          <w:lang w:eastAsia="zh-CN"/>
        </w:rPr>
        <w:t>的制定以</w:t>
      </w:r>
      <w:r w:rsidRPr="003B6840">
        <w:rPr>
          <w:rFonts w:hint="eastAsia"/>
          <w:lang w:val="fr-FR" w:eastAsia="ja-JP"/>
        </w:rPr>
        <w:t>ITU-T A</w:t>
      </w:r>
      <w:r w:rsidRPr="003B6840">
        <w:rPr>
          <w:lang w:val="fr-FR" w:eastAsia="ja-JP"/>
        </w:rPr>
        <w:t> </w:t>
      </w:r>
      <w:r w:rsidRPr="003B6840">
        <w:rPr>
          <w:rFonts w:hint="eastAsia"/>
          <w:lang w:val="fr-FR" w:eastAsia="ja-JP"/>
        </w:rPr>
        <w:t>Suppl. 5</w:t>
      </w:r>
      <w:r>
        <w:rPr>
          <w:rFonts w:hint="eastAsia"/>
          <w:lang w:eastAsia="zh-CN"/>
        </w:rPr>
        <w:t>为基础</w:t>
      </w:r>
      <w:r w:rsidRPr="003B6840">
        <w:rPr>
          <w:rFonts w:hint="eastAsia"/>
          <w:lang w:val="fr-FR" w:eastAsia="zh-CN"/>
        </w:rPr>
        <w:t>，</w:t>
      </w:r>
      <w:r w:rsidRPr="003B6840">
        <w:rPr>
          <w:rFonts w:hint="eastAsia"/>
          <w:lang w:val="fr-FR" w:eastAsia="zh-CN"/>
        </w:rPr>
        <w:t>TSAG</w:t>
      </w:r>
      <w:r>
        <w:rPr>
          <w:rFonts w:hint="eastAsia"/>
          <w:lang w:eastAsia="zh-CN"/>
        </w:rPr>
        <w:t>亦计划在</w:t>
      </w:r>
      <w:r w:rsidRPr="003B6840">
        <w:rPr>
          <w:lang w:val="fr-FR" w:eastAsia="ja-JP"/>
        </w:rPr>
        <w:t xml:space="preserve">ITU-T </w:t>
      </w:r>
      <w:r w:rsidRPr="003B6840">
        <w:rPr>
          <w:rFonts w:hint="eastAsia"/>
          <w:lang w:val="fr-FR" w:eastAsia="ja-JP"/>
        </w:rPr>
        <w:t>A.24</w:t>
      </w:r>
      <w:r>
        <w:rPr>
          <w:rFonts w:hint="eastAsia"/>
          <w:lang w:eastAsia="zh-CN"/>
        </w:rPr>
        <w:t>获得批准后删除后者</w:t>
      </w:r>
      <w:r w:rsidRPr="00B2220A">
        <w:rPr>
          <w:rFonts w:hint="eastAsia"/>
          <w:lang w:val="fr-FR" w:eastAsia="zh-CN"/>
        </w:rPr>
        <w:t>（</w:t>
      </w:r>
      <w:r>
        <w:rPr>
          <w:rFonts w:hint="eastAsia"/>
          <w:lang w:eastAsia="zh-CN"/>
        </w:rPr>
        <w:t>见</w:t>
      </w:r>
      <w:hyperlink r:id="rId13" w:history="1">
        <w:r w:rsidRPr="003B6840">
          <w:rPr>
            <w:rStyle w:val="Hyperlink"/>
            <w:rFonts w:hint="eastAsia"/>
            <w:lang w:val="fr-FR" w:eastAsia="ja-JP"/>
          </w:rPr>
          <w:t>TSAG-TD317R5</w:t>
        </w:r>
      </w:hyperlink>
      <w:r>
        <w:rPr>
          <w:rFonts w:hint="eastAsia"/>
          <w:lang w:val="fr-FR" w:eastAsia="zh-CN"/>
        </w:rPr>
        <w:t>）。</w:t>
      </w:r>
    </w:p>
    <w:p w14:paraId="485F2095" w14:textId="77777777" w:rsidR="00F6669A" w:rsidRPr="003B6840" w:rsidRDefault="00F6669A" w:rsidP="00F6669A">
      <w:pPr>
        <w:rPr>
          <w:lang w:val="fr-FR" w:eastAsia="ja-JP"/>
        </w:rPr>
      </w:pPr>
    </w:p>
    <w:p w14:paraId="4A0E8F67" w14:textId="2AEF9FD2" w:rsidR="00746E31" w:rsidRPr="009C749B" w:rsidRDefault="00F6669A" w:rsidP="00F6669A">
      <w:pPr>
        <w:jc w:val="center"/>
        <w:rPr>
          <w:lang w:eastAsia="ja-JP"/>
        </w:rPr>
      </w:pPr>
      <w:r>
        <w:rPr>
          <w:lang w:eastAsia="ja-JP"/>
        </w:rPr>
        <w:t>_______________</w:t>
      </w:r>
    </w:p>
    <w:sectPr w:rsidR="00746E31" w:rsidRPr="009C749B" w:rsidSect="00F6669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type w:val="oddPage"/>
      <w:pgSz w:w="11907" w:h="16840" w:code="9"/>
      <w:pgMar w:top="1134" w:right="1134" w:bottom="1134" w:left="1134" w:header="567" w:footer="56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98311F" w14:textId="77777777" w:rsidR="00F6669A" w:rsidRDefault="00F6669A">
      <w:r>
        <w:separator/>
      </w:r>
    </w:p>
  </w:endnote>
  <w:endnote w:type="continuationSeparator" w:id="0">
    <w:p w14:paraId="5FF712DB" w14:textId="77777777" w:rsidR="00F6669A" w:rsidRDefault="00F66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TKaiti">
    <w:charset w:val="86"/>
    <w:family w:val="auto"/>
    <w:pitch w:val="variable"/>
    <w:sig w:usb0="00000287" w:usb1="080F0000" w:usb2="00000010" w:usb3="00000000" w:csb0="0004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64C30" w14:textId="77777777" w:rsidR="002A78F0" w:rsidRDefault="002A78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71F0EE" w14:textId="69B416F9" w:rsidR="0091493D" w:rsidRPr="002A78F0" w:rsidRDefault="0091493D" w:rsidP="002A78F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C8592C" w14:textId="05939BDA" w:rsidR="000E4C84" w:rsidRPr="00F6669A" w:rsidRDefault="00F6669A" w:rsidP="00F6669A">
    <w:pPr>
      <w:pStyle w:val="FirstFooter"/>
      <w:ind w:left="-397" w:right="-397"/>
      <w:jc w:val="center"/>
      <w:rPr>
        <w:color w:val="0070C0"/>
      </w:rPr>
    </w:pPr>
    <w:r w:rsidRPr="00BA1F70">
      <w:rPr>
        <w:color w:val="0070C0"/>
        <w:sz w:val="18"/>
        <w:szCs w:val="18"/>
      </w:rPr>
      <w:t xml:space="preserve">International </w:t>
    </w:r>
    <w:proofErr w:type="spellStart"/>
    <w:r w:rsidRPr="00BA1F70">
      <w:rPr>
        <w:color w:val="0070C0"/>
        <w:sz w:val="18"/>
        <w:szCs w:val="18"/>
      </w:rPr>
      <w:t>Telecommunication</w:t>
    </w:r>
    <w:proofErr w:type="spellEnd"/>
    <w:r w:rsidRPr="00BA1F70">
      <w:rPr>
        <w:color w:val="0070C0"/>
        <w:sz w:val="18"/>
        <w:szCs w:val="18"/>
      </w:rPr>
      <w:t xml:space="preserve"> Union • Place des Nations • CH-1211 Geneva 20 • Switzerland</w:t>
    </w:r>
    <w:r w:rsidRPr="00BA1F70">
      <w:rPr>
        <w:color w:val="0070C0"/>
        <w:sz w:val="18"/>
        <w:szCs w:val="18"/>
      </w:rPr>
      <w:br/>
    </w:r>
    <w:proofErr w:type="gramStart"/>
    <w:r w:rsidRPr="00BA1F70">
      <w:rPr>
        <w:color w:val="0070C0"/>
        <w:sz w:val="18"/>
        <w:szCs w:val="18"/>
      </w:rPr>
      <w:t>Tel:</w:t>
    </w:r>
    <w:proofErr w:type="gramEnd"/>
    <w:r w:rsidRPr="00BA1F70">
      <w:rPr>
        <w:color w:val="0070C0"/>
        <w:sz w:val="18"/>
        <w:szCs w:val="18"/>
      </w:rPr>
      <w:t xml:space="preserve"> +41 22 730 5111 • Fax: +41 22 733 7256 • E-mail: </w:t>
    </w:r>
    <w:hyperlink r:id="rId1" w:history="1">
      <w:r w:rsidRPr="00BA1F70">
        <w:rPr>
          <w:rStyle w:val="Hyperlink"/>
          <w:color w:val="0070C0"/>
          <w:sz w:val="18"/>
          <w:szCs w:val="18"/>
        </w:rPr>
        <w:t>itumail@itu.int</w:t>
      </w:r>
    </w:hyperlink>
    <w:r w:rsidRPr="00BA1F70">
      <w:rPr>
        <w:color w:val="0070C0"/>
        <w:sz w:val="18"/>
        <w:szCs w:val="18"/>
      </w:rPr>
      <w:t xml:space="preserve"> • </w:t>
    </w:r>
    <w:hyperlink r:id="rId2" w:history="1">
      <w:r w:rsidRPr="00BA1F70">
        <w:rPr>
          <w:rStyle w:val="Hyperlink"/>
          <w:color w:val="0070C0"/>
          <w:sz w:val="18"/>
          <w:szCs w:val="18"/>
        </w:rPr>
        <w:t>www.itu.int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C538D3" w14:textId="77777777" w:rsidR="00F6669A" w:rsidRDefault="00F6669A">
      <w:r>
        <w:t>____________________</w:t>
      </w:r>
    </w:p>
  </w:footnote>
  <w:footnote w:type="continuationSeparator" w:id="0">
    <w:p w14:paraId="62567749" w14:textId="77777777" w:rsidR="00F6669A" w:rsidRDefault="00F66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7676BE" w14:textId="77777777" w:rsidR="002A78F0" w:rsidRDefault="002A78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7043B" w14:textId="5A61937D" w:rsidR="000E4C84" w:rsidRPr="00F6669A" w:rsidRDefault="00F6669A" w:rsidP="00F6669A">
    <w:pPr>
      <w:spacing w:before="0" w:after="240"/>
      <w:jc w:val="center"/>
      <w:rPr>
        <w:rFonts w:eastAsia="MS Mincho"/>
        <w:sz w:val="18"/>
        <w:lang w:eastAsia="ja-JP"/>
      </w:rPr>
    </w:pPr>
    <w:r w:rsidRPr="00D8656F">
      <w:rPr>
        <w:sz w:val="18"/>
        <w:lang w:eastAsia="zh-CN"/>
      </w:rPr>
      <w:t xml:space="preserve">- </w:t>
    </w:r>
    <w:r w:rsidRPr="00D8656F">
      <w:rPr>
        <w:sz w:val="18"/>
      </w:rPr>
      <w:fldChar w:fldCharType="begin"/>
    </w:r>
    <w:r w:rsidRPr="00D8656F">
      <w:rPr>
        <w:sz w:val="18"/>
        <w:lang w:eastAsia="zh-CN"/>
      </w:rPr>
      <w:instrText xml:space="preserve"> PAGE   \* MERGEFORMAT </w:instrText>
    </w:r>
    <w:r w:rsidRPr="00D8656F">
      <w:rPr>
        <w:sz w:val="18"/>
      </w:rPr>
      <w:fldChar w:fldCharType="separate"/>
    </w:r>
    <w:r>
      <w:rPr>
        <w:sz w:val="18"/>
      </w:rPr>
      <w:t>2</w:t>
    </w:r>
    <w:r w:rsidRPr="00D8656F">
      <w:rPr>
        <w:noProof/>
        <w:sz w:val="18"/>
      </w:rPr>
      <w:fldChar w:fldCharType="end"/>
    </w:r>
    <w:r w:rsidRPr="00D8656F">
      <w:rPr>
        <w:noProof/>
        <w:sz w:val="18"/>
        <w:lang w:eastAsia="zh-CN"/>
      </w:rPr>
      <w:t xml:space="preserve"> -</w:t>
    </w:r>
    <w:r w:rsidRPr="00D8656F">
      <w:rPr>
        <w:noProof/>
        <w:sz w:val="18"/>
        <w:lang w:eastAsia="zh-CN"/>
      </w:rPr>
      <w:br/>
    </w:r>
    <w:r w:rsidRPr="009E7E69">
      <w:rPr>
        <w:rFonts w:ascii="SimSun" w:hAnsi="SimSun" w:cs="Microsoft YaHei" w:hint="eastAsia"/>
        <w:sz w:val="18"/>
        <w:lang w:eastAsia="zh-CN"/>
      </w:rPr>
      <w:t>电信标准化局</w:t>
    </w:r>
    <w:r w:rsidRPr="009E7E69">
      <w:rPr>
        <w:rFonts w:ascii="SimSun" w:hAnsi="SimSun" w:hint="eastAsia"/>
        <w:sz w:val="18"/>
        <w:lang w:eastAsia="zh-CN"/>
      </w:rPr>
      <w:t>第</w:t>
    </w:r>
    <w:r>
      <w:rPr>
        <w:sz w:val="18"/>
        <w:lang w:eastAsia="ja-JP"/>
      </w:rPr>
      <w:t>179</w:t>
    </w:r>
    <w:r w:rsidRPr="009E7E69">
      <w:rPr>
        <w:rFonts w:ascii="SimSun" w:hAnsi="SimSun" w:hint="eastAsia"/>
        <w:sz w:val="18"/>
        <w:lang w:eastAsia="zh-CN"/>
      </w:rPr>
      <w:t>号通函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1CB292" w14:textId="77777777" w:rsidR="002A78F0" w:rsidRDefault="002A78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93885BF2"/>
    <w:lvl w:ilvl="0">
      <w:start w:val="1"/>
      <w:numFmt w:val="bullet"/>
      <w:lvlText w:val="ï‚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8ED2616"/>
    <w:multiLevelType w:val="hybridMultilevel"/>
    <w:tmpl w:val="1B5E38B0"/>
    <w:lvl w:ilvl="0" w:tplc="361C44E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6BB2506"/>
    <w:multiLevelType w:val="hybridMultilevel"/>
    <w:tmpl w:val="D666BA50"/>
    <w:lvl w:ilvl="0" w:tplc="54C2E7A2">
      <w:numFmt w:val="bullet"/>
      <w:lvlText w:val="-"/>
      <w:lvlJc w:val="left"/>
      <w:pPr>
        <w:ind w:left="417" w:hanging="360"/>
      </w:pPr>
      <w:rPr>
        <w:rFonts w:ascii="Times New Roman" w:eastAsia="SimSun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985008291">
    <w:abstractNumId w:val="2"/>
  </w:num>
  <w:num w:numId="2" w16cid:durableId="961964178">
    <w:abstractNumId w:val="1"/>
  </w:num>
  <w:num w:numId="3" w16cid:durableId="6652046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6E31"/>
    <w:rsid w:val="000702BB"/>
    <w:rsid w:val="000930D9"/>
    <w:rsid w:val="00095181"/>
    <w:rsid w:val="000C3BA3"/>
    <w:rsid w:val="000E4C84"/>
    <w:rsid w:val="000E5D32"/>
    <w:rsid w:val="00140132"/>
    <w:rsid w:val="00141AC3"/>
    <w:rsid w:val="001B529A"/>
    <w:rsid w:val="001C21C8"/>
    <w:rsid w:val="001C6E36"/>
    <w:rsid w:val="002045B8"/>
    <w:rsid w:val="00247133"/>
    <w:rsid w:val="00257A9E"/>
    <w:rsid w:val="00281589"/>
    <w:rsid w:val="002A78F0"/>
    <w:rsid w:val="002C1710"/>
    <w:rsid w:val="00317A4D"/>
    <w:rsid w:val="00341C67"/>
    <w:rsid w:val="003625BB"/>
    <w:rsid w:val="00374E32"/>
    <w:rsid w:val="00390EC6"/>
    <w:rsid w:val="00402D95"/>
    <w:rsid w:val="00402FF5"/>
    <w:rsid w:val="00455B87"/>
    <w:rsid w:val="005365E4"/>
    <w:rsid w:val="00572454"/>
    <w:rsid w:val="00574C43"/>
    <w:rsid w:val="0059425B"/>
    <w:rsid w:val="005A0956"/>
    <w:rsid w:val="00624CB1"/>
    <w:rsid w:val="006C08CA"/>
    <w:rsid w:val="006D4F29"/>
    <w:rsid w:val="006E6A13"/>
    <w:rsid w:val="006F7DA1"/>
    <w:rsid w:val="00703CBA"/>
    <w:rsid w:val="00743D83"/>
    <w:rsid w:val="0074438F"/>
    <w:rsid w:val="00746E31"/>
    <w:rsid w:val="007626DE"/>
    <w:rsid w:val="00762E1B"/>
    <w:rsid w:val="00795532"/>
    <w:rsid w:val="007E183E"/>
    <w:rsid w:val="00841B06"/>
    <w:rsid w:val="008847B5"/>
    <w:rsid w:val="008D26A4"/>
    <w:rsid w:val="0091493D"/>
    <w:rsid w:val="009704E7"/>
    <w:rsid w:val="0098410B"/>
    <w:rsid w:val="009C749B"/>
    <w:rsid w:val="00A23824"/>
    <w:rsid w:val="00A36E53"/>
    <w:rsid w:val="00AC10DE"/>
    <w:rsid w:val="00AF2746"/>
    <w:rsid w:val="00B50E4F"/>
    <w:rsid w:val="00B67F39"/>
    <w:rsid w:val="00BA55A0"/>
    <w:rsid w:val="00BA5BFF"/>
    <w:rsid w:val="00BB7187"/>
    <w:rsid w:val="00BE0D94"/>
    <w:rsid w:val="00BF5BC1"/>
    <w:rsid w:val="00C115D3"/>
    <w:rsid w:val="00C925C9"/>
    <w:rsid w:val="00D2432E"/>
    <w:rsid w:val="00D518FF"/>
    <w:rsid w:val="00D6135E"/>
    <w:rsid w:val="00D91AAD"/>
    <w:rsid w:val="00DE65BB"/>
    <w:rsid w:val="00E3619F"/>
    <w:rsid w:val="00E36387"/>
    <w:rsid w:val="00E73313"/>
    <w:rsid w:val="00EE2A77"/>
    <w:rsid w:val="00EE59AB"/>
    <w:rsid w:val="00F2511E"/>
    <w:rsid w:val="00F27D94"/>
    <w:rsid w:val="00F33A3F"/>
    <w:rsid w:val="00F50ABD"/>
    <w:rsid w:val="00F6669A"/>
    <w:rsid w:val="00F965B4"/>
    <w:rsid w:val="00FA0268"/>
    <w:rsid w:val="00FD66A1"/>
    <w:rsid w:val="00FF7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806732"/>
  <w15:docId w15:val="{610AB46C-EA0C-4074-8E6C-E8C38F6698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SimSu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30D9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Theme="minorHAnsi" w:hAnsiTheme="minorHAnsi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keepLines/>
      <w:tabs>
        <w:tab w:val="clear" w:pos="1191"/>
        <w:tab w:val="clear" w:pos="1588"/>
        <w:tab w:val="clear" w:pos="1985"/>
        <w:tab w:val="left" w:pos="2127"/>
        <w:tab w:val="left" w:pos="2410"/>
        <w:tab w:val="left" w:pos="2921"/>
        <w:tab w:val="left" w:pos="3261"/>
      </w:tabs>
      <w:spacing w:before="480"/>
      <w:ind w:left="794" w:hanging="794"/>
      <w:outlineLvl w:val="0"/>
    </w:pPr>
    <w:rPr>
      <w:b/>
    </w:rPr>
  </w:style>
  <w:style w:type="paragraph" w:styleId="Heading2">
    <w:name w:val="heading 2"/>
    <w:basedOn w:val="Heading1"/>
    <w:next w:val="Normal"/>
    <w:qFormat/>
    <w:pPr>
      <w:spacing w:before="320"/>
      <w:outlineLvl w:val="1"/>
    </w:pPr>
  </w:style>
  <w:style w:type="paragraph" w:styleId="Heading3">
    <w:name w:val="heading 3"/>
    <w:basedOn w:val="Heading1"/>
    <w:next w:val="Normal"/>
    <w:qFormat/>
    <w:pPr>
      <w:spacing w:before="200"/>
      <w:outlineLvl w:val="2"/>
    </w:pPr>
  </w:style>
  <w:style w:type="paragraph" w:styleId="Heading4">
    <w:name w:val="heading 4"/>
    <w:basedOn w:val="Heading3"/>
    <w:next w:val="Normal"/>
    <w:qFormat/>
    <w:pPr>
      <w:tabs>
        <w:tab w:val="clear" w:pos="794"/>
        <w:tab w:val="left" w:pos="1191"/>
      </w:tabs>
      <w:ind w:left="993" w:hanging="993"/>
      <w:outlineLvl w:val="3"/>
    </w:pPr>
  </w:style>
  <w:style w:type="paragraph" w:styleId="Heading5">
    <w:name w:val="heading 5"/>
    <w:basedOn w:val="Heading3"/>
    <w:next w:val="Normal"/>
    <w:qFormat/>
    <w:pPr>
      <w:tabs>
        <w:tab w:val="clear" w:pos="794"/>
        <w:tab w:val="left" w:pos="1191"/>
      </w:tabs>
      <w:outlineLvl w:val="4"/>
    </w:pPr>
  </w:style>
  <w:style w:type="paragraph" w:styleId="Heading6">
    <w:name w:val="heading 6"/>
    <w:basedOn w:val="Heading3"/>
    <w:next w:val="Normal"/>
    <w:qFormat/>
    <w:pPr>
      <w:tabs>
        <w:tab w:val="clear" w:pos="794"/>
        <w:tab w:val="left" w:pos="1191"/>
      </w:tabs>
      <w:outlineLvl w:val="5"/>
    </w:pPr>
  </w:style>
  <w:style w:type="paragraph" w:styleId="Heading7">
    <w:name w:val="heading 7"/>
    <w:basedOn w:val="Heading3"/>
    <w:next w:val="Normal"/>
    <w:qFormat/>
    <w:pPr>
      <w:tabs>
        <w:tab w:val="clear" w:pos="794"/>
        <w:tab w:val="left" w:pos="1191"/>
      </w:tabs>
      <w:outlineLvl w:val="6"/>
    </w:pPr>
  </w:style>
  <w:style w:type="paragraph" w:styleId="Heading8">
    <w:name w:val="heading 8"/>
    <w:basedOn w:val="Heading3"/>
    <w:next w:val="Normal"/>
    <w:qFormat/>
    <w:pPr>
      <w:tabs>
        <w:tab w:val="clear" w:pos="794"/>
        <w:tab w:val="left" w:pos="1191"/>
      </w:tabs>
      <w:outlineLvl w:val="7"/>
    </w:pPr>
  </w:style>
  <w:style w:type="paragraph" w:styleId="Heading9">
    <w:name w:val="heading 9"/>
    <w:basedOn w:val="Heading3"/>
    <w:next w:val="Normal"/>
    <w:qFormat/>
    <w:pPr>
      <w:tabs>
        <w:tab w:val="clear" w:pos="794"/>
        <w:tab w:val="left" w:pos="1191"/>
      </w:tabs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3"/>
    <w:next w:val="Normal"/>
    <w:semiHidden/>
  </w:style>
  <w:style w:type="paragraph" w:styleId="TOC7">
    <w:name w:val="toc 7"/>
    <w:basedOn w:val="TOC3"/>
    <w:next w:val="Normal"/>
    <w:semiHidden/>
  </w:style>
  <w:style w:type="paragraph" w:styleId="TOC6">
    <w:name w:val="toc 6"/>
    <w:basedOn w:val="TOC3"/>
    <w:next w:val="Normal"/>
    <w:semiHidden/>
  </w:style>
  <w:style w:type="paragraph" w:styleId="TOC5">
    <w:name w:val="toc 5"/>
    <w:basedOn w:val="TOC3"/>
    <w:next w:val="Normal"/>
    <w:semiHidden/>
  </w:style>
  <w:style w:type="paragraph" w:styleId="TOC4">
    <w:name w:val="toc 4"/>
    <w:basedOn w:val="TOC3"/>
    <w:next w:val="Normal"/>
    <w:semiHidden/>
  </w:style>
  <w:style w:type="paragraph" w:styleId="TOC3">
    <w:name w:val="toc 3"/>
    <w:basedOn w:val="TOC2"/>
    <w:next w:val="Normal"/>
    <w:semiHidden/>
    <w:pPr>
      <w:spacing w:before="80"/>
    </w:pPr>
  </w:style>
  <w:style w:type="paragraph" w:styleId="TOC2">
    <w:name w:val="toc 2"/>
    <w:basedOn w:val="TOC1"/>
    <w:next w:val="Normal"/>
    <w:semiHidden/>
    <w:pPr>
      <w:spacing w:before="120"/>
    </w:pPr>
  </w:style>
  <w:style w:type="paragraph" w:styleId="TOC1">
    <w:name w:val="toc 1"/>
    <w:basedOn w:val="Normal"/>
    <w:semiHidden/>
    <w:pPr>
      <w:tabs>
        <w:tab w:val="clear" w:pos="1191"/>
        <w:tab w:val="clear" w:pos="1588"/>
        <w:tab w:val="clear" w:pos="1985"/>
        <w:tab w:val="left" w:leader="dot" w:pos="8789"/>
        <w:tab w:val="right" w:pos="9639"/>
      </w:tabs>
      <w:spacing w:before="200"/>
      <w:ind w:left="794" w:hanging="794"/>
    </w:pPr>
  </w:style>
  <w:style w:type="paragraph" w:styleId="Index7">
    <w:name w:val="index 7"/>
    <w:basedOn w:val="Normal"/>
    <w:next w:val="Normal"/>
    <w:semiHidden/>
    <w:pPr>
      <w:ind w:left="1698"/>
    </w:pPr>
  </w:style>
  <w:style w:type="paragraph" w:styleId="Index6">
    <w:name w:val="index 6"/>
    <w:basedOn w:val="Normal"/>
    <w:next w:val="Normal"/>
    <w:semiHidden/>
    <w:pPr>
      <w:ind w:left="1415"/>
    </w:pPr>
  </w:style>
  <w:style w:type="paragraph" w:styleId="Index5">
    <w:name w:val="index 5"/>
    <w:basedOn w:val="Normal"/>
    <w:next w:val="Normal"/>
    <w:semiHidden/>
    <w:pPr>
      <w:ind w:left="1132"/>
    </w:pPr>
  </w:style>
  <w:style w:type="paragraph" w:styleId="Index4">
    <w:name w:val="index 4"/>
    <w:basedOn w:val="Normal"/>
    <w:next w:val="Normal"/>
    <w:semiHidden/>
    <w:pPr>
      <w:ind w:left="851"/>
    </w:pPr>
  </w:style>
  <w:style w:type="paragraph" w:styleId="Index3">
    <w:name w:val="index 3"/>
    <w:basedOn w:val="Normal"/>
    <w:next w:val="Normal"/>
    <w:semiHidden/>
    <w:pPr>
      <w:ind w:left="567"/>
    </w:pPr>
  </w:style>
  <w:style w:type="paragraph" w:styleId="Index2">
    <w:name w:val="index 2"/>
    <w:basedOn w:val="Normal"/>
    <w:next w:val="Normal"/>
    <w:semiHidden/>
    <w:pPr>
      <w:ind w:left="284"/>
    </w:pPr>
  </w:style>
  <w:style w:type="paragraph" w:styleId="Index1">
    <w:name w:val="index 1"/>
    <w:basedOn w:val="Normal"/>
    <w:next w:val="Normal"/>
    <w:semiHidden/>
  </w:style>
  <w:style w:type="character" w:styleId="LineNumber">
    <w:name w:val="line number"/>
    <w:basedOn w:val="DefaultParagraphFont"/>
  </w:style>
  <w:style w:type="paragraph" w:styleId="IndexHeading">
    <w:name w:val="index heading"/>
    <w:basedOn w:val="Normal"/>
    <w:next w:val="Normal"/>
    <w:semiHidden/>
  </w:style>
  <w:style w:type="paragraph" w:styleId="Footer">
    <w:name w:val="footer"/>
    <w:basedOn w:val="Normal"/>
    <w:link w:val="FooterChar"/>
    <w:pPr>
      <w:tabs>
        <w:tab w:val="clear" w:pos="794"/>
        <w:tab w:val="clear" w:pos="1191"/>
        <w:tab w:val="clear" w:pos="1588"/>
        <w:tab w:val="clear" w:pos="1985"/>
        <w:tab w:val="left" w:pos="5954"/>
        <w:tab w:val="right" w:pos="9639"/>
      </w:tabs>
      <w:overflowPunct w:val="0"/>
      <w:autoSpaceDE w:val="0"/>
      <w:autoSpaceDN w:val="0"/>
      <w:adjustRightInd w:val="0"/>
      <w:spacing w:before="0"/>
      <w:textAlignment w:val="baseline"/>
    </w:pPr>
    <w:rPr>
      <w:caps/>
      <w:noProof/>
      <w:sz w:val="16"/>
      <w:lang w:val="fr-FR"/>
    </w:rPr>
  </w:style>
  <w:style w:type="paragraph" w:styleId="Header">
    <w:name w:val="header"/>
    <w:aliases w:val="encabezado,Page No"/>
    <w:basedOn w:val="Normal"/>
    <w:link w:val="HeaderChar"/>
    <w:pPr>
      <w:tabs>
        <w:tab w:val="clear" w:pos="794"/>
        <w:tab w:val="clear" w:pos="1191"/>
        <w:tab w:val="clear" w:pos="1588"/>
        <w:tab w:val="clear" w:pos="1985"/>
      </w:tabs>
      <w:overflowPunct w:val="0"/>
      <w:autoSpaceDE w:val="0"/>
      <w:autoSpaceDN w:val="0"/>
      <w:adjustRightInd w:val="0"/>
      <w:spacing w:before="0"/>
      <w:jc w:val="center"/>
      <w:textAlignment w:val="baseline"/>
    </w:pPr>
    <w:rPr>
      <w:sz w:val="18"/>
      <w:lang w:val="fr-FR"/>
    </w:rPr>
  </w:style>
  <w:style w:type="character" w:styleId="FootnoteReference">
    <w:name w:val="footnote reference"/>
    <w:basedOn w:val="DefaultParagraphFont"/>
    <w:semiHidden/>
    <w:rPr>
      <w:position w:val="6"/>
      <w:sz w:val="16"/>
    </w:rPr>
  </w:style>
  <w:style w:type="paragraph" w:styleId="FootnoteText">
    <w:name w:val="footnote text"/>
    <w:basedOn w:val="Normal"/>
    <w:semiHidden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pPr>
      <w:ind w:left="794"/>
    </w:pPr>
  </w:style>
  <w:style w:type="paragraph" w:customStyle="1" w:styleId="TableLegend">
    <w:name w:val="Table_Legend"/>
    <w:basedOn w:val="TableText"/>
    <w:pPr>
      <w:spacing w:before="120"/>
    </w:pPr>
  </w:style>
  <w:style w:type="paragraph" w:customStyle="1" w:styleId="TableText">
    <w:name w:val="Table_Text"/>
    <w:basedOn w:val="Normal"/>
    <w:pPr>
      <w:tabs>
        <w:tab w:val="clear" w:pos="794"/>
        <w:tab w:val="clear" w:pos="1191"/>
        <w:tab w:val="clear" w:pos="1588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22"/>
    </w:rPr>
  </w:style>
  <w:style w:type="paragraph" w:customStyle="1" w:styleId="TableTitle">
    <w:name w:val="Table_Title"/>
    <w:basedOn w:val="Table"/>
    <w:next w:val="TableText"/>
    <w:pPr>
      <w:keepLines/>
      <w:spacing w:before="0"/>
    </w:pPr>
    <w:rPr>
      <w:b/>
      <w:caps w:val="0"/>
    </w:rPr>
  </w:style>
  <w:style w:type="paragraph" w:customStyle="1" w:styleId="Table">
    <w:name w:val="Table_#"/>
    <w:basedOn w:val="Normal"/>
    <w:next w:val="TableTitle"/>
    <w:pPr>
      <w:keepNext/>
      <w:spacing w:before="560" w:after="120"/>
      <w:jc w:val="center"/>
    </w:pPr>
    <w:rPr>
      <w:caps/>
    </w:rPr>
  </w:style>
  <w:style w:type="paragraph" w:customStyle="1" w:styleId="enumlev1">
    <w:name w:val="enumlev1"/>
    <w:basedOn w:val="Normal"/>
    <w:pPr>
      <w:spacing w:before="80"/>
      <w:ind w:left="794" w:hanging="794"/>
    </w:pPr>
  </w:style>
  <w:style w:type="paragraph" w:customStyle="1" w:styleId="enumlev2">
    <w:name w:val="enumlev2"/>
    <w:basedOn w:val="enumlev1"/>
    <w:pPr>
      <w:ind w:left="1191" w:hanging="397"/>
    </w:pPr>
  </w:style>
  <w:style w:type="paragraph" w:customStyle="1" w:styleId="enumlev3">
    <w:name w:val="enumlev3"/>
    <w:basedOn w:val="enumlev2"/>
    <w:pPr>
      <w:ind w:left="1588"/>
    </w:pPr>
  </w:style>
  <w:style w:type="paragraph" w:customStyle="1" w:styleId="TableHead">
    <w:name w:val="Table_Head"/>
    <w:basedOn w:val="TableText"/>
    <w:pPr>
      <w:keepNext/>
      <w:spacing w:before="80" w:after="80"/>
      <w:jc w:val="center"/>
    </w:pPr>
    <w:rPr>
      <w:b/>
    </w:rPr>
  </w:style>
  <w:style w:type="paragraph" w:customStyle="1" w:styleId="FigureLegend">
    <w:name w:val="Figure_Legend"/>
    <w:basedOn w:val="Normal"/>
    <w:pPr>
      <w:keepNext/>
      <w:keepLines/>
      <w:tabs>
        <w:tab w:val="clear" w:pos="794"/>
        <w:tab w:val="clear" w:pos="1191"/>
        <w:tab w:val="clear" w:pos="1588"/>
        <w:tab w:val="clear" w:pos="1985"/>
      </w:tabs>
      <w:spacing w:before="20" w:after="20"/>
    </w:pPr>
    <w:rPr>
      <w:sz w:val="18"/>
    </w:rPr>
  </w:style>
  <w:style w:type="paragraph" w:customStyle="1" w:styleId="Figure">
    <w:name w:val="Figure_#"/>
    <w:basedOn w:val="Table"/>
    <w:next w:val="FigureTitle"/>
    <w:pPr>
      <w:spacing w:before="480"/>
    </w:pPr>
  </w:style>
  <w:style w:type="paragraph" w:customStyle="1" w:styleId="FigureTitle">
    <w:name w:val="Figure_Title"/>
    <w:basedOn w:val="TableTitle"/>
    <w:next w:val="Normal"/>
    <w:pPr>
      <w:keepNext w:val="0"/>
      <w:spacing w:after="480"/>
    </w:pPr>
  </w:style>
  <w:style w:type="paragraph" w:customStyle="1" w:styleId="Annex">
    <w:name w:val="Annex_#"/>
    <w:basedOn w:val="Normal"/>
    <w:next w:val="AnnexRef"/>
    <w:pPr>
      <w:keepNext/>
      <w:keepLines/>
      <w:spacing w:before="480" w:after="80"/>
      <w:jc w:val="center"/>
    </w:pPr>
    <w:rPr>
      <w:caps/>
    </w:rPr>
  </w:style>
  <w:style w:type="paragraph" w:customStyle="1" w:styleId="AnnexRef">
    <w:name w:val="Annex_Ref"/>
    <w:basedOn w:val="Normal"/>
    <w:next w:val="AnnexTitle"/>
    <w:pPr>
      <w:keepNext/>
      <w:keepLines/>
      <w:jc w:val="center"/>
    </w:pPr>
  </w:style>
  <w:style w:type="paragraph" w:customStyle="1" w:styleId="AnnexTitle">
    <w:name w:val="Annex_Title"/>
    <w:basedOn w:val="Normal"/>
    <w:next w:val="Normalaftertitle"/>
    <w:pPr>
      <w:keepNext/>
      <w:keepLines/>
      <w:spacing w:before="240" w:after="280"/>
      <w:jc w:val="center"/>
    </w:pPr>
    <w:rPr>
      <w:b/>
    </w:rPr>
  </w:style>
  <w:style w:type="paragraph" w:customStyle="1" w:styleId="Appendix">
    <w:name w:val="Appendix_#"/>
    <w:basedOn w:val="Annex"/>
    <w:next w:val="AppendixRef"/>
  </w:style>
  <w:style w:type="paragraph" w:customStyle="1" w:styleId="AppendixRef">
    <w:name w:val="Appendix_Ref"/>
    <w:basedOn w:val="AnnexRef"/>
    <w:next w:val="AppendixTitle"/>
  </w:style>
  <w:style w:type="paragraph" w:customStyle="1" w:styleId="AppendixTitle">
    <w:name w:val="Appendix_Title"/>
    <w:basedOn w:val="AnnexTitle"/>
    <w:next w:val="Normalaftertitle"/>
  </w:style>
  <w:style w:type="paragraph" w:customStyle="1" w:styleId="RefTitle">
    <w:name w:val="Ref_Title"/>
    <w:basedOn w:val="Normal"/>
    <w:next w:val="RefText"/>
    <w:pPr>
      <w:spacing w:before="480"/>
      <w:jc w:val="center"/>
    </w:pPr>
    <w:rPr>
      <w:caps/>
    </w:rPr>
  </w:style>
  <w:style w:type="paragraph" w:customStyle="1" w:styleId="RefText">
    <w:name w:val="Ref_Text"/>
    <w:basedOn w:val="Normal"/>
    <w:pPr>
      <w:ind w:left="794" w:hanging="794"/>
    </w:pPr>
  </w:style>
  <w:style w:type="paragraph" w:customStyle="1" w:styleId="Equation">
    <w:name w:val="Equation"/>
    <w:basedOn w:val="Normal"/>
    <w:pPr>
      <w:tabs>
        <w:tab w:val="clear" w:pos="1191"/>
        <w:tab w:val="clear" w:pos="1588"/>
        <w:tab w:val="clear" w:pos="1985"/>
        <w:tab w:val="center" w:pos="4876"/>
        <w:tab w:val="right" w:pos="9752"/>
      </w:tabs>
    </w:pPr>
  </w:style>
  <w:style w:type="paragraph" w:customStyle="1" w:styleId="Head">
    <w:name w:val="Head"/>
    <w:basedOn w:val="Normal"/>
    <w:pPr>
      <w:tabs>
        <w:tab w:val="clear" w:pos="794"/>
        <w:tab w:val="clear" w:pos="1191"/>
        <w:tab w:val="clear" w:pos="1588"/>
        <w:tab w:val="clear" w:pos="1985"/>
        <w:tab w:val="left" w:pos="6663"/>
      </w:tabs>
      <w:spacing w:before="0"/>
    </w:pPr>
  </w:style>
  <w:style w:type="paragraph" w:customStyle="1" w:styleId="RecTitle">
    <w:name w:val="Rec_Title"/>
    <w:basedOn w:val="Normal"/>
    <w:next w:val="Heading1"/>
    <w:pPr>
      <w:keepNext/>
      <w:keepLines/>
      <w:spacing w:before="240"/>
      <w:jc w:val="center"/>
    </w:pPr>
    <w:rPr>
      <w:b/>
      <w:caps/>
    </w:rPr>
  </w:style>
  <w:style w:type="paragraph" w:customStyle="1" w:styleId="Normalaftertitle">
    <w:name w:val="Normal after title"/>
    <w:basedOn w:val="Normal"/>
    <w:next w:val="Normal"/>
    <w:pPr>
      <w:spacing w:before="320"/>
    </w:pPr>
  </w:style>
  <w:style w:type="paragraph" w:customStyle="1" w:styleId="call">
    <w:name w:val="call"/>
    <w:basedOn w:val="Normal"/>
    <w:next w:val="Normal"/>
    <w:pPr>
      <w:keepNext/>
      <w:keepLines/>
      <w:spacing w:before="160"/>
      <w:ind w:left="794"/>
    </w:pPr>
    <w:rPr>
      <w:i/>
    </w:rPr>
  </w:style>
  <w:style w:type="paragraph" w:customStyle="1" w:styleId="Rec">
    <w:name w:val="Rec_#"/>
    <w:basedOn w:val="Normal"/>
    <w:next w:val="RecTitle"/>
    <w:pPr>
      <w:keepNext/>
      <w:keepLines/>
      <w:spacing w:before="480"/>
      <w:jc w:val="center"/>
    </w:pPr>
    <w:rPr>
      <w:caps/>
    </w:rPr>
  </w:style>
  <w:style w:type="paragraph" w:customStyle="1" w:styleId="toc0">
    <w:name w:val="toc 0"/>
    <w:basedOn w:val="Normal"/>
    <w:next w:val="TOC1"/>
    <w:pPr>
      <w:tabs>
        <w:tab w:val="clear" w:pos="794"/>
        <w:tab w:val="clear" w:pos="1191"/>
        <w:tab w:val="clear" w:pos="1588"/>
        <w:tab w:val="clear" w:pos="1985"/>
        <w:tab w:val="right" w:pos="9781"/>
      </w:tabs>
    </w:pPr>
    <w:rPr>
      <w:b/>
    </w:rPr>
  </w:style>
  <w:style w:type="paragraph" w:styleId="List">
    <w:name w:val="List"/>
    <w:basedOn w:val="Normal"/>
    <w:pPr>
      <w:tabs>
        <w:tab w:val="clear" w:pos="794"/>
        <w:tab w:val="clear" w:pos="1191"/>
        <w:tab w:val="clear" w:pos="1588"/>
        <w:tab w:val="clear" w:pos="1985"/>
        <w:tab w:val="left" w:pos="1701"/>
        <w:tab w:val="left" w:pos="2127"/>
      </w:tabs>
      <w:ind w:left="2127" w:hanging="2127"/>
    </w:pPr>
  </w:style>
  <w:style w:type="paragraph" w:customStyle="1" w:styleId="Infodoc">
    <w:name w:val="Infodoc"/>
    <w:basedOn w:val="Normal"/>
    <w:pPr>
      <w:tabs>
        <w:tab w:val="clear" w:pos="794"/>
        <w:tab w:val="clear" w:pos="1191"/>
        <w:tab w:val="clear" w:pos="1588"/>
        <w:tab w:val="clear" w:pos="1985"/>
        <w:tab w:val="left" w:pos="1418"/>
      </w:tabs>
      <w:spacing w:before="0"/>
      <w:ind w:left="1418" w:hanging="1418"/>
    </w:pPr>
  </w:style>
  <w:style w:type="paragraph" w:customStyle="1" w:styleId="Part">
    <w:name w:val="Part"/>
    <w:basedOn w:val="Normal"/>
    <w:pPr>
      <w:tabs>
        <w:tab w:val="clear" w:pos="794"/>
        <w:tab w:val="clear" w:pos="1191"/>
        <w:tab w:val="clear" w:pos="1588"/>
        <w:tab w:val="clear" w:pos="1985"/>
        <w:tab w:val="left" w:pos="1276"/>
        <w:tab w:val="left" w:pos="1701"/>
      </w:tabs>
      <w:spacing w:before="200"/>
      <w:ind w:left="1701" w:hanging="1701"/>
    </w:pPr>
    <w:rPr>
      <w:caps/>
    </w:rPr>
  </w:style>
  <w:style w:type="paragraph" w:customStyle="1" w:styleId="Address">
    <w:name w:val="Address"/>
    <w:basedOn w:val="Normal"/>
    <w:pPr>
      <w:tabs>
        <w:tab w:val="clear" w:pos="794"/>
        <w:tab w:val="clear" w:pos="1191"/>
        <w:tab w:val="clear" w:pos="1588"/>
        <w:tab w:val="clear" w:pos="1985"/>
        <w:tab w:val="left" w:pos="4820"/>
        <w:tab w:val="left" w:pos="5529"/>
      </w:tabs>
      <w:ind w:left="794"/>
    </w:pPr>
  </w:style>
  <w:style w:type="paragraph" w:customStyle="1" w:styleId="headingb">
    <w:name w:val="heading_b"/>
    <w:basedOn w:val="Heading3"/>
    <w:next w:val="Normal"/>
    <w:pPr>
      <w:spacing w:before="160"/>
      <w:ind w:left="0" w:firstLine="0"/>
      <w:outlineLvl w:val="9"/>
    </w:pPr>
  </w:style>
  <w:style w:type="paragraph" w:customStyle="1" w:styleId="Keywords">
    <w:name w:val="Keywords"/>
    <w:basedOn w:val="Normal"/>
    <w:pPr>
      <w:tabs>
        <w:tab w:val="clear" w:pos="1191"/>
        <w:tab w:val="clear" w:pos="1588"/>
      </w:tabs>
      <w:ind w:left="794" w:hanging="794"/>
    </w:pPr>
  </w:style>
  <w:style w:type="paragraph" w:customStyle="1" w:styleId="ASN1">
    <w:name w:val="ASN.1"/>
    <w:basedOn w:val="Normal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b/>
      <w:noProof/>
      <w:sz w:val="20"/>
    </w:rPr>
  </w:style>
  <w:style w:type="paragraph" w:customStyle="1" w:styleId="EquationLegend">
    <w:name w:val="Equation_Legend"/>
    <w:basedOn w:val="Normal"/>
    <w:pPr>
      <w:tabs>
        <w:tab w:val="clear" w:pos="794"/>
        <w:tab w:val="clear" w:pos="1191"/>
        <w:tab w:val="clear" w:pos="1588"/>
        <w:tab w:val="clear" w:pos="1985"/>
        <w:tab w:val="right" w:pos="1531"/>
        <w:tab w:val="left" w:pos="1701"/>
      </w:tabs>
      <w:spacing w:before="80"/>
      <w:ind w:left="1701" w:hanging="1701"/>
    </w:pPr>
  </w:style>
  <w:style w:type="paragraph" w:styleId="Signature">
    <w:name w:val="Signature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480"/>
      <w:ind w:left="4961"/>
    </w:pPr>
  </w:style>
  <w:style w:type="paragraph" w:customStyle="1" w:styleId="meeting">
    <w:name w:val="meeting"/>
    <w:basedOn w:val="Head"/>
    <w:next w:val="Head"/>
    <w:pPr>
      <w:tabs>
        <w:tab w:val="left" w:pos="7371"/>
      </w:tabs>
      <w:spacing w:after="560"/>
    </w:pPr>
  </w:style>
  <w:style w:type="paragraph" w:customStyle="1" w:styleId="BodyText">
    <w:name w:val="Body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</w:style>
  <w:style w:type="paragraph" w:customStyle="1" w:styleId="ITUadres">
    <w:name w:val="ITU_adr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/>
    </w:pPr>
    <w:rPr>
      <w:sz w:val="18"/>
    </w:rPr>
  </w:style>
  <w:style w:type="paragraph" w:customStyle="1" w:styleId="ITUheader">
    <w:name w:val="ITU_header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397"/>
    </w:pPr>
    <w:rPr>
      <w:b/>
      <w:sz w:val="30"/>
    </w:rPr>
  </w:style>
  <w:style w:type="paragraph" w:customStyle="1" w:styleId="Body">
    <w:name w:val="Body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227"/>
      <w:ind w:right="851"/>
      <w:jc w:val="both"/>
    </w:pPr>
    <w:rPr>
      <w:sz w:val="20"/>
    </w:rPr>
  </w:style>
  <w:style w:type="paragraph" w:customStyle="1" w:styleId="ITUsignet">
    <w:name w:val="ITU_signet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170"/>
      <w:ind w:left="-1134"/>
    </w:pPr>
    <w:rPr>
      <w:b/>
      <w:sz w:val="20"/>
    </w:rPr>
  </w:style>
  <w:style w:type="paragraph" w:customStyle="1" w:styleId="ITUref">
    <w:name w:val="ITU_ref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  <w:tab w:val="left" w:pos="5529"/>
      </w:tabs>
      <w:spacing w:before="0"/>
    </w:pPr>
    <w:rPr>
      <w:sz w:val="20"/>
    </w:rPr>
  </w:style>
  <w:style w:type="paragraph" w:customStyle="1" w:styleId="ITUfillin">
    <w:name w:val="ITU_fillin"/>
    <w:basedOn w:val="ITUref"/>
  </w:style>
  <w:style w:type="paragraph" w:customStyle="1" w:styleId="ITUbureau">
    <w:name w:val="ITU_bureau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after="851"/>
    </w:pPr>
    <w:rPr>
      <w:b/>
      <w:sz w:val="22"/>
    </w:rPr>
  </w:style>
  <w:style w:type="paragraph" w:customStyle="1" w:styleId="duties">
    <w:name w:val="duties"/>
    <w:basedOn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0" w:line="199" w:lineRule="exact"/>
    </w:pPr>
    <w:rPr>
      <w:b/>
      <w:sz w:val="8"/>
    </w:rPr>
  </w:style>
  <w:style w:type="paragraph" w:customStyle="1" w:styleId="ITUintr">
    <w:name w:val="ITU_intr"/>
    <w:basedOn w:val="Normal"/>
    <w:next w:val="Normal"/>
    <w:pPr>
      <w:tabs>
        <w:tab w:val="clear" w:pos="794"/>
        <w:tab w:val="clear" w:pos="1191"/>
        <w:tab w:val="clear" w:pos="1588"/>
        <w:tab w:val="clear" w:pos="1985"/>
        <w:tab w:val="left" w:pos="737"/>
        <w:tab w:val="left" w:pos="1134"/>
      </w:tabs>
      <w:spacing w:before="567" w:after="57"/>
    </w:pPr>
    <w:rPr>
      <w:sz w:val="20"/>
    </w:rPr>
  </w:style>
  <w:style w:type="paragraph" w:customStyle="1" w:styleId="LetterEnd">
    <w:name w:val="Letter_End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 w:firstLine="851"/>
    </w:pPr>
  </w:style>
  <w:style w:type="paragraph" w:customStyle="1" w:styleId="LetterStart">
    <w:name w:val="Letter_Star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284"/>
      <w:ind w:left="567"/>
    </w:pPr>
  </w:style>
  <w:style w:type="paragraph" w:customStyle="1" w:styleId="LetterText">
    <w:name w:val="Letter_Text"/>
    <w:basedOn w:val="LetterStart"/>
    <w:pPr>
      <w:tabs>
        <w:tab w:val="left" w:pos="1418"/>
        <w:tab w:val="left" w:pos="1985"/>
        <w:tab w:val="left" w:pos="2268"/>
      </w:tabs>
      <w:ind w:firstLine="1304"/>
    </w:pPr>
  </w:style>
  <w:style w:type="paragraph" w:customStyle="1" w:styleId="Tiret">
    <w:name w:val="Tiret"/>
    <w:basedOn w:val="Normal"/>
    <w:pPr>
      <w:tabs>
        <w:tab w:val="clear" w:pos="794"/>
        <w:tab w:val="clear" w:pos="1191"/>
        <w:tab w:val="clear" w:pos="1588"/>
        <w:tab w:val="clear" w:pos="1985"/>
      </w:tabs>
      <w:ind w:left="-680"/>
    </w:pPr>
  </w:style>
  <w:style w:type="paragraph" w:customStyle="1" w:styleId="NormFoot">
    <w:name w:val="Norm_Foot"/>
    <w:basedOn w:val="Normal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details">
    <w:name w:val="details"/>
    <w:basedOn w:val="Normal"/>
    <w:next w:val="Tiret"/>
    <w:pPr>
      <w:tabs>
        <w:tab w:val="clear" w:pos="794"/>
        <w:tab w:val="clear" w:pos="1191"/>
        <w:tab w:val="clear" w:pos="1588"/>
        <w:tab w:val="clear" w:pos="1985"/>
        <w:tab w:val="left" w:pos="1361"/>
        <w:tab w:val="left" w:pos="1758"/>
        <w:tab w:val="left" w:pos="2155"/>
        <w:tab w:val="left" w:pos="2552"/>
      </w:tabs>
      <w:spacing w:before="0"/>
    </w:pPr>
  </w:style>
  <w:style w:type="paragraph" w:customStyle="1" w:styleId="listitem">
    <w:name w:val="listitem"/>
    <w:basedOn w:val="Normal"/>
    <w:pPr>
      <w:keepLines/>
      <w:tabs>
        <w:tab w:val="left" w:pos="1361"/>
        <w:tab w:val="left" w:pos="1758"/>
        <w:tab w:val="left" w:pos="2155"/>
        <w:tab w:val="left" w:pos="2552"/>
      </w:tabs>
      <w:ind w:left="567"/>
    </w:pPr>
  </w:style>
  <w:style w:type="paragraph" w:customStyle="1" w:styleId="headingi">
    <w:name w:val="heading_i"/>
    <w:basedOn w:val="Heading3"/>
    <w:next w:val="Normal"/>
    <w:pPr>
      <w:spacing w:before="160"/>
      <w:ind w:left="0" w:firstLine="0"/>
      <w:outlineLvl w:val="9"/>
    </w:pPr>
    <w:rPr>
      <w:b w:val="0"/>
      <w:i/>
    </w:rPr>
  </w:style>
  <w:style w:type="character" w:styleId="Hyperlink">
    <w:name w:val="Hyperlink"/>
    <w:aliases w:val="超级链接"/>
    <w:basedOn w:val="DefaultParagraphFont"/>
    <w:rPr>
      <w:color w:val="0000FF"/>
      <w:u w:val="single"/>
    </w:rPr>
  </w:style>
  <w:style w:type="paragraph" w:customStyle="1" w:styleId="Qlist">
    <w:name w:val="Qlist"/>
    <w:basedOn w:val="Normal"/>
    <w:pPr>
      <w:tabs>
        <w:tab w:val="clear" w:pos="794"/>
        <w:tab w:val="clear" w:pos="1191"/>
        <w:tab w:val="clear" w:pos="1588"/>
        <w:tab w:val="clear" w:pos="1985"/>
        <w:tab w:val="left" w:pos="1843"/>
        <w:tab w:val="left" w:pos="2268"/>
      </w:tabs>
      <w:ind w:left="2268" w:hanging="2268"/>
    </w:pPr>
    <w:rPr>
      <w:b/>
    </w:rPr>
  </w:style>
  <w:style w:type="paragraph" w:customStyle="1" w:styleId="Note">
    <w:name w:val="Note"/>
    <w:basedOn w:val="Normal"/>
    <w:pPr>
      <w:tabs>
        <w:tab w:val="left" w:pos="397"/>
      </w:tabs>
    </w:pPr>
  </w:style>
  <w:style w:type="paragraph" w:customStyle="1" w:styleId="FirstFooter">
    <w:name w:val="FirstFooter"/>
    <w:basedOn w:val="Footer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styleId="TOC9">
    <w:name w:val="toc 9"/>
    <w:basedOn w:val="TOC3"/>
    <w:next w:val="Normal"/>
    <w:semiHidden/>
  </w:style>
  <w:style w:type="paragraph" w:styleId="BodyText0">
    <w:name w:val="Body Text"/>
    <w:basedOn w:val="Normal"/>
    <w:pPr>
      <w:tabs>
        <w:tab w:val="clear" w:pos="794"/>
        <w:tab w:val="clear" w:pos="1191"/>
        <w:tab w:val="clear" w:pos="1588"/>
        <w:tab w:val="clear" w:pos="1985"/>
      </w:tabs>
      <w:spacing w:before="240"/>
    </w:pPr>
    <w:rPr>
      <w:i/>
      <w:iCs/>
      <w:szCs w:val="24"/>
      <w:lang w:val="en-US"/>
    </w:rPr>
  </w:style>
  <w:style w:type="character" w:styleId="PageNumber">
    <w:name w:val="page number"/>
    <w:basedOn w:val="DefaultParagraphFont"/>
  </w:style>
  <w:style w:type="paragraph" w:customStyle="1" w:styleId="AnnexNo">
    <w:name w:val="Annex_No"/>
    <w:basedOn w:val="Normal"/>
    <w:next w:val="Normal"/>
    <w:pPr>
      <w:keepNext/>
      <w:keepLines/>
      <w:overflowPunct w:val="0"/>
      <w:autoSpaceDE w:val="0"/>
      <w:autoSpaceDN w:val="0"/>
      <w:adjustRightInd w:val="0"/>
      <w:spacing w:before="480" w:after="80"/>
      <w:jc w:val="center"/>
      <w:textAlignment w:val="baseline"/>
    </w:pPr>
    <w:rPr>
      <w:caps/>
      <w:sz w:val="28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Indent">
    <w:name w:val="Body Text Indent"/>
    <w:basedOn w:val="Normal"/>
    <w:pPr>
      <w:tabs>
        <w:tab w:val="left" w:pos="4111"/>
      </w:tabs>
      <w:spacing w:before="0"/>
      <w:ind w:left="57"/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tu">
    <w:name w:val="itu"/>
    <w:basedOn w:val="Normal"/>
    <w:rsid w:val="009C749B"/>
    <w:pPr>
      <w:tabs>
        <w:tab w:val="clear" w:pos="794"/>
        <w:tab w:val="clear" w:pos="1191"/>
        <w:tab w:val="clear" w:pos="1588"/>
        <w:tab w:val="clear" w:pos="1985"/>
        <w:tab w:val="left" w:pos="709"/>
        <w:tab w:val="left" w:pos="1134"/>
      </w:tabs>
      <w:spacing w:before="0"/>
    </w:pPr>
    <w:rPr>
      <w:rFonts w:ascii="Futura Lt BT" w:eastAsia="Times New Roman" w:hAnsi="Futura Lt BT"/>
      <w:sz w:val="18"/>
    </w:rPr>
  </w:style>
  <w:style w:type="paragraph" w:styleId="ListParagraph">
    <w:name w:val="List Paragraph"/>
    <w:basedOn w:val="Normal"/>
    <w:uiPriority w:val="34"/>
    <w:qFormat/>
    <w:rsid w:val="00746E31"/>
    <w:pPr>
      <w:ind w:left="720"/>
      <w:contextualSpacing/>
    </w:pPr>
  </w:style>
  <w:style w:type="paragraph" w:styleId="NormalWeb">
    <w:name w:val="Normal (Web)"/>
    <w:basedOn w:val="Normal"/>
    <w:unhideWhenUsed/>
    <w:rsid w:val="00746E31"/>
    <w:pPr>
      <w:tabs>
        <w:tab w:val="clear" w:pos="794"/>
        <w:tab w:val="clear" w:pos="1191"/>
        <w:tab w:val="clear" w:pos="1588"/>
        <w:tab w:val="clear" w:pos="1985"/>
      </w:tabs>
      <w:spacing w:before="100" w:after="100" w:line="240" w:lineRule="atLeast"/>
    </w:pPr>
    <w:rPr>
      <w:rFonts w:ascii="Verdana" w:hAnsi="Verdana"/>
      <w:sz w:val="18"/>
      <w:szCs w:val="18"/>
      <w:lang w:val="en-US" w:eastAsia="zh-CN"/>
    </w:rPr>
  </w:style>
  <w:style w:type="character" w:customStyle="1" w:styleId="FooterChar">
    <w:name w:val="Footer Char"/>
    <w:basedOn w:val="DefaultParagraphFont"/>
    <w:link w:val="Footer"/>
    <w:rsid w:val="00746E31"/>
    <w:rPr>
      <w:rFonts w:ascii="Times New Roman" w:hAnsi="Times New Roman"/>
      <w:caps/>
      <w:noProof/>
      <w:sz w:val="16"/>
      <w:lang w:val="fr-FR" w:eastAsia="en-US"/>
    </w:rPr>
  </w:style>
  <w:style w:type="character" w:customStyle="1" w:styleId="HeaderChar">
    <w:name w:val="Header Char"/>
    <w:aliases w:val="encabezado Char,Page No Char"/>
    <w:basedOn w:val="DefaultParagraphFont"/>
    <w:link w:val="Header"/>
    <w:uiPriority w:val="99"/>
    <w:rsid w:val="00746E31"/>
    <w:rPr>
      <w:rFonts w:ascii="Times New Roman" w:hAnsi="Times New Roman"/>
      <w:sz w:val="18"/>
      <w:lang w:val="fr-FR" w:eastAsia="en-US"/>
    </w:rPr>
  </w:style>
  <w:style w:type="paragraph" w:customStyle="1" w:styleId="Tabletext0">
    <w:name w:val="Table_text"/>
    <w:basedOn w:val="Normal"/>
    <w:rsid w:val="00F6669A"/>
    <w:pPr>
      <w:tabs>
        <w:tab w:val="left" w:pos="284"/>
        <w:tab w:val="left" w:pos="567"/>
        <w:tab w:val="left" w:pos="851"/>
        <w:tab w:val="left" w:pos="1418"/>
        <w:tab w:val="left" w:pos="1701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/>
      <w:textAlignment w:val="baseline"/>
    </w:pPr>
    <w:rPr>
      <w:rFonts w:ascii="Calibri" w:eastAsia="MS Mincho" w:hAnsi="Calibri"/>
    </w:rPr>
  </w:style>
  <w:style w:type="paragraph" w:customStyle="1" w:styleId="AppendixNo">
    <w:name w:val="Appendix_No"/>
    <w:basedOn w:val="AnnexNo"/>
    <w:next w:val="AnnexRef"/>
    <w:rsid w:val="00F6669A"/>
    <w:rPr>
      <w:rFonts w:ascii="Calibri" w:eastAsia="MS Mincho" w:hAnsi="Calibri"/>
    </w:rPr>
  </w:style>
  <w:style w:type="paragraph" w:customStyle="1" w:styleId="Headingb0">
    <w:name w:val="Heading_b"/>
    <w:basedOn w:val="Normal"/>
    <w:next w:val="Normal"/>
    <w:rsid w:val="00F6669A"/>
    <w:pPr>
      <w:keepNext/>
      <w:overflowPunct w:val="0"/>
      <w:autoSpaceDE w:val="0"/>
      <w:autoSpaceDN w:val="0"/>
      <w:adjustRightInd w:val="0"/>
      <w:spacing w:before="160"/>
      <w:textAlignment w:val="baseline"/>
    </w:pPr>
    <w:rPr>
      <w:rFonts w:ascii="Calibri" w:eastAsia="MS Mincho" w:hAnsi="Calibri"/>
      <w:b/>
    </w:rPr>
  </w:style>
  <w:style w:type="paragraph" w:customStyle="1" w:styleId="Annextitle0">
    <w:name w:val="Annex_title"/>
    <w:basedOn w:val="Normal"/>
    <w:next w:val="Normal"/>
    <w:rsid w:val="00F6669A"/>
    <w:pPr>
      <w:keepNext/>
      <w:keepLines/>
      <w:overflowPunct w:val="0"/>
      <w:autoSpaceDE w:val="0"/>
      <w:autoSpaceDN w:val="0"/>
      <w:adjustRightInd w:val="0"/>
      <w:spacing w:before="240" w:after="280"/>
      <w:jc w:val="center"/>
      <w:textAlignment w:val="baseline"/>
    </w:pPr>
    <w:rPr>
      <w:rFonts w:ascii="Calibri" w:eastAsia="MS Mincho" w:hAnsi="Calibri"/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sbtsag@itu.int" TargetMode="External"/><Relationship Id="rId13" Type="http://schemas.openxmlformats.org/officeDocument/2006/relationships/hyperlink" Target="https://www.itu.int/md/T22-TSAG-240122-TD-GEN-0317/en" TargetMode="External"/><Relationship Id="rId18" Type="http://schemas.openxmlformats.org/officeDocument/2006/relationships/header" Target="header3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yperlink" Target="https://www.itu.int/md/T22-TSAG-R-0004/en" TargetMode="External"/><Relationship Id="rId17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tu.int/md/T22-TSAG-240122-TD-GEN-0394/en" TargetMode="External"/><Relationship Id="rId5" Type="http://schemas.openxmlformats.org/officeDocument/2006/relationships/footnotes" Target="footnotes.xml"/><Relationship Id="rId15" Type="http://schemas.openxmlformats.org/officeDocument/2006/relationships/header" Target="header2.xml"/><Relationship Id="rId10" Type="http://schemas.openxmlformats.org/officeDocument/2006/relationships/hyperlink" Target="https://www.itu.int/md/T22-TSB-CIR-0203/en" TargetMode="External"/><Relationship Id="rId19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tu.int/en/pages/default.aspx" TargetMode="External"/><Relationship Id="rId1" Type="http://schemas.openxmlformats.org/officeDocument/2006/relationships/hyperlink" Target="mailto:itumail@itu.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1016</Words>
  <Characters>748</Characters>
  <Application>Microsoft Office Word</Application>
  <DocSecurity>0</DocSecurity>
  <Lines>6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INTERNATIONAL TELECOMMUNICATION UNION</vt:lpstr>
    </vt:vector>
  </TitlesOfParts>
  <Company>ITU</Company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INTERNATIONAL TELECOMMUNICATION UNION</dc:title>
  <dc:creator>Li, Jianying</dc:creator>
  <cp:lastModifiedBy>Al-Mnini, Lara</cp:lastModifiedBy>
  <cp:revision>3</cp:revision>
  <cp:lastPrinted>2012-02-21T08:04:00Z</cp:lastPrinted>
  <dcterms:created xsi:type="dcterms:W3CDTF">2024-05-08T08:57:00Z</dcterms:created>
  <dcterms:modified xsi:type="dcterms:W3CDTF">2024-05-08T10:27:00Z</dcterms:modified>
</cp:coreProperties>
</file>