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123"/>
        <w:bidiVisual/>
        <w:tblW w:w="5000" w:type="pct"/>
        <w:tblLook w:val="0000" w:firstRow="0" w:lastRow="0" w:firstColumn="0" w:lastColumn="0" w:noHBand="0" w:noVBand="0"/>
      </w:tblPr>
      <w:tblGrid>
        <w:gridCol w:w="1538"/>
        <w:gridCol w:w="8101"/>
      </w:tblGrid>
      <w:tr w:rsidR="00D517B2" w:rsidRPr="00D517B2" w14:paraId="78CAA612" w14:textId="77777777" w:rsidTr="00D517B2">
        <w:trPr>
          <w:cantSplit/>
          <w:trHeight w:val="1134"/>
        </w:trPr>
        <w:tc>
          <w:tcPr>
            <w:tcW w:w="798" w:type="pct"/>
          </w:tcPr>
          <w:p w14:paraId="4A93635B" w14:textId="77777777" w:rsidR="00D517B2" w:rsidRPr="00D517B2" w:rsidRDefault="00D517B2" w:rsidP="00D517B2">
            <w:pPr>
              <w:spacing w:before="0" w:line="240" w:lineRule="auto"/>
              <w:rPr>
                <w:b/>
                <w:bCs/>
                <w:rtl/>
                <w:lang w:bidi="ar-EG"/>
              </w:rPr>
            </w:pPr>
            <w:r w:rsidRPr="00D517B2">
              <w:rPr>
                <w:noProof/>
              </w:rPr>
              <w:drawing>
                <wp:inline distT="0" distB="0" distL="0" distR="0" wp14:anchorId="0AD02572" wp14:editId="6E39462D">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80582" name="Picture 1" descr="C:\Users\clarker\AppData\Local\Temp\7zE04E6E9AC\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07720" cy="807720"/>
                          </a:xfrm>
                          <a:prstGeom prst="rect">
                            <a:avLst/>
                          </a:prstGeom>
                          <a:noFill/>
                          <a:ln>
                            <a:noFill/>
                          </a:ln>
                        </pic:spPr>
                      </pic:pic>
                    </a:graphicData>
                  </a:graphic>
                </wp:inline>
              </w:drawing>
            </w:r>
          </w:p>
        </w:tc>
        <w:tc>
          <w:tcPr>
            <w:tcW w:w="4202" w:type="pct"/>
          </w:tcPr>
          <w:p w14:paraId="13577B05" w14:textId="77777777" w:rsidR="00D517B2" w:rsidRPr="00D517B2" w:rsidRDefault="00D517B2" w:rsidP="00D517B2">
            <w:pPr>
              <w:spacing w:before="200"/>
              <w:rPr>
                <w:b/>
                <w:bCs/>
                <w:sz w:val="36"/>
                <w:szCs w:val="36"/>
                <w:rtl/>
              </w:rPr>
            </w:pPr>
            <w:r w:rsidRPr="00D517B2">
              <w:rPr>
                <w:rFonts w:hint="cs"/>
                <w:b/>
                <w:bCs/>
                <w:sz w:val="36"/>
                <w:szCs w:val="36"/>
                <w:rtl/>
              </w:rPr>
              <w:t>الاتحـاد الدولـي للاتصـالات</w:t>
            </w:r>
          </w:p>
          <w:p w14:paraId="1E1723F1" w14:textId="77777777" w:rsidR="00D517B2" w:rsidRPr="00D517B2" w:rsidRDefault="00D517B2" w:rsidP="00D517B2">
            <w:pPr>
              <w:spacing w:before="60"/>
              <w:rPr>
                <w:b/>
                <w:bCs/>
                <w:sz w:val="28"/>
                <w:szCs w:val="28"/>
                <w:rtl/>
                <w:lang w:bidi="ar-EG"/>
              </w:rPr>
            </w:pPr>
            <w:r w:rsidRPr="00D517B2">
              <w:rPr>
                <w:rFonts w:hint="cs"/>
                <w:b/>
                <w:bCs/>
                <w:sz w:val="28"/>
                <w:szCs w:val="28"/>
                <w:rtl/>
              </w:rPr>
              <w:t>مكتب تقييس الاتصالات</w:t>
            </w:r>
          </w:p>
        </w:tc>
      </w:tr>
    </w:tbl>
    <w:tbl>
      <w:tblPr>
        <w:tblpPr w:leftFromText="180" w:rightFromText="180" w:vertAnchor="text" w:tblpXSpec="center" w:tblpY="1"/>
        <w:tblOverlap w:val="never"/>
        <w:bidiVisual/>
        <w:tblW w:w="5000" w:type="pct"/>
        <w:jc w:val="center"/>
        <w:tblLayout w:type="fixed"/>
        <w:tblCellMar>
          <w:left w:w="0" w:type="dxa"/>
          <w:right w:w="0" w:type="dxa"/>
        </w:tblCellMar>
        <w:tblLook w:val="0000" w:firstRow="0" w:lastRow="0" w:firstColumn="0" w:lastColumn="0" w:noHBand="0" w:noVBand="0"/>
      </w:tblPr>
      <w:tblGrid>
        <w:gridCol w:w="1535"/>
        <w:gridCol w:w="3568"/>
        <w:gridCol w:w="4536"/>
      </w:tblGrid>
      <w:tr w:rsidR="00D517B2" w:rsidRPr="00D517B2" w14:paraId="36FFF245" w14:textId="77777777" w:rsidTr="008054DA">
        <w:trPr>
          <w:cantSplit/>
          <w:trHeight w:val="142"/>
          <w:jc w:val="center"/>
        </w:trPr>
        <w:tc>
          <w:tcPr>
            <w:tcW w:w="796" w:type="pct"/>
          </w:tcPr>
          <w:p w14:paraId="1151F25C" w14:textId="77777777" w:rsidR="00D517B2" w:rsidRPr="00D517B2" w:rsidRDefault="00D517B2" w:rsidP="00BB0F08">
            <w:pPr>
              <w:spacing w:line="300" w:lineRule="exact"/>
              <w:jc w:val="left"/>
              <w:rPr>
                <w:position w:val="2"/>
              </w:rPr>
            </w:pPr>
          </w:p>
        </w:tc>
        <w:tc>
          <w:tcPr>
            <w:tcW w:w="1851" w:type="pct"/>
          </w:tcPr>
          <w:p w14:paraId="0FCB639B" w14:textId="77777777" w:rsidR="00D517B2" w:rsidRPr="00D517B2" w:rsidRDefault="00D517B2" w:rsidP="00BB0F08">
            <w:pPr>
              <w:spacing w:line="300" w:lineRule="exact"/>
              <w:jc w:val="left"/>
              <w:rPr>
                <w:position w:val="2"/>
              </w:rPr>
            </w:pPr>
          </w:p>
        </w:tc>
        <w:tc>
          <w:tcPr>
            <w:tcW w:w="2353" w:type="pct"/>
          </w:tcPr>
          <w:p w14:paraId="08B8DCEC" w14:textId="77777777" w:rsidR="00D517B2" w:rsidRPr="00873469" w:rsidRDefault="00D517B2" w:rsidP="00BB0F08">
            <w:pPr>
              <w:spacing w:line="300" w:lineRule="exact"/>
              <w:jc w:val="left"/>
              <w:rPr>
                <w:position w:val="2"/>
                <w:lang w:bidi="ar-EG"/>
              </w:rPr>
            </w:pPr>
          </w:p>
        </w:tc>
      </w:tr>
      <w:tr w:rsidR="00D517B2" w:rsidRPr="00D517B2" w14:paraId="1037EDEA" w14:textId="77777777" w:rsidTr="008054DA">
        <w:trPr>
          <w:cantSplit/>
          <w:trHeight w:val="148"/>
          <w:jc w:val="center"/>
        </w:trPr>
        <w:tc>
          <w:tcPr>
            <w:tcW w:w="796" w:type="pct"/>
          </w:tcPr>
          <w:p w14:paraId="13FE252C" w14:textId="77777777" w:rsidR="00D517B2" w:rsidRPr="00D517B2" w:rsidRDefault="00D517B2" w:rsidP="00D517B2">
            <w:pPr>
              <w:spacing w:before="80" w:after="60" w:line="300" w:lineRule="exact"/>
              <w:jc w:val="left"/>
              <w:rPr>
                <w:position w:val="2"/>
              </w:rPr>
            </w:pPr>
          </w:p>
        </w:tc>
        <w:tc>
          <w:tcPr>
            <w:tcW w:w="1851" w:type="pct"/>
          </w:tcPr>
          <w:p w14:paraId="17E4D63D" w14:textId="77777777" w:rsidR="00D517B2" w:rsidRPr="00D517B2" w:rsidRDefault="00D517B2" w:rsidP="00D517B2">
            <w:pPr>
              <w:spacing w:before="80" w:after="60" w:line="300" w:lineRule="exact"/>
              <w:jc w:val="left"/>
              <w:rPr>
                <w:position w:val="2"/>
                <w:lang w:bidi="ar-EG"/>
              </w:rPr>
            </w:pPr>
          </w:p>
        </w:tc>
        <w:tc>
          <w:tcPr>
            <w:tcW w:w="2353" w:type="pct"/>
          </w:tcPr>
          <w:p w14:paraId="40FBA00D" w14:textId="0A22352B" w:rsidR="00D517B2" w:rsidRPr="00D517B2" w:rsidRDefault="00873469" w:rsidP="00D517B2">
            <w:pPr>
              <w:spacing w:before="80" w:after="60" w:line="300" w:lineRule="exact"/>
              <w:jc w:val="left"/>
              <w:rPr>
                <w:position w:val="2"/>
                <w:rtl/>
                <w:lang w:bidi="ar-SY"/>
              </w:rPr>
            </w:pPr>
            <w:r w:rsidRPr="00D517B2">
              <w:rPr>
                <w:rFonts w:hint="cs"/>
                <w:position w:val="2"/>
                <w:rtl/>
              </w:rPr>
              <w:t xml:space="preserve">جنيف، </w:t>
            </w:r>
            <w:r w:rsidR="00D75E48">
              <w:rPr>
                <w:position w:val="2"/>
              </w:rPr>
              <w:t>1</w:t>
            </w:r>
            <w:r w:rsidR="00D75E48">
              <w:rPr>
                <w:rFonts w:hint="cs"/>
                <w:position w:val="2"/>
                <w:rtl/>
                <w:lang w:bidi="ar-SY"/>
              </w:rPr>
              <w:t xml:space="preserve"> مايو </w:t>
            </w:r>
            <w:r w:rsidR="00D75E48">
              <w:rPr>
                <w:position w:val="2"/>
                <w:lang w:bidi="ar-SY"/>
              </w:rPr>
              <w:t>2024</w:t>
            </w:r>
          </w:p>
        </w:tc>
      </w:tr>
      <w:tr w:rsidR="00D75E48" w:rsidRPr="00D517B2" w14:paraId="42A9E216" w14:textId="77777777" w:rsidTr="008054DA">
        <w:trPr>
          <w:cantSplit/>
          <w:trHeight w:val="831"/>
          <w:jc w:val="center"/>
        </w:trPr>
        <w:tc>
          <w:tcPr>
            <w:tcW w:w="796" w:type="pct"/>
          </w:tcPr>
          <w:p w14:paraId="4CAEDFA8" w14:textId="77777777" w:rsidR="00D75E48" w:rsidRPr="00A9156F" w:rsidRDefault="00D75E48" w:rsidP="00D517B2">
            <w:pPr>
              <w:spacing w:before="80" w:after="60" w:line="300" w:lineRule="exact"/>
              <w:jc w:val="left"/>
              <w:rPr>
                <w:b/>
                <w:bCs/>
                <w:position w:val="2"/>
              </w:rPr>
            </w:pPr>
            <w:r w:rsidRPr="00A9156F">
              <w:rPr>
                <w:rFonts w:hint="cs"/>
                <w:b/>
                <w:bCs/>
                <w:position w:val="2"/>
                <w:rtl/>
              </w:rPr>
              <w:t>المرجع:</w:t>
            </w:r>
          </w:p>
        </w:tc>
        <w:tc>
          <w:tcPr>
            <w:tcW w:w="1851" w:type="pct"/>
          </w:tcPr>
          <w:p w14:paraId="6BC70BF7" w14:textId="6E70B97F" w:rsidR="00D75E48" w:rsidRPr="00D517B2" w:rsidRDefault="00D75E48" w:rsidP="00D517B2">
            <w:pPr>
              <w:spacing w:before="80" w:after="60" w:line="300" w:lineRule="exact"/>
              <w:jc w:val="left"/>
              <w:rPr>
                <w:b/>
                <w:position w:val="2"/>
              </w:rPr>
            </w:pPr>
            <w:r w:rsidRPr="00D517B2">
              <w:rPr>
                <w:b/>
                <w:position w:val="2"/>
              </w:rPr>
              <w:t>TSB </w:t>
            </w:r>
            <w:r>
              <w:rPr>
                <w:b/>
                <w:position w:val="2"/>
              </w:rPr>
              <w:t>Circular</w:t>
            </w:r>
            <w:r w:rsidRPr="00D517B2">
              <w:rPr>
                <w:b/>
                <w:position w:val="2"/>
              </w:rPr>
              <w:t xml:space="preserve"> </w:t>
            </w:r>
            <w:r>
              <w:rPr>
                <w:b/>
                <w:position w:val="2"/>
              </w:rPr>
              <w:t>179</w:t>
            </w:r>
            <w:r>
              <w:rPr>
                <w:b/>
                <w:position w:val="2"/>
              </w:rPr>
              <w:br/>
            </w:r>
            <w:r>
              <w:rPr>
                <w:bCs/>
                <w:position w:val="2"/>
              </w:rPr>
              <w:t>TSAG/BJ</w:t>
            </w:r>
          </w:p>
        </w:tc>
        <w:tc>
          <w:tcPr>
            <w:tcW w:w="2353" w:type="pct"/>
            <w:vMerge w:val="restart"/>
          </w:tcPr>
          <w:p w14:paraId="4E22FE10" w14:textId="77777777" w:rsidR="00D75E48" w:rsidRPr="00D75E48" w:rsidRDefault="00D75E48" w:rsidP="00D517B2">
            <w:pPr>
              <w:tabs>
                <w:tab w:val="clear" w:pos="794"/>
                <w:tab w:val="left" w:pos="284"/>
              </w:tabs>
              <w:spacing w:before="80" w:after="60" w:line="300" w:lineRule="exact"/>
              <w:ind w:left="284" w:hanging="284"/>
              <w:jc w:val="left"/>
              <w:rPr>
                <w:b/>
                <w:bCs/>
                <w:position w:val="2"/>
                <w:rtl/>
                <w:lang w:bidi="ar-EG"/>
              </w:rPr>
            </w:pPr>
            <w:r w:rsidRPr="00D75E48">
              <w:rPr>
                <w:rFonts w:hint="cs"/>
                <w:b/>
                <w:bCs/>
                <w:position w:val="2"/>
                <w:rtl/>
              </w:rPr>
              <w:t>إلى:</w:t>
            </w:r>
          </w:p>
          <w:p w14:paraId="2F79850E" w14:textId="77777777" w:rsidR="00D75E48" w:rsidRPr="00D75E48" w:rsidRDefault="00D75E48" w:rsidP="00D517B2">
            <w:pPr>
              <w:tabs>
                <w:tab w:val="clear" w:pos="794"/>
                <w:tab w:val="left" w:pos="284"/>
              </w:tabs>
              <w:spacing w:before="80" w:after="60" w:line="300" w:lineRule="exact"/>
              <w:ind w:left="284" w:hanging="284"/>
              <w:jc w:val="left"/>
              <w:rPr>
                <w:position w:val="2"/>
                <w:rtl/>
              </w:rPr>
            </w:pPr>
            <w:r w:rsidRPr="00D75E48">
              <w:rPr>
                <w:rFonts w:hint="cs"/>
                <w:position w:val="2"/>
                <w:rtl/>
              </w:rPr>
              <w:t>-</w:t>
            </w:r>
            <w:r w:rsidRPr="00D75E48">
              <w:rPr>
                <w:position w:val="2"/>
                <w:rtl/>
              </w:rPr>
              <w:tab/>
            </w:r>
            <w:r w:rsidRPr="00D75E48">
              <w:rPr>
                <w:rFonts w:hint="cs"/>
                <w:position w:val="2"/>
                <w:rtl/>
              </w:rPr>
              <w:t>إدارات الدول الأعضاء في الاتحاد؛</w:t>
            </w:r>
          </w:p>
          <w:p w14:paraId="5FAE1D02" w14:textId="77777777" w:rsidR="00D75E48" w:rsidRPr="00D75E48" w:rsidRDefault="00D75E48" w:rsidP="00DF0E1F">
            <w:pPr>
              <w:tabs>
                <w:tab w:val="left" w:pos="284"/>
                <w:tab w:val="left" w:pos="4111"/>
              </w:tabs>
              <w:spacing w:before="20" w:line="340" w:lineRule="exact"/>
              <w:ind w:left="284" w:hanging="284"/>
              <w:rPr>
                <w:position w:val="2"/>
                <w:rtl/>
              </w:rPr>
            </w:pPr>
            <w:r w:rsidRPr="00D75E48">
              <w:rPr>
                <w:rFonts w:hint="cs"/>
                <w:position w:val="2"/>
                <w:rtl/>
              </w:rPr>
              <w:t>-</w:t>
            </w:r>
            <w:r w:rsidRPr="00D75E48">
              <w:rPr>
                <w:position w:val="2"/>
                <w:rtl/>
              </w:rPr>
              <w:tab/>
            </w:r>
            <w:r w:rsidRPr="00D75E48">
              <w:rPr>
                <w:rFonts w:hint="cs"/>
                <w:position w:val="2"/>
                <w:rtl/>
                <w:lang w:bidi="ar-EG"/>
              </w:rPr>
              <w:t>أعضاء قطاع تقييس الاتصالات بالاتحاد</w:t>
            </w:r>
          </w:p>
          <w:p w14:paraId="359BCBF7" w14:textId="77777777" w:rsidR="00D75E48" w:rsidRPr="005731DD" w:rsidRDefault="00D75E48" w:rsidP="00CE1C08">
            <w:pPr>
              <w:tabs>
                <w:tab w:val="clear" w:pos="794"/>
                <w:tab w:val="left" w:pos="284"/>
              </w:tabs>
              <w:spacing w:before="80" w:after="60" w:line="300" w:lineRule="exact"/>
              <w:ind w:left="284" w:hanging="284"/>
              <w:jc w:val="left"/>
              <w:rPr>
                <w:b/>
                <w:bCs/>
                <w:position w:val="2"/>
                <w:rtl/>
              </w:rPr>
            </w:pPr>
            <w:r w:rsidRPr="005731DD">
              <w:rPr>
                <w:rFonts w:hint="cs"/>
                <w:b/>
                <w:bCs/>
                <w:position w:val="2"/>
                <w:rtl/>
              </w:rPr>
              <w:t>نسخة إلى:</w:t>
            </w:r>
          </w:p>
          <w:p w14:paraId="34EC8E56" w14:textId="77777777" w:rsidR="00D75E48" w:rsidRPr="00AF4932" w:rsidRDefault="00D75E48" w:rsidP="00DF0E1F">
            <w:pPr>
              <w:tabs>
                <w:tab w:val="clear" w:pos="794"/>
                <w:tab w:val="left" w:pos="284"/>
              </w:tabs>
              <w:spacing w:before="80" w:after="60" w:line="300" w:lineRule="exact"/>
              <w:ind w:left="284" w:hanging="284"/>
              <w:rPr>
                <w:position w:val="2"/>
                <w:rtl/>
              </w:rPr>
            </w:pPr>
            <w:r w:rsidRPr="00AF4932">
              <w:rPr>
                <w:position w:val="2"/>
                <w:rtl/>
              </w:rPr>
              <w:t>-</w:t>
            </w:r>
            <w:r w:rsidRPr="00AF4932">
              <w:rPr>
                <w:position w:val="2"/>
                <w:rtl/>
              </w:rPr>
              <w:tab/>
              <w:t>المنتسبين إلى لج</w:t>
            </w:r>
            <w:r>
              <w:rPr>
                <w:rFonts w:hint="cs"/>
                <w:position w:val="2"/>
                <w:rtl/>
              </w:rPr>
              <w:t>ان</w:t>
            </w:r>
            <w:r w:rsidRPr="00AF4932">
              <w:rPr>
                <w:position w:val="2"/>
                <w:rtl/>
              </w:rPr>
              <w:t xml:space="preserve"> الدراسات لقطاع تقييس الاتصالات؛</w:t>
            </w:r>
          </w:p>
          <w:p w14:paraId="721D3748" w14:textId="77777777" w:rsidR="00D75E48" w:rsidRPr="00AF4932" w:rsidRDefault="00D75E48" w:rsidP="00DF0E1F">
            <w:pPr>
              <w:tabs>
                <w:tab w:val="clear" w:pos="794"/>
                <w:tab w:val="left" w:pos="284"/>
              </w:tabs>
              <w:spacing w:before="80" w:after="60" w:line="300" w:lineRule="exact"/>
              <w:ind w:left="284" w:hanging="284"/>
              <w:rPr>
                <w:position w:val="2"/>
                <w:rtl/>
              </w:rPr>
            </w:pPr>
            <w:r w:rsidRPr="00AF4932">
              <w:rPr>
                <w:position w:val="2"/>
                <w:rtl/>
              </w:rPr>
              <w:t>-</w:t>
            </w:r>
            <w:r w:rsidRPr="00AF4932">
              <w:rPr>
                <w:position w:val="2"/>
                <w:rtl/>
              </w:rPr>
              <w:tab/>
              <w:t>الهيئات الأكاديمية المنضمة للاتحاد؛</w:t>
            </w:r>
          </w:p>
          <w:p w14:paraId="65DEAE47" w14:textId="77777777" w:rsidR="00D75E48" w:rsidRDefault="00D75E48" w:rsidP="00DF0E1F">
            <w:pPr>
              <w:tabs>
                <w:tab w:val="clear" w:pos="794"/>
                <w:tab w:val="left" w:pos="284"/>
              </w:tabs>
              <w:spacing w:before="80" w:after="60" w:line="300" w:lineRule="exact"/>
              <w:ind w:left="284" w:hanging="284"/>
              <w:rPr>
                <w:position w:val="2"/>
                <w:rtl/>
              </w:rPr>
            </w:pPr>
            <w:r>
              <w:rPr>
                <w:rFonts w:hint="cs"/>
                <w:position w:val="2"/>
                <w:rtl/>
              </w:rPr>
              <w:t>-</w:t>
            </w:r>
            <w:r>
              <w:rPr>
                <w:position w:val="2"/>
                <w:rtl/>
              </w:rPr>
              <w:tab/>
            </w:r>
            <w:r w:rsidRPr="00386CE9">
              <w:rPr>
                <w:rtl/>
              </w:rPr>
              <w:t xml:space="preserve"> رئيس الفريق الاستشاري لتقييس الاتصالات ونوابه </w:t>
            </w:r>
            <w:r w:rsidRPr="00386CE9">
              <w:t>(TSAG</w:t>
            </w:r>
            <w:r>
              <w:t>)</w:t>
            </w:r>
            <w:r>
              <w:rPr>
                <w:rFonts w:hint="cs"/>
                <w:position w:val="2"/>
                <w:rtl/>
              </w:rPr>
              <w:t xml:space="preserve"> ونوابه؛</w:t>
            </w:r>
          </w:p>
          <w:p w14:paraId="2AD0D401" w14:textId="77777777" w:rsidR="00D75E48" w:rsidRPr="00AF4932" w:rsidRDefault="00D75E48" w:rsidP="00DF0E1F">
            <w:pPr>
              <w:tabs>
                <w:tab w:val="clear" w:pos="794"/>
                <w:tab w:val="left" w:pos="284"/>
              </w:tabs>
              <w:spacing w:before="80" w:after="60" w:line="300" w:lineRule="exact"/>
              <w:ind w:left="284" w:hanging="284"/>
              <w:rPr>
                <w:position w:val="2"/>
              </w:rPr>
            </w:pPr>
            <w:r w:rsidRPr="00AF4932">
              <w:rPr>
                <w:position w:val="2"/>
                <w:rtl/>
              </w:rPr>
              <w:t>-</w:t>
            </w:r>
            <w:r w:rsidRPr="00AF4932">
              <w:rPr>
                <w:position w:val="2"/>
                <w:rtl/>
              </w:rPr>
              <w:tab/>
              <w:t>مدير مكتب تنمية الاتصالات؛</w:t>
            </w:r>
          </w:p>
          <w:p w14:paraId="1639CE3E" w14:textId="2861E7A8" w:rsidR="00D75E48" w:rsidRPr="00D75E48" w:rsidRDefault="00D75E48" w:rsidP="009E6334">
            <w:pPr>
              <w:tabs>
                <w:tab w:val="left" w:pos="284"/>
                <w:tab w:val="left" w:pos="4111"/>
              </w:tabs>
              <w:spacing w:before="0" w:line="340" w:lineRule="exact"/>
              <w:ind w:left="284" w:hanging="284"/>
              <w:rPr>
                <w:position w:val="2"/>
                <w:rtl/>
              </w:rPr>
            </w:pPr>
            <w:r w:rsidRPr="00AF4932">
              <w:rPr>
                <w:position w:val="2"/>
                <w:rtl/>
              </w:rPr>
              <w:t>-</w:t>
            </w:r>
            <w:r w:rsidRPr="00AF4932">
              <w:rPr>
                <w:position w:val="2"/>
                <w:rtl/>
              </w:rPr>
              <w:tab/>
              <w:t>مدير مكتب الاتصالات الراديوية</w:t>
            </w:r>
          </w:p>
        </w:tc>
      </w:tr>
      <w:tr w:rsidR="00D75E48" w:rsidRPr="00D517B2" w14:paraId="3F648C12" w14:textId="77777777" w:rsidTr="008054DA">
        <w:trPr>
          <w:cantSplit/>
          <w:trHeight w:val="340"/>
          <w:jc w:val="center"/>
        </w:trPr>
        <w:tc>
          <w:tcPr>
            <w:tcW w:w="796" w:type="pct"/>
          </w:tcPr>
          <w:p w14:paraId="0A533D5D" w14:textId="77777777" w:rsidR="00D75E48" w:rsidRPr="00A9156F" w:rsidRDefault="00D75E48" w:rsidP="00D517B2">
            <w:pPr>
              <w:spacing w:before="80" w:after="60" w:line="300" w:lineRule="exact"/>
              <w:jc w:val="left"/>
              <w:rPr>
                <w:b/>
                <w:bCs/>
                <w:position w:val="2"/>
              </w:rPr>
            </w:pPr>
            <w:r w:rsidRPr="00A9156F">
              <w:rPr>
                <w:rFonts w:hint="cs"/>
                <w:b/>
                <w:bCs/>
                <w:position w:val="2"/>
                <w:rtl/>
                <w:lang w:bidi="ar-EG"/>
              </w:rPr>
              <w:t>ال</w:t>
            </w:r>
            <w:r w:rsidRPr="00A9156F">
              <w:rPr>
                <w:rFonts w:hint="cs"/>
                <w:b/>
                <w:bCs/>
                <w:position w:val="2"/>
                <w:rtl/>
                <w:lang w:bidi="ar-SY"/>
              </w:rPr>
              <w:t>هاتف</w:t>
            </w:r>
            <w:r w:rsidRPr="00A9156F">
              <w:rPr>
                <w:rFonts w:hint="cs"/>
                <w:b/>
                <w:bCs/>
                <w:position w:val="2"/>
                <w:rtl/>
              </w:rPr>
              <w:t>:</w:t>
            </w:r>
          </w:p>
        </w:tc>
        <w:tc>
          <w:tcPr>
            <w:tcW w:w="1851" w:type="pct"/>
          </w:tcPr>
          <w:p w14:paraId="3665C452" w14:textId="14597ACE" w:rsidR="00D75E48" w:rsidRPr="00D517B2" w:rsidRDefault="00D75E48" w:rsidP="00D517B2">
            <w:pPr>
              <w:spacing w:before="80" w:after="60" w:line="300" w:lineRule="exact"/>
              <w:jc w:val="left"/>
              <w:rPr>
                <w:b/>
                <w:position w:val="2"/>
              </w:rPr>
            </w:pPr>
            <w:r w:rsidRPr="00D517B2">
              <w:rPr>
                <w:position w:val="2"/>
              </w:rPr>
              <w:t>+41 22 730 </w:t>
            </w:r>
            <w:r>
              <w:rPr>
                <w:position w:val="2"/>
              </w:rPr>
              <w:t>6311</w:t>
            </w:r>
          </w:p>
        </w:tc>
        <w:tc>
          <w:tcPr>
            <w:tcW w:w="2353" w:type="pct"/>
            <w:vMerge/>
          </w:tcPr>
          <w:p w14:paraId="792945B8" w14:textId="670FAEB4" w:rsidR="00D75E48" w:rsidRPr="00D517B2" w:rsidRDefault="00D75E48" w:rsidP="009E6334">
            <w:pPr>
              <w:tabs>
                <w:tab w:val="left" w:pos="284"/>
                <w:tab w:val="left" w:pos="4111"/>
              </w:tabs>
              <w:spacing w:before="0" w:line="340" w:lineRule="exact"/>
              <w:ind w:left="284" w:hanging="284"/>
              <w:rPr>
                <w:position w:val="2"/>
                <w:rtl/>
              </w:rPr>
            </w:pPr>
          </w:p>
        </w:tc>
      </w:tr>
      <w:tr w:rsidR="00D75E48" w:rsidRPr="00D517B2" w14:paraId="413E2A9E" w14:textId="77777777" w:rsidTr="008054DA">
        <w:trPr>
          <w:cantSplit/>
          <w:trHeight w:val="737"/>
          <w:jc w:val="center"/>
        </w:trPr>
        <w:tc>
          <w:tcPr>
            <w:tcW w:w="796" w:type="pct"/>
          </w:tcPr>
          <w:p w14:paraId="0F5E5B7E" w14:textId="77777777" w:rsidR="00D75E48" w:rsidRPr="00A9156F" w:rsidRDefault="00D75E48" w:rsidP="00D517B2">
            <w:pPr>
              <w:spacing w:before="80" w:after="60" w:line="300" w:lineRule="exact"/>
              <w:jc w:val="left"/>
              <w:rPr>
                <w:b/>
                <w:bCs/>
                <w:position w:val="2"/>
                <w:rtl/>
                <w:lang w:bidi="ar-EG"/>
              </w:rPr>
            </w:pPr>
            <w:r w:rsidRPr="00A9156F">
              <w:rPr>
                <w:rFonts w:hint="cs"/>
                <w:b/>
                <w:bCs/>
                <w:position w:val="2"/>
                <w:rtl/>
              </w:rPr>
              <w:t>الفاكس:</w:t>
            </w:r>
          </w:p>
        </w:tc>
        <w:tc>
          <w:tcPr>
            <w:tcW w:w="1851" w:type="pct"/>
          </w:tcPr>
          <w:p w14:paraId="31E8B928" w14:textId="77777777" w:rsidR="00D75E48" w:rsidRPr="00D517B2" w:rsidRDefault="00D75E48" w:rsidP="00D517B2">
            <w:pPr>
              <w:spacing w:before="80" w:after="60" w:line="300" w:lineRule="exact"/>
              <w:jc w:val="left"/>
              <w:rPr>
                <w:position w:val="2"/>
                <w:rtl/>
                <w:lang w:bidi="ar-EG"/>
              </w:rPr>
            </w:pPr>
            <w:r w:rsidRPr="00D517B2">
              <w:rPr>
                <w:position w:val="2"/>
              </w:rPr>
              <w:t>+41 22 730 5853</w:t>
            </w:r>
          </w:p>
        </w:tc>
        <w:tc>
          <w:tcPr>
            <w:tcW w:w="2353" w:type="pct"/>
            <w:vMerge/>
          </w:tcPr>
          <w:p w14:paraId="4813F8D7" w14:textId="3E430535" w:rsidR="00D75E48" w:rsidRPr="00D517B2" w:rsidRDefault="00D75E48" w:rsidP="009E6334">
            <w:pPr>
              <w:tabs>
                <w:tab w:val="left" w:pos="284"/>
                <w:tab w:val="left" w:pos="4111"/>
              </w:tabs>
              <w:spacing w:before="0" w:line="340" w:lineRule="exact"/>
              <w:ind w:left="284" w:hanging="284"/>
              <w:rPr>
                <w:position w:val="2"/>
                <w:rtl/>
              </w:rPr>
            </w:pPr>
          </w:p>
        </w:tc>
      </w:tr>
      <w:tr w:rsidR="00D75E48" w:rsidRPr="00D517B2" w14:paraId="418860B7" w14:textId="77777777" w:rsidTr="008054DA">
        <w:trPr>
          <w:cantSplit/>
          <w:jc w:val="center"/>
        </w:trPr>
        <w:tc>
          <w:tcPr>
            <w:tcW w:w="796" w:type="pct"/>
          </w:tcPr>
          <w:p w14:paraId="08F5D96D" w14:textId="77777777" w:rsidR="00D75E48" w:rsidRPr="00A9156F" w:rsidRDefault="00D75E48" w:rsidP="00CE1C08">
            <w:pPr>
              <w:spacing w:before="80" w:after="60" w:line="300" w:lineRule="exact"/>
              <w:jc w:val="left"/>
              <w:rPr>
                <w:b/>
                <w:bCs/>
                <w:position w:val="2"/>
                <w:rtl/>
              </w:rPr>
            </w:pPr>
            <w:r w:rsidRPr="00A9156F">
              <w:rPr>
                <w:rFonts w:hint="cs"/>
                <w:b/>
                <w:bCs/>
                <w:position w:val="2"/>
                <w:rtl/>
              </w:rPr>
              <w:t>البريد الإلكتروني:</w:t>
            </w:r>
          </w:p>
        </w:tc>
        <w:tc>
          <w:tcPr>
            <w:tcW w:w="1851" w:type="pct"/>
          </w:tcPr>
          <w:p w14:paraId="5AA2DEE5" w14:textId="70A2A8FB" w:rsidR="00D75E48" w:rsidRPr="006E1BAD" w:rsidRDefault="00EA23C5" w:rsidP="00CE1C08">
            <w:pPr>
              <w:spacing w:before="80" w:after="60" w:line="300" w:lineRule="exact"/>
              <w:jc w:val="left"/>
              <w:rPr>
                <w:position w:val="2"/>
                <w:highlight w:val="magenta"/>
                <w:rtl/>
                <w:lang w:bidi="ar-EG"/>
              </w:rPr>
            </w:pPr>
            <w:hyperlink r:id="rId9" w:history="1">
              <w:r w:rsidR="00D75E48" w:rsidRPr="00984A5A">
                <w:rPr>
                  <w:rStyle w:val="Hyperlink"/>
                  <w:rFonts w:hint="eastAsia"/>
                  <w:bCs/>
                  <w:szCs w:val="18"/>
                  <w:lang w:eastAsia="ja-JP"/>
                </w:rPr>
                <w:t>tsbtsag@itu.int</w:t>
              </w:r>
            </w:hyperlink>
          </w:p>
        </w:tc>
        <w:tc>
          <w:tcPr>
            <w:tcW w:w="2353" w:type="pct"/>
            <w:vMerge/>
          </w:tcPr>
          <w:p w14:paraId="036E8246" w14:textId="0D03D154" w:rsidR="00D75E48" w:rsidRPr="00D517B2" w:rsidRDefault="00D75E48" w:rsidP="00DF0E1F">
            <w:pPr>
              <w:tabs>
                <w:tab w:val="left" w:pos="284"/>
                <w:tab w:val="left" w:pos="4111"/>
              </w:tabs>
              <w:spacing w:before="0" w:line="340" w:lineRule="exact"/>
              <w:ind w:left="284" w:hanging="284"/>
              <w:rPr>
                <w:position w:val="2"/>
                <w:rtl/>
              </w:rPr>
            </w:pPr>
          </w:p>
        </w:tc>
      </w:tr>
      <w:tr w:rsidR="00CE1C08" w:rsidRPr="00D517B2" w14:paraId="0F4483ED" w14:textId="77777777" w:rsidTr="008054DA">
        <w:trPr>
          <w:cantSplit/>
          <w:jc w:val="center"/>
        </w:trPr>
        <w:tc>
          <w:tcPr>
            <w:tcW w:w="796" w:type="pct"/>
          </w:tcPr>
          <w:p w14:paraId="27F3298B" w14:textId="77777777" w:rsidR="00CE1C08" w:rsidRPr="00A9156F" w:rsidRDefault="00CE1C08" w:rsidP="00D75E48">
            <w:pPr>
              <w:spacing w:before="0" w:line="240" w:lineRule="exact"/>
              <w:jc w:val="left"/>
              <w:rPr>
                <w:b/>
                <w:bCs/>
                <w:position w:val="2"/>
                <w:rtl/>
                <w:lang w:bidi="ar-EG"/>
              </w:rPr>
            </w:pPr>
          </w:p>
        </w:tc>
        <w:tc>
          <w:tcPr>
            <w:tcW w:w="1851" w:type="pct"/>
          </w:tcPr>
          <w:p w14:paraId="368D83E7" w14:textId="77777777" w:rsidR="00CE1C08" w:rsidRPr="00D517B2" w:rsidRDefault="00CE1C08" w:rsidP="00D75E48">
            <w:pPr>
              <w:spacing w:before="0" w:line="240" w:lineRule="exact"/>
              <w:jc w:val="left"/>
              <w:rPr>
                <w:position w:val="2"/>
              </w:rPr>
            </w:pPr>
          </w:p>
        </w:tc>
        <w:tc>
          <w:tcPr>
            <w:tcW w:w="2353" w:type="pct"/>
          </w:tcPr>
          <w:p w14:paraId="6E09F68D" w14:textId="77777777" w:rsidR="00CE1C08" w:rsidRPr="00D517B2" w:rsidRDefault="00CE1C08" w:rsidP="00D75E48">
            <w:pPr>
              <w:spacing w:before="0" w:line="240" w:lineRule="exact"/>
              <w:jc w:val="left"/>
              <w:rPr>
                <w:position w:val="2"/>
                <w:rtl/>
              </w:rPr>
            </w:pPr>
          </w:p>
        </w:tc>
      </w:tr>
      <w:tr w:rsidR="00CE1C08" w:rsidRPr="00D517B2" w14:paraId="7D1116C8" w14:textId="77777777" w:rsidTr="00D517B2">
        <w:trPr>
          <w:cantSplit/>
          <w:jc w:val="center"/>
        </w:trPr>
        <w:tc>
          <w:tcPr>
            <w:tcW w:w="796" w:type="pct"/>
          </w:tcPr>
          <w:p w14:paraId="5285C296" w14:textId="77777777" w:rsidR="00CE1C08" w:rsidRPr="00A9156F" w:rsidRDefault="00CE1C08" w:rsidP="00CE1C08">
            <w:pPr>
              <w:spacing w:before="80" w:after="60" w:line="300" w:lineRule="exact"/>
              <w:jc w:val="left"/>
              <w:rPr>
                <w:b/>
                <w:bCs/>
                <w:position w:val="2"/>
                <w:rtl/>
                <w:lang w:bidi="ar-SY"/>
              </w:rPr>
            </w:pPr>
            <w:r w:rsidRPr="00A9156F">
              <w:rPr>
                <w:rFonts w:hint="cs"/>
                <w:b/>
                <w:bCs/>
                <w:position w:val="2"/>
                <w:rtl/>
              </w:rPr>
              <w:t>الموضوع:</w:t>
            </w:r>
          </w:p>
        </w:tc>
        <w:tc>
          <w:tcPr>
            <w:tcW w:w="4204" w:type="pct"/>
            <w:gridSpan w:val="2"/>
          </w:tcPr>
          <w:p w14:paraId="7086C3C4" w14:textId="658A29C9" w:rsidR="00CE1C08" w:rsidRPr="00D517B2" w:rsidRDefault="00DF0E1F" w:rsidP="00D75E48">
            <w:pPr>
              <w:spacing w:before="80" w:after="60" w:line="300" w:lineRule="exact"/>
              <w:rPr>
                <w:position w:val="2"/>
                <w:rtl/>
              </w:rPr>
            </w:pPr>
            <w:bookmarkStart w:id="0" w:name="lt_pId046"/>
            <w:r w:rsidRPr="006A228C">
              <w:rPr>
                <w:b/>
                <w:bCs/>
                <w:position w:val="2"/>
                <w:rtl/>
              </w:rPr>
              <w:t xml:space="preserve">اقتراح بإلغاء التوصيتين </w:t>
            </w:r>
            <w:r>
              <w:rPr>
                <w:rFonts w:hint="cs"/>
                <w:b/>
                <w:bCs/>
                <w:position w:val="2"/>
                <w:rtl/>
              </w:rPr>
              <w:t>(</w:t>
            </w:r>
            <w:r w:rsidRPr="006A228C">
              <w:rPr>
                <w:b/>
                <w:bCs/>
                <w:position w:val="2"/>
                <w:rtl/>
              </w:rPr>
              <w:t xml:space="preserve">ITU-T </w:t>
            </w:r>
            <w:proofErr w:type="spellStart"/>
            <w:r w:rsidRPr="006A228C">
              <w:rPr>
                <w:b/>
                <w:bCs/>
                <w:position w:val="2"/>
                <w:rtl/>
              </w:rPr>
              <w:t>A.4</w:t>
            </w:r>
            <w:proofErr w:type="spellEnd"/>
            <w:r w:rsidRPr="006A228C">
              <w:rPr>
                <w:b/>
                <w:bCs/>
                <w:position w:val="2"/>
                <w:rtl/>
              </w:rPr>
              <w:t xml:space="preserve"> (2012</w:t>
            </w:r>
            <w:r>
              <w:rPr>
                <w:rFonts w:hint="cs"/>
                <w:b/>
                <w:bCs/>
                <w:position w:val="2"/>
                <w:rtl/>
              </w:rPr>
              <w:t xml:space="preserve"> </w:t>
            </w:r>
            <w:proofErr w:type="spellStart"/>
            <w:r w:rsidRPr="006A228C">
              <w:rPr>
                <w:b/>
                <w:bCs/>
                <w:position w:val="2"/>
                <w:rtl/>
              </w:rPr>
              <w:t>وITU</w:t>
            </w:r>
            <w:proofErr w:type="spellEnd"/>
            <w:r w:rsidRPr="006A228C">
              <w:rPr>
                <w:b/>
                <w:bCs/>
                <w:position w:val="2"/>
                <w:rtl/>
              </w:rPr>
              <w:t xml:space="preserve">-T </w:t>
            </w:r>
            <w:proofErr w:type="spellStart"/>
            <w:r w:rsidRPr="006A228C">
              <w:rPr>
                <w:b/>
                <w:bCs/>
                <w:position w:val="2"/>
                <w:rtl/>
              </w:rPr>
              <w:t>A.6</w:t>
            </w:r>
            <w:proofErr w:type="spellEnd"/>
            <w:r w:rsidRPr="006A228C">
              <w:rPr>
                <w:b/>
                <w:bCs/>
                <w:position w:val="2"/>
                <w:rtl/>
              </w:rPr>
              <w:t xml:space="preserve"> (2012) وافق عليه الفريق الاستشاري لقطاع تقييس الاتصالات في اجتماعه </w:t>
            </w:r>
            <w:r>
              <w:rPr>
                <w:rFonts w:hint="cs"/>
                <w:b/>
                <w:bCs/>
                <w:position w:val="2"/>
                <w:rtl/>
              </w:rPr>
              <w:t>المن</w:t>
            </w:r>
            <w:r w:rsidRPr="006A228C">
              <w:rPr>
                <w:b/>
                <w:bCs/>
                <w:position w:val="2"/>
                <w:rtl/>
              </w:rPr>
              <w:t xml:space="preserve">عقد في 26 </w:t>
            </w:r>
            <w:bookmarkEnd w:id="0"/>
            <w:r>
              <w:rPr>
                <w:rFonts w:hint="cs"/>
                <w:b/>
                <w:bCs/>
                <w:position w:val="2"/>
                <w:rtl/>
              </w:rPr>
              <w:t xml:space="preserve">يناير </w:t>
            </w:r>
            <w:r w:rsidRPr="006A228C">
              <w:rPr>
                <w:b/>
                <w:bCs/>
                <w:position w:val="2"/>
                <w:rtl/>
              </w:rPr>
              <w:t>2024</w:t>
            </w:r>
          </w:p>
        </w:tc>
      </w:tr>
    </w:tbl>
    <w:p w14:paraId="13A3FC1B" w14:textId="77777777" w:rsidR="00D517B2" w:rsidRPr="00D517B2" w:rsidRDefault="00D517B2" w:rsidP="006635B2">
      <w:pPr>
        <w:spacing w:before="600"/>
        <w:rPr>
          <w:lang w:bidi="ar-SY"/>
        </w:rPr>
      </w:pPr>
      <w:r w:rsidRPr="00D517B2">
        <w:rPr>
          <w:rFonts w:hint="cs"/>
          <w:rtl/>
          <w:lang w:bidi="ar-SY"/>
        </w:rPr>
        <w:t>حضرات السادة والسيدات،</w:t>
      </w:r>
    </w:p>
    <w:p w14:paraId="150B5E9E" w14:textId="77777777" w:rsidR="00D517B2" w:rsidRPr="00D517B2" w:rsidRDefault="00D517B2" w:rsidP="00D517B2">
      <w:pPr>
        <w:rPr>
          <w:rtl/>
          <w:lang w:bidi="ar-EG"/>
        </w:rPr>
      </w:pPr>
      <w:r w:rsidRPr="00D517B2">
        <w:rPr>
          <w:rFonts w:hint="cs"/>
          <w:rtl/>
        </w:rPr>
        <w:t>تحية طيبة وبعد،</w:t>
      </w:r>
    </w:p>
    <w:p w14:paraId="2814A642" w14:textId="7A743489" w:rsidR="00DF0E1F" w:rsidRPr="00AF4932" w:rsidRDefault="00DF0E1F" w:rsidP="00DF0E1F">
      <w:pPr>
        <w:rPr>
          <w:rtl/>
        </w:rPr>
      </w:pPr>
      <w:r w:rsidRPr="00DD4A5C">
        <w:rPr>
          <w:rtl/>
        </w:rPr>
        <w:t>1</w:t>
      </w:r>
      <w:r w:rsidRPr="00DD4A5C">
        <w:rPr>
          <w:rtl/>
        </w:rPr>
        <w:tab/>
        <w:t>بناء</w:t>
      </w:r>
      <w:r w:rsidR="007666C4">
        <w:rPr>
          <w:rFonts w:hint="cs"/>
          <w:rtl/>
        </w:rPr>
        <w:t>ً</w:t>
      </w:r>
      <w:r w:rsidRPr="00DD4A5C">
        <w:rPr>
          <w:rtl/>
        </w:rPr>
        <w:t xml:space="preserve"> على طلب </w:t>
      </w:r>
      <w:r w:rsidRPr="00DD4A5C">
        <w:rPr>
          <w:rFonts w:hint="cs"/>
          <w:rtl/>
        </w:rPr>
        <w:t>(</w:t>
      </w:r>
      <w:r w:rsidRPr="00DD4A5C">
        <w:rPr>
          <w:rtl/>
        </w:rPr>
        <w:t xml:space="preserve">رئيس </w:t>
      </w:r>
      <w:r w:rsidRPr="00DD4A5C">
        <w:rPr>
          <w:i/>
          <w:iCs/>
          <w:rtl/>
        </w:rPr>
        <w:t xml:space="preserve">الفريق الاستشاري لتقييس الاتصالات </w:t>
      </w:r>
      <w:r w:rsidRPr="008054DA">
        <w:t>(</w:t>
      </w:r>
      <w:r w:rsidRPr="00DD4A5C">
        <w:rPr>
          <w:i/>
          <w:iCs/>
        </w:rPr>
        <w:t>(TSAG)</w:t>
      </w:r>
      <w:r w:rsidRPr="00DD4A5C">
        <w:rPr>
          <w:rtl/>
        </w:rPr>
        <w:t>، أتشرف بأن أعلمكم أن الفريق الاستشاري لتقييس الاتصالات اتفق في اجتماعه</w:t>
      </w:r>
      <w:r w:rsidRPr="00DD4A5C">
        <w:rPr>
          <w:rFonts w:hint="cs"/>
          <w:rtl/>
        </w:rPr>
        <w:t xml:space="preserve"> المنعقد</w:t>
      </w:r>
      <w:r w:rsidRPr="00DD4A5C">
        <w:rPr>
          <w:rtl/>
        </w:rPr>
        <w:t xml:space="preserve"> في</w:t>
      </w:r>
      <w:r w:rsidRPr="00DD4A5C">
        <w:rPr>
          <w:rFonts w:hint="cs"/>
          <w:rtl/>
        </w:rPr>
        <w:t xml:space="preserve"> الفترة </w:t>
      </w:r>
      <w:r w:rsidRPr="00DD4A5C">
        <w:rPr>
          <w:rtl/>
        </w:rPr>
        <w:t>22-26 يناير 2024، على إلغاء</w:t>
      </w:r>
      <w:r w:rsidRPr="00DD4A5C">
        <w:rPr>
          <w:rFonts w:hint="cs"/>
          <w:rtl/>
        </w:rPr>
        <w:t xml:space="preserve"> </w:t>
      </w:r>
      <w:r w:rsidRPr="00DD4A5C">
        <w:rPr>
          <w:rtl/>
        </w:rPr>
        <w:t>التوصيتين ITU-T A.4 (2012) و</w:t>
      </w:r>
      <w:r w:rsidR="008054DA">
        <w:rPr>
          <w:szCs w:val="18"/>
        </w:rPr>
        <w:t>ITU</w:t>
      </w:r>
      <w:r w:rsidR="008054DA">
        <w:rPr>
          <w:szCs w:val="18"/>
        </w:rPr>
        <w:noBreakHyphen/>
        <w:t>T </w:t>
      </w:r>
      <w:r w:rsidR="008054DA" w:rsidRPr="00984A5A">
        <w:rPr>
          <w:szCs w:val="18"/>
        </w:rPr>
        <w:t>A.6 (2012)</w:t>
      </w:r>
      <w:r w:rsidRPr="00DD4A5C">
        <w:rPr>
          <w:rtl/>
        </w:rPr>
        <w:t>، وفقاً لأحكام الفقرة 2.8.9</w:t>
      </w:r>
      <w:r w:rsidRPr="00DD4A5C">
        <w:rPr>
          <w:rFonts w:hint="cs"/>
          <w:rtl/>
        </w:rPr>
        <w:t xml:space="preserve"> في</w:t>
      </w:r>
      <w:r w:rsidRPr="00DD4A5C">
        <w:rPr>
          <w:rtl/>
        </w:rPr>
        <w:t xml:space="preserve"> القسم 9 من القرار 1</w:t>
      </w:r>
      <w:r w:rsidRPr="00DD4A5C">
        <w:rPr>
          <w:rFonts w:hint="cs"/>
          <w:rtl/>
        </w:rPr>
        <w:t xml:space="preserve"> الصادر عن</w:t>
      </w:r>
      <w:r w:rsidRPr="00DD4A5C">
        <w:rPr>
          <w:rtl/>
        </w:rPr>
        <w:t xml:space="preserve"> </w:t>
      </w:r>
      <w:r w:rsidRPr="00DD4A5C">
        <w:rPr>
          <w:rFonts w:hint="cs"/>
          <w:rtl/>
        </w:rPr>
        <w:t>ا</w:t>
      </w:r>
      <w:r w:rsidRPr="00DD4A5C">
        <w:rPr>
          <w:rtl/>
        </w:rPr>
        <w:t>لجمعية العالمية لتقييس الاتصالات (المرا</w:t>
      </w:r>
      <w:r w:rsidR="008054DA">
        <w:rPr>
          <w:rFonts w:hint="cs"/>
          <w:rtl/>
        </w:rPr>
        <w:t>جَ</w:t>
      </w:r>
      <w:r w:rsidRPr="00DD4A5C">
        <w:rPr>
          <w:rtl/>
        </w:rPr>
        <w:t xml:space="preserve">ع في جنيف، 2022)، </w:t>
      </w:r>
      <w:r w:rsidRPr="00DD4A5C">
        <w:rPr>
          <w:rFonts w:hint="cs"/>
          <w:rtl/>
        </w:rPr>
        <w:t>بطريقة منسقة ومع الموافقة (بموجب</w:t>
      </w:r>
      <w:r w:rsidRPr="00DD4A5C">
        <w:rPr>
          <w:rtl/>
        </w:rPr>
        <w:t xml:space="preserve"> </w:t>
      </w:r>
      <w:r w:rsidRPr="00DD4A5C">
        <w:rPr>
          <w:rFonts w:hint="cs"/>
          <w:rtl/>
        </w:rPr>
        <w:t xml:space="preserve">مقرر </w:t>
      </w:r>
      <w:r w:rsidRPr="00DD4A5C">
        <w:rPr>
          <w:rtl/>
        </w:rPr>
        <w:t>عملية الموافقة التقليدية</w:t>
      </w:r>
      <w:r w:rsidRPr="00DD4A5C">
        <w:rPr>
          <w:rFonts w:hint="cs"/>
          <w:rtl/>
        </w:rPr>
        <w:t xml:space="preserve"> </w:t>
      </w:r>
      <w:r w:rsidRPr="00DD4A5C">
        <w:t>(TAP)</w:t>
      </w:r>
      <w:r w:rsidRPr="00DD4A5C">
        <w:rPr>
          <w:rFonts w:hint="cs"/>
          <w:rtl/>
        </w:rPr>
        <w:t>)</w:t>
      </w:r>
      <w:r w:rsidRPr="00DD4A5C">
        <w:rPr>
          <w:rtl/>
        </w:rPr>
        <w:t xml:space="preserve"> على مشروع التوصية الجديدة ITU-T A.24 (</w:t>
      </w:r>
      <w:r w:rsidRPr="00DD4A5C">
        <w:rPr>
          <w:i/>
          <w:iCs/>
          <w:rtl/>
        </w:rPr>
        <w:t>التعاون وتبادل المعلومات مع منظمات أخرى</w:t>
      </w:r>
      <w:r w:rsidRPr="00DD4A5C">
        <w:rPr>
          <w:rtl/>
        </w:rPr>
        <w:t>). وقد شارك</w:t>
      </w:r>
      <w:r w:rsidRPr="00DD4A5C">
        <w:rPr>
          <w:rFonts w:hint="cs"/>
          <w:rtl/>
        </w:rPr>
        <w:t>ت</w:t>
      </w:r>
      <w:r w:rsidRPr="00DD4A5C">
        <w:rPr>
          <w:rtl/>
        </w:rPr>
        <w:t xml:space="preserve"> في الاجتماع 42 دولة عضواً و24 عضواً في القطاع ولم يلق هذا الاتفاق أي اعتراض.</w:t>
      </w:r>
    </w:p>
    <w:p w14:paraId="3B3AEAD9" w14:textId="77777777" w:rsidR="00DF0E1F" w:rsidRPr="00386CE9" w:rsidRDefault="00DF0E1F" w:rsidP="00DF0E1F">
      <w:pPr>
        <w:rPr>
          <w:lang w:val="ar-SA" w:eastAsia="zh-TW" w:bidi="en-GB"/>
        </w:rPr>
      </w:pPr>
      <w:r w:rsidRPr="00AF4932">
        <w:rPr>
          <w:rtl/>
        </w:rPr>
        <w:t>2</w:t>
      </w:r>
      <w:r w:rsidRPr="00AF4932">
        <w:rPr>
          <w:rtl/>
        </w:rPr>
        <w:tab/>
      </w:r>
      <w:r w:rsidRPr="00386CE9">
        <w:rPr>
          <w:rtl/>
        </w:rPr>
        <w:t xml:space="preserve">وترد في </w:t>
      </w:r>
      <w:r w:rsidRPr="00386CE9">
        <w:rPr>
          <w:b/>
          <w:bCs/>
          <w:rtl/>
        </w:rPr>
        <w:t xml:space="preserve">الملحق 1 </w:t>
      </w:r>
      <w:r w:rsidRPr="00386CE9">
        <w:rPr>
          <w:rtl/>
        </w:rPr>
        <w:t>معلومات عن هذا الاتفاق بما في ذلك ملخص لتفسير أسباب الإلغاء.</w:t>
      </w:r>
      <w:bookmarkStart w:id="1" w:name="lt_pId052"/>
      <w:bookmarkEnd w:id="1"/>
    </w:p>
    <w:p w14:paraId="5E505B80" w14:textId="0BCD646E" w:rsidR="00DF0E1F" w:rsidRPr="00386CE9" w:rsidRDefault="00DF0E1F" w:rsidP="00DF0E1F">
      <w:pPr>
        <w:rPr>
          <w:lang w:val="ar-SA" w:eastAsia="zh-TW" w:bidi="en-GB"/>
        </w:rPr>
      </w:pPr>
      <w:r w:rsidRPr="00386CE9">
        <w:rPr>
          <w:rtl/>
        </w:rPr>
        <w:t>3</w:t>
      </w:r>
      <w:r w:rsidRPr="00386CE9">
        <w:rPr>
          <w:rtl/>
        </w:rPr>
        <w:tab/>
        <w:t xml:space="preserve">وتبعاً لأحكام القسم 9 من القرار 1، </w:t>
      </w:r>
      <w:r>
        <w:rPr>
          <w:rFonts w:hint="cs"/>
          <w:rtl/>
        </w:rPr>
        <w:t>سأغدو</w:t>
      </w:r>
      <w:r w:rsidRPr="00386CE9">
        <w:rPr>
          <w:rtl/>
        </w:rPr>
        <w:t xml:space="preserve"> ممتناً لو تفضلتم بإعلامي في موعد أقصاه الساعة </w:t>
      </w:r>
      <w:r w:rsidR="008054DA">
        <w:t>24:00</w:t>
      </w:r>
      <w:r w:rsidRPr="00386CE9">
        <w:rPr>
          <w:rtl/>
        </w:rPr>
        <w:t xml:space="preserve"> بالتوقيت العالمي المنسّق </w:t>
      </w:r>
      <w:r>
        <w:rPr>
          <w:rFonts w:hint="cs"/>
          <w:rtl/>
        </w:rPr>
        <w:t xml:space="preserve">يوم </w:t>
      </w:r>
      <w:r w:rsidRPr="00DD4A5C">
        <w:rPr>
          <w:rFonts w:hint="cs"/>
          <w:b/>
          <w:bCs/>
          <w:rtl/>
        </w:rPr>
        <w:t>الخميس</w:t>
      </w:r>
      <w:r>
        <w:rPr>
          <w:rFonts w:hint="cs"/>
          <w:b/>
          <w:bCs/>
          <w:rtl/>
        </w:rPr>
        <w:t xml:space="preserve"> الموافق</w:t>
      </w:r>
      <w:r w:rsidRPr="00DD4A5C">
        <w:rPr>
          <w:b/>
          <w:bCs/>
          <w:rtl/>
        </w:rPr>
        <w:t xml:space="preserve"> </w:t>
      </w:r>
      <w:r w:rsidRPr="00386CE9">
        <w:rPr>
          <w:b/>
          <w:bCs/>
          <w:rtl/>
        </w:rPr>
        <w:t>1 أغسطس 2024</w:t>
      </w:r>
      <w:r w:rsidRPr="00386CE9">
        <w:rPr>
          <w:rtl/>
        </w:rPr>
        <w:t xml:space="preserve"> بما إذا كانت إدارتكم/منظمتكم تؤيد أم ترفض هذا الإلغاء.</w:t>
      </w:r>
      <w:bookmarkStart w:id="2" w:name="lt_pId054"/>
      <w:bookmarkEnd w:id="2"/>
    </w:p>
    <w:p w14:paraId="4BD32114" w14:textId="77777777" w:rsidR="00DF0E1F" w:rsidRPr="00386CE9" w:rsidRDefault="00DF0E1F" w:rsidP="00DF0E1F">
      <w:pPr>
        <w:rPr>
          <w:lang w:val="ar-SA" w:eastAsia="zh-TW" w:bidi="en-GB"/>
        </w:rPr>
      </w:pPr>
      <w:r w:rsidRPr="00386CE9">
        <w:rPr>
          <w:rtl/>
        </w:rPr>
        <w:tab/>
        <w:t>وإذا رأى أي من الدول الأعضاء أو أعضاء القطاع ما يمنع الموافقة على الإلغاء، يرجى منه</w:t>
      </w:r>
      <w:r>
        <w:rPr>
          <w:rFonts w:hint="cs"/>
          <w:rtl/>
        </w:rPr>
        <w:t>م</w:t>
      </w:r>
      <w:r w:rsidRPr="00386CE9">
        <w:rPr>
          <w:rtl/>
        </w:rPr>
        <w:t xml:space="preserve"> </w:t>
      </w:r>
      <w:r>
        <w:rPr>
          <w:rFonts w:hint="cs"/>
          <w:rtl/>
        </w:rPr>
        <w:t>بيان</w:t>
      </w:r>
      <w:r w:rsidRPr="00386CE9">
        <w:rPr>
          <w:rtl/>
        </w:rPr>
        <w:t xml:space="preserve"> أسباب ذلك الاعتراض وعندئذ تُعاد المسألة إلى لجنة الدراسات.</w:t>
      </w:r>
      <w:bookmarkStart w:id="3" w:name="lt_pId055"/>
      <w:bookmarkEnd w:id="3"/>
    </w:p>
    <w:p w14:paraId="7DA8E576" w14:textId="77777777" w:rsidR="00DF0E1F" w:rsidRPr="00AF4932" w:rsidRDefault="00DF0E1F" w:rsidP="008054DA">
      <w:pPr>
        <w:keepNext/>
        <w:keepLines/>
        <w:rPr>
          <w:rtl/>
        </w:rPr>
      </w:pPr>
      <w:r w:rsidRPr="00386CE9">
        <w:rPr>
          <w:rtl/>
        </w:rPr>
        <w:lastRenderedPageBreak/>
        <w:t>4</w:t>
      </w:r>
      <w:r w:rsidRPr="00386CE9">
        <w:rPr>
          <w:rtl/>
        </w:rPr>
        <w:tab/>
      </w:r>
      <w:r>
        <w:rPr>
          <w:rFonts w:hint="cs"/>
          <w:rtl/>
        </w:rPr>
        <w:t>وبعد انقضاء</w:t>
      </w:r>
      <w:r w:rsidRPr="00386CE9">
        <w:rPr>
          <w:rtl/>
        </w:rPr>
        <w:t xml:space="preserve"> الموعد النهائي المذكور في الفقرة 3، </w:t>
      </w:r>
      <w:r>
        <w:rPr>
          <w:rFonts w:hint="cs"/>
          <w:rtl/>
        </w:rPr>
        <w:t>س</w:t>
      </w:r>
      <w:r w:rsidRPr="00386CE9">
        <w:rPr>
          <w:rtl/>
        </w:rPr>
        <w:t xml:space="preserve">يُعلِن مدير مكتب تقييس الاتصالات، في رسالة معممة، نتيجة المشاورة. </w:t>
      </w:r>
      <w:r>
        <w:rPr>
          <w:rFonts w:hint="cs"/>
          <w:rtl/>
        </w:rPr>
        <w:t>وس</w:t>
      </w:r>
      <w:r w:rsidRPr="00386CE9">
        <w:rPr>
          <w:rtl/>
        </w:rPr>
        <w:t>تُنشَر هذه المعلومات أيضاً في النشرة التشغيلية للاتحاد</w:t>
      </w:r>
      <w:r w:rsidRPr="000623A5">
        <w:rPr>
          <w:spacing w:val="-2"/>
          <w:rtl/>
        </w:rPr>
        <w:t>.</w:t>
      </w:r>
    </w:p>
    <w:p w14:paraId="6DB545FB" w14:textId="77777777" w:rsidR="00E84438" w:rsidRPr="00D517B2" w:rsidRDefault="00E84438" w:rsidP="007666C4">
      <w:pPr>
        <w:keepNext/>
        <w:keepLines/>
        <w:spacing w:before="240"/>
        <w:jc w:val="left"/>
        <w:rPr>
          <w:rtl/>
          <w:lang w:bidi="ar-EG"/>
        </w:rPr>
      </w:pPr>
      <w:r w:rsidRPr="00D517B2">
        <w:rPr>
          <w:rFonts w:hint="cs"/>
          <w:rtl/>
          <w:lang w:bidi="ar-EG"/>
        </w:rPr>
        <w:t>وتفضلوا بقبول فائق التقدير والاحترام.</w:t>
      </w:r>
    </w:p>
    <w:p w14:paraId="5E4A906A" w14:textId="77777777" w:rsidR="00E84438" w:rsidRPr="00D517B2" w:rsidRDefault="00E84438" w:rsidP="007666C4">
      <w:pPr>
        <w:keepNext/>
        <w:keepLines/>
        <w:spacing w:before="720" w:after="720"/>
        <w:jc w:val="left"/>
        <w:rPr>
          <w:i/>
          <w:iCs/>
          <w:rtl/>
          <w:lang w:bidi="ar-SY"/>
        </w:rPr>
      </w:pPr>
      <w:r w:rsidRPr="00D517B2">
        <w:rPr>
          <w:rFonts w:hint="cs"/>
          <w:i/>
          <w:iCs/>
          <w:rtl/>
          <w:lang w:bidi="ar-SY"/>
        </w:rPr>
        <w:t>(توقيع)</w:t>
      </w:r>
    </w:p>
    <w:p w14:paraId="6D931171" w14:textId="77777777" w:rsidR="00E84438" w:rsidRDefault="00807031" w:rsidP="00E84438">
      <w:pPr>
        <w:jc w:val="left"/>
        <w:rPr>
          <w:lang w:bidi="ar-SY"/>
        </w:rPr>
      </w:pPr>
      <w:proofErr w:type="spellStart"/>
      <w:r>
        <w:rPr>
          <w:rFonts w:hint="cs"/>
          <w:rtl/>
          <w:lang w:bidi="ar-SY"/>
        </w:rPr>
        <w:t>سيزو</w:t>
      </w:r>
      <w:proofErr w:type="spellEnd"/>
      <w:r>
        <w:rPr>
          <w:rFonts w:hint="cs"/>
          <w:rtl/>
          <w:lang w:bidi="ar-SY"/>
        </w:rPr>
        <w:t xml:space="preserve"> </w:t>
      </w:r>
      <w:proofErr w:type="spellStart"/>
      <w:r>
        <w:rPr>
          <w:rFonts w:hint="cs"/>
          <w:rtl/>
          <w:lang w:bidi="ar-SY"/>
        </w:rPr>
        <w:t>أونوي</w:t>
      </w:r>
      <w:proofErr w:type="spellEnd"/>
      <w:r w:rsidR="00E84438" w:rsidRPr="00D517B2">
        <w:rPr>
          <w:rtl/>
          <w:lang w:bidi="ar-SY"/>
        </w:rPr>
        <w:br/>
      </w:r>
      <w:r w:rsidR="00E84438" w:rsidRPr="00D517B2">
        <w:rPr>
          <w:rFonts w:hint="cs"/>
          <w:rtl/>
          <w:lang w:bidi="ar-SY"/>
        </w:rPr>
        <w:t>مدير</w:t>
      </w:r>
      <w:r w:rsidR="00E84438" w:rsidRPr="00D517B2">
        <w:rPr>
          <w:rtl/>
          <w:lang w:bidi="ar-SY"/>
        </w:rPr>
        <w:t xml:space="preserve"> </w:t>
      </w:r>
      <w:r w:rsidR="00E84438" w:rsidRPr="00D517B2">
        <w:rPr>
          <w:rFonts w:hint="cs"/>
          <w:rtl/>
          <w:lang w:bidi="ar-SY"/>
        </w:rPr>
        <w:t>مكتب</w:t>
      </w:r>
      <w:r w:rsidR="00E84438" w:rsidRPr="00D517B2">
        <w:rPr>
          <w:rtl/>
          <w:lang w:bidi="ar-SY"/>
        </w:rPr>
        <w:t xml:space="preserve"> </w:t>
      </w:r>
      <w:r w:rsidR="00E84438" w:rsidRPr="00D517B2">
        <w:rPr>
          <w:rFonts w:hint="cs"/>
          <w:rtl/>
          <w:lang w:bidi="ar-SY"/>
        </w:rPr>
        <w:t>تقييس</w:t>
      </w:r>
      <w:r w:rsidR="00E84438" w:rsidRPr="00D517B2">
        <w:rPr>
          <w:rtl/>
          <w:lang w:bidi="ar-SY"/>
        </w:rPr>
        <w:t xml:space="preserve"> </w:t>
      </w:r>
      <w:r w:rsidR="00E84438" w:rsidRPr="00D517B2">
        <w:rPr>
          <w:rFonts w:hint="cs"/>
          <w:rtl/>
          <w:lang w:bidi="ar-SY"/>
        </w:rPr>
        <w:t>الاتصالات</w:t>
      </w:r>
    </w:p>
    <w:p w14:paraId="64538979" w14:textId="59DC1205" w:rsidR="00DF0E1F" w:rsidRPr="008054DA" w:rsidRDefault="00DF0E1F" w:rsidP="008054DA">
      <w:pPr>
        <w:spacing w:before="480"/>
        <w:jc w:val="left"/>
        <w:rPr>
          <w:b/>
          <w:bCs/>
          <w:rtl/>
        </w:rPr>
      </w:pPr>
      <w:r w:rsidRPr="008054DA">
        <w:rPr>
          <w:rFonts w:hint="cs"/>
          <w:b/>
          <w:bCs/>
          <w:rtl/>
          <w:lang w:bidi="ar-SY"/>
        </w:rPr>
        <w:t>الملحقات:</w:t>
      </w:r>
      <w:r w:rsidRPr="008054DA">
        <w:rPr>
          <w:b/>
          <w:bCs/>
          <w:rtl/>
          <w:lang w:bidi="ar-SY"/>
        </w:rPr>
        <w:tab/>
      </w:r>
      <w:r w:rsidRPr="008054DA">
        <w:rPr>
          <w:b/>
          <w:bCs/>
          <w:lang w:bidi="ar-SY"/>
        </w:rPr>
        <w:t>1</w:t>
      </w:r>
    </w:p>
    <w:p w14:paraId="3E10FB36" w14:textId="77777777" w:rsidR="00596808" w:rsidRDefault="00596808" w:rsidP="00E84438">
      <w:pPr>
        <w:rPr>
          <w:rtl/>
          <w:lang w:bidi="ar-EG"/>
        </w:rPr>
      </w:pPr>
      <w:r>
        <w:rPr>
          <w:rtl/>
          <w:lang w:bidi="ar-EG"/>
        </w:rPr>
        <w:br w:type="page"/>
      </w:r>
    </w:p>
    <w:p w14:paraId="1C9E5511" w14:textId="77777777" w:rsidR="00DF0E1F" w:rsidRPr="008054DA" w:rsidRDefault="00DF0E1F" w:rsidP="008054DA">
      <w:pPr>
        <w:pStyle w:val="AnnexNo"/>
        <w:rPr>
          <w:rtl/>
        </w:rPr>
      </w:pPr>
      <w:r w:rsidRPr="008054DA">
        <w:rPr>
          <w:rtl/>
        </w:rPr>
        <w:lastRenderedPageBreak/>
        <w:t>الملحق 1</w:t>
      </w:r>
    </w:p>
    <w:p w14:paraId="01323FE7" w14:textId="4BF98616" w:rsidR="00DF0E1F" w:rsidRPr="008054DA" w:rsidRDefault="00DF0E1F" w:rsidP="008054DA">
      <w:pPr>
        <w:pStyle w:val="Annextitle"/>
      </w:pPr>
      <w:bookmarkStart w:id="4" w:name="lt_pId065"/>
      <w:r w:rsidRPr="008054DA">
        <w:rPr>
          <w:rtl/>
        </w:rPr>
        <w:t>التوصيتان المقترح إلغاؤهما</w:t>
      </w:r>
      <w:r w:rsidRPr="008054DA">
        <w:t>:</w:t>
      </w:r>
      <w:r w:rsidRPr="008054DA">
        <w:rPr>
          <w:rtl/>
        </w:rPr>
        <w:t xml:space="preserve"> ITU-T A.4 (2012) وA.6 (2012)</w:t>
      </w:r>
      <w:bookmarkEnd w:id="4"/>
      <w:r w:rsidR="008054DA">
        <w:t xml:space="preserve">ITU-T </w:t>
      </w:r>
    </w:p>
    <w:p w14:paraId="0896F768" w14:textId="7637E74B" w:rsidR="00DF0E1F" w:rsidRPr="008054DA" w:rsidRDefault="008054DA" w:rsidP="008054DA">
      <w:pPr>
        <w:rPr>
          <w:b/>
          <w:bCs/>
          <w:i/>
          <w:iCs/>
          <w:lang w:val="ar-SA" w:eastAsia="zh-TW" w:bidi="en-GB"/>
        </w:rPr>
      </w:pPr>
      <w:bookmarkStart w:id="5" w:name="lt_pId066"/>
      <w:r w:rsidRPr="003A7E33">
        <w:rPr>
          <w:b/>
          <w:bCs/>
          <w:szCs w:val="24"/>
        </w:rPr>
        <w:t xml:space="preserve">ITU-T </w:t>
      </w:r>
      <w:r w:rsidR="00DF0E1F" w:rsidRPr="003A7E33">
        <w:rPr>
          <w:b/>
          <w:bCs/>
          <w:szCs w:val="24"/>
        </w:rPr>
        <w:t>A.4 (</w:t>
      </w:r>
      <w:proofErr w:type="gramStart"/>
      <w:r w:rsidR="00DF0E1F" w:rsidRPr="003A7E33">
        <w:rPr>
          <w:b/>
          <w:bCs/>
          <w:szCs w:val="24"/>
        </w:rPr>
        <w:t>2012)</w:t>
      </w:r>
      <w:r w:rsidR="00DF0E1F" w:rsidRPr="003A7E33">
        <w:rPr>
          <w:rFonts w:hint="cs"/>
          <w:b/>
          <w:bCs/>
          <w:rtl/>
        </w:rPr>
        <w:t>،</w:t>
      </w:r>
      <w:proofErr w:type="gramEnd"/>
      <w:r w:rsidR="00DF0E1F" w:rsidRPr="008054DA">
        <w:rPr>
          <w:rFonts w:hint="cs"/>
          <w:b/>
          <w:bCs/>
          <w:i/>
          <w:iCs/>
          <w:rtl/>
        </w:rPr>
        <w:t xml:space="preserve"> </w:t>
      </w:r>
      <w:r w:rsidR="00DF0E1F" w:rsidRPr="008054DA">
        <w:rPr>
          <w:b/>
          <w:bCs/>
          <w:i/>
          <w:iCs/>
          <w:rtl/>
        </w:rPr>
        <w:t>عملية الاتصال بين قطاع تقييس الاتصالات والمنتديات والاتحادات التجارية</w:t>
      </w:r>
      <w:bookmarkEnd w:id="5"/>
    </w:p>
    <w:p w14:paraId="229E06F5" w14:textId="5B08AB51" w:rsidR="00DF0E1F" w:rsidRPr="008054DA" w:rsidRDefault="00DF0E1F" w:rsidP="008054DA">
      <w:pPr>
        <w:rPr>
          <w:b/>
          <w:bCs/>
          <w:rtl/>
          <w:lang w:bidi="ar-SY"/>
        </w:rPr>
      </w:pPr>
      <w:bookmarkStart w:id="6" w:name="lt_pId067"/>
      <w:r w:rsidRPr="008054DA">
        <w:rPr>
          <w:b/>
          <w:bCs/>
          <w:rtl/>
        </w:rPr>
        <w:t>تاريخ الموافقة:</w:t>
      </w:r>
      <w:r w:rsidRPr="008054DA">
        <w:rPr>
          <w:b/>
          <w:bCs/>
          <w:rtl/>
        </w:rPr>
        <w:tab/>
      </w:r>
      <w:bookmarkEnd w:id="6"/>
      <w:r w:rsidR="008054DA">
        <w:rPr>
          <w:b/>
          <w:bCs/>
        </w:rPr>
        <w:t>2012.11.30</w:t>
      </w:r>
    </w:p>
    <w:p w14:paraId="237DA4FF" w14:textId="77777777" w:rsidR="00DF0E1F" w:rsidRPr="008054DA" w:rsidRDefault="00DF0E1F" w:rsidP="008054DA">
      <w:pPr>
        <w:pStyle w:val="Headingb"/>
      </w:pPr>
      <w:bookmarkStart w:id="7" w:name="lt_pId069"/>
      <w:r w:rsidRPr="008054DA">
        <w:rPr>
          <w:rtl/>
        </w:rPr>
        <w:t>ملخص</w:t>
      </w:r>
      <w:bookmarkEnd w:id="7"/>
    </w:p>
    <w:p w14:paraId="262F82C3" w14:textId="77777777" w:rsidR="00DF0E1F" w:rsidRPr="00B6481F" w:rsidRDefault="00DF0E1F" w:rsidP="008054DA">
      <w:pPr>
        <w:rPr>
          <w:lang w:val="ar-SA" w:eastAsia="zh-TW" w:bidi="en-GB"/>
        </w:rPr>
      </w:pPr>
      <w:bookmarkStart w:id="8" w:name="lt_pId070"/>
      <w:r w:rsidRPr="00B6481F">
        <w:rPr>
          <w:rtl/>
        </w:rPr>
        <w:t>تصف هذه التوصية كيفية استهلال عملية اتصال بين قطاع تقييس الاتصالات للاتحاد الدولي للاتصالات والمنتديات/الاتحادات التجارية. وهي تتضمن معايير تأهيل المنتديات/الاتحادات التجارية بموجب التوصية ITU-T A.4، وتصف تبادل الوثائق بين المنتديات/الاتحادات التجارية المؤهلة بموجب التوصية ITU-T A.4 وقطاع تقييس الاتصالات.</w:t>
      </w:r>
      <w:bookmarkStart w:id="9" w:name="lt_pId071"/>
      <w:bookmarkEnd w:id="8"/>
      <w:bookmarkEnd w:id="9"/>
    </w:p>
    <w:p w14:paraId="3EEA9FDD" w14:textId="0AE8D01F" w:rsidR="00DF0E1F" w:rsidRPr="00955348" w:rsidRDefault="00955348" w:rsidP="003A7E33">
      <w:pPr>
        <w:spacing w:before="240"/>
        <w:rPr>
          <w:b/>
          <w:bCs/>
          <w:i/>
          <w:iCs/>
        </w:rPr>
      </w:pPr>
      <w:bookmarkStart w:id="10" w:name="lt_pId072"/>
      <w:r w:rsidRPr="003A7E33">
        <w:rPr>
          <w:b/>
          <w:bCs/>
        </w:rPr>
        <w:t xml:space="preserve">ITU-T </w:t>
      </w:r>
      <w:r w:rsidR="00DF0E1F" w:rsidRPr="003A7E33">
        <w:rPr>
          <w:b/>
          <w:bCs/>
        </w:rPr>
        <w:t>A.6 (</w:t>
      </w:r>
      <w:proofErr w:type="gramStart"/>
      <w:r w:rsidR="00DF0E1F" w:rsidRPr="003A7E33">
        <w:rPr>
          <w:b/>
          <w:bCs/>
        </w:rPr>
        <w:t>2012)</w:t>
      </w:r>
      <w:r w:rsidR="00DF0E1F" w:rsidRPr="003A7E33">
        <w:rPr>
          <w:rFonts w:hint="cs"/>
          <w:b/>
          <w:bCs/>
          <w:rtl/>
        </w:rPr>
        <w:t>،</w:t>
      </w:r>
      <w:proofErr w:type="gramEnd"/>
      <w:r w:rsidR="00DF0E1F" w:rsidRPr="003A7E33">
        <w:rPr>
          <w:rFonts w:hint="cs"/>
          <w:b/>
          <w:bCs/>
          <w:rtl/>
        </w:rPr>
        <w:t xml:space="preserve"> </w:t>
      </w:r>
      <w:r w:rsidR="00DF0E1F" w:rsidRPr="00955348">
        <w:rPr>
          <w:b/>
          <w:bCs/>
          <w:i/>
          <w:iCs/>
          <w:rtl/>
        </w:rPr>
        <w:t>التعاون وتبادل المعلومات بين قطاع تقييس الاتصالات بالاتحاد الدولي للاتصالات والمنظمات الوطنية والإقليمية المعنية بوضع المعايير</w:t>
      </w:r>
      <w:bookmarkEnd w:id="10"/>
    </w:p>
    <w:p w14:paraId="4A03C6BD" w14:textId="43D34232" w:rsidR="00DF0E1F" w:rsidRPr="00955348" w:rsidRDefault="00955348" w:rsidP="003A7E33">
      <w:pPr>
        <w:spacing w:before="240"/>
        <w:rPr>
          <w:b/>
          <w:bCs/>
        </w:rPr>
      </w:pPr>
      <w:bookmarkStart w:id="11" w:name="lt_pId075"/>
      <w:r w:rsidRPr="008054DA">
        <w:rPr>
          <w:b/>
          <w:bCs/>
          <w:rtl/>
        </w:rPr>
        <w:t>تاريخ الموافقة:</w:t>
      </w:r>
      <w:r w:rsidRPr="008054DA">
        <w:rPr>
          <w:b/>
          <w:bCs/>
          <w:rtl/>
        </w:rPr>
        <w:tab/>
      </w:r>
      <w:r>
        <w:rPr>
          <w:b/>
          <w:bCs/>
        </w:rPr>
        <w:t>2012.11.30</w:t>
      </w:r>
    </w:p>
    <w:p w14:paraId="0DEC1841" w14:textId="77777777" w:rsidR="00DF0E1F" w:rsidRPr="00955348" w:rsidRDefault="00DF0E1F" w:rsidP="00955348">
      <w:pPr>
        <w:pStyle w:val="Headingb"/>
      </w:pPr>
      <w:r w:rsidRPr="00955348">
        <w:rPr>
          <w:rtl/>
        </w:rPr>
        <w:t>ملخص</w:t>
      </w:r>
      <w:bookmarkEnd w:id="11"/>
    </w:p>
    <w:p w14:paraId="356B360D" w14:textId="3101675F" w:rsidR="00DF0E1F" w:rsidRPr="00386CE9" w:rsidRDefault="00DF0E1F" w:rsidP="00DF0E1F">
      <w:pPr>
        <w:textDirection w:val="tbRlV"/>
        <w:rPr>
          <w:lang w:val="ar-SA" w:eastAsia="zh-TW" w:bidi="en-GB"/>
        </w:rPr>
      </w:pPr>
      <w:bookmarkStart w:id="12" w:name="lt_pId076"/>
      <w:r w:rsidRPr="00386CE9">
        <w:rPr>
          <w:rtl/>
        </w:rPr>
        <w:t>تصف هذه التوصية إنشاء عملية التعاون وتبادل المعلومات بين قطاع تقييس الاتصالات في الاتحاد الدولي للاتصالات والمنظمات الوطنية والإقليمية المعنية بوضع المعايير، وعملية الاتصال بمجرد تأهيل منظمة ما لشروط التوصية A.6</w:t>
      </w:r>
      <w:r w:rsidR="00955348">
        <w:t xml:space="preserve">ITU-T </w:t>
      </w:r>
      <w:r w:rsidRPr="00386CE9">
        <w:rPr>
          <w:rtl/>
        </w:rPr>
        <w:t>.</w:t>
      </w:r>
      <w:bookmarkEnd w:id="12"/>
    </w:p>
    <w:p w14:paraId="050C5A05" w14:textId="4B567156" w:rsidR="00DF0E1F" w:rsidRPr="00955348" w:rsidRDefault="00DF0E1F" w:rsidP="00955348">
      <w:pPr>
        <w:pStyle w:val="Headingb"/>
      </w:pPr>
      <w:bookmarkStart w:id="13" w:name="lt_pId077"/>
      <w:r w:rsidRPr="00955348">
        <w:rPr>
          <w:rtl/>
        </w:rPr>
        <w:t>ملخص توضيحي للأسباب الداعية إلى إلغاء التوصيتين ITU-T A.4 و A.6</w:t>
      </w:r>
      <w:bookmarkEnd w:id="13"/>
      <w:r w:rsidR="00955348">
        <w:t>ITU-T </w:t>
      </w:r>
    </w:p>
    <w:p w14:paraId="45E63447" w14:textId="017B78E6" w:rsidR="00DF0E1F" w:rsidRPr="00386CE9" w:rsidRDefault="00DF0E1F" w:rsidP="00955348">
      <w:pPr>
        <w:rPr>
          <w:lang w:val="ar-SA" w:eastAsia="zh-TW" w:bidi="en-GB"/>
        </w:rPr>
      </w:pPr>
      <w:bookmarkStart w:id="14" w:name="lt_pId078"/>
      <w:r>
        <w:rPr>
          <w:rFonts w:hint="cs"/>
          <w:rtl/>
        </w:rPr>
        <w:t xml:space="preserve">إن </w:t>
      </w:r>
      <w:r w:rsidRPr="00386CE9">
        <w:rPr>
          <w:rtl/>
        </w:rPr>
        <w:t xml:space="preserve">جميع الأحكام ذات الصلة من التوصيتين ITU-T </w:t>
      </w:r>
      <w:proofErr w:type="spellStart"/>
      <w:r w:rsidRPr="00386CE9">
        <w:rPr>
          <w:rtl/>
        </w:rPr>
        <w:t>A.4</w:t>
      </w:r>
      <w:proofErr w:type="spellEnd"/>
      <w:r w:rsidRPr="00386CE9">
        <w:rPr>
          <w:rtl/>
        </w:rPr>
        <w:t xml:space="preserve"> </w:t>
      </w:r>
      <w:proofErr w:type="spellStart"/>
      <w:r w:rsidRPr="00386CE9">
        <w:rPr>
          <w:rtl/>
        </w:rPr>
        <w:t>وITU</w:t>
      </w:r>
      <w:proofErr w:type="spellEnd"/>
      <w:r w:rsidRPr="00386CE9">
        <w:rPr>
          <w:rtl/>
        </w:rPr>
        <w:t xml:space="preserve">-T </w:t>
      </w:r>
      <w:proofErr w:type="spellStart"/>
      <w:r w:rsidRPr="00386CE9">
        <w:rPr>
          <w:rtl/>
        </w:rPr>
        <w:t>A.6</w:t>
      </w:r>
      <w:proofErr w:type="spellEnd"/>
      <w:r w:rsidRPr="00386CE9">
        <w:rPr>
          <w:rtl/>
        </w:rPr>
        <w:t xml:space="preserve"> إما مشمولة بالتوصيتين ITU-T </w:t>
      </w:r>
      <w:proofErr w:type="spellStart"/>
      <w:r w:rsidRPr="00386CE9">
        <w:rPr>
          <w:rtl/>
        </w:rPr>
        <w:t>A.5</w:t>
      </w:r>
      <w:proofErr w:type="spellEnd"/>
      <w:r w:rsidRPr="00386CE9">
        <w:rPr>
          <w:rtl/>
        </w:rPr>
        <w:t xml:space="preserve"> </w:t>
      </w:r>
      <w:proofErr w:type="spellStart"/>
      <w:r w:rsidRPr="00386CE9">
        <w:rPr>
          <w:rtl/>
        </w:rPr>
        <w:t>وITU</w:t>
      </w:r>
      <w:proofErr w:type="spellEnd"/>
      <w:r w:rsidRPr="00386CE9">
        <w:rPr>
          <w:rtl/>
        </w:rPr>
        <w:t xml:space="preserve">-T </w:t>
      </w:r>
      <w:proofErr w:type="spellStart"/>
      <w:r w:rsidRPr="00386CE9">
        <w:rPr>
          <w:rtl/>
        </w:rPr>
        <w:t>A.25</w:t>
      </w:r>
      <w:proofErr w:type="spellEnd"/>
      <w:r w:rsidRPr="00386CE9">
        <w:rPr>
          <w:rtl/>
        </w:rPr>
        <w:t xml:space="preserve"> أو بمشروع التوصية الجديدة ITU-T A.24 التي تخضع حاليا</w:t>
      </w:r>
      <w:r w:rsidR="00955348">
        <w:rPr>
          <w:rFonts w:hint="cs"/>
          <w:rtl/>
        </w:rPr>
        <w:t>ً</w:t>
      </w:r>
      <w:r w:rsidRPr="00386CE9">
        <w:rPr>
          <w:rtl/>
        </w:rPr>
        <w:t xml:space="preserve"> لعملية الموافقة التقليدية (انظر </w:t>
      </w:r>
      <w:hyperlink r:id="rId10" w:history="1">
        <w:r w:rsidRPr="00292E42">
          <w:rPr>
            <w:rStyle w:val="Hyperlink"/>
            <w:rtl/>
          </w:rPr>
          <w:t>الرسالة المعممة 203 لمكتب تقييس الاتصالات</w:t>
        </w:r>
      </w:hyperlink>
      <w:r w:rsidRPr="00386CE9">
        <w:rPr>
          <w:rtl/>
        </w:rPr>
        <w:t>).</w:t>
      </w:r>
      <w:bookmarkEnd w:id="14"/>
    </w:p>
    <w:p w14:paraId="2B70660E" w14:textId="6FBD686F" w:rsidR="00DF0E1F" w:rsidRPr="00386CE9" w:rsidRDefault="00DF0E1F" w:rsidP="00955348">
      <w:pPr>
        <w:rPr>
          <w:lang w:val="ar-SA" w:eastAsia="zh-TW" w:bidi="en-GB"/>
        </w:rPr>
      </w:pPr>
      <w:bookmarkStart w:id="15" w:name="lt_pId079"/>
      <w:r>
        <w:rPr>
          <w:rFonts w:hint="cs"/>
          <w:rtl/>
        </w:rPr>
        <w:t>واتُفق</w:t>
      </w:r>
      <w:r w:rsidRPr="00386CE9">
        <w:rPr>
          <w:rtl/>
        </w:rPr>
        <w:t xml:space="preserve"> خلال اجتماع الفريق الاستشاري </w:t>
      </w:r>
      <w:r w:rsidRPr="00A35AA9">
        <w:rPr>
          <w:rtl/>
        </w:rPr>
        <w:t>لتقييس الاتصالات</w:t>
      </w:r>
      <w:r w:rsidRPr="00386CE9">
        <w:rPr>
          <w:rtl/>
        </w:rPr>
        <w:t xml:space="preserve"> </w:t>
      </w:r>
      <w:r>
        <w:rPr>
          <w:rFonts w:hint="cs"/>
          <w:rtl/>
        </w:rPr>
        <w:t>المنعقد</w:t>
      </w:r>
      <w:r w:rsidRPr="00386CE9">
        <w:rPr>
          <w:rtl/>
        </w:rPr>
        <w:t xml:space="preserve"> في الفترة 22-26 يناير 2024،</w:t>
      </w:r>
      <w:r w:rsidR="008054DA">
        <w:rPr>
          <w:rtl/>
        </w:rPr>
        <w:t xml:space="preserve"> </w:t>
      </w:r>
      <w:r w:rsidRPr="00386CE9">
        <w:rPr>
          <w:rtl/>
        </w:rPr>
        <w:t>على إلغاء التوصيتين</w:t>
      </w:r>
      <w:r w:rsidR="00955348">
        <w:rPr>
          <w:rFonts w:hint="cs"/>
          <w:rtl/>
          <w:lang w:bidi="ar-SY"/>
        </w:rPr>
        <w:t xml:space="preserve"> </w:t>
      </w:r>
      <w:r w:rsidR="00955348">
        <w:rPr>
          <w:lang w:bidi="ar-SY"/>
        </w:rPr>
        <w:t>ITU</w:t>
      </w:r>
      <w:r w:rsidR="00955348">
        <w:rPr>
          <w:lang w:bidi="ar-SY"/>
        </w:rPr>
        <w:noBreakHyphen/>
        <w:t>T A.4</w:t>
      </w:r>
      <w:r w:rsidR="00955348">
        <w:rPr>
          <w:rFonts w:hint="cs"/>
          <w:rtl/>
          <w:lang w:bidi="ar-SY"/>
        </w:rPr>
        <w:t xml:space="preserve"> و</w:t>
      </w:r>
      <w:r w:rsidR="00955348">
        <w:rPr>
          <w:lang w:bidi="ar-SY"/>
        </w:rPr>
        <w:t>ITU</w:t>
      </w:r>
      <w:r w:rsidR="00955348">
        <w:rPr>
          <w:lang w:bidi="ar-SY"/>
        </w:rPr>
        <w:noBreakHyphen/>
        <w:t>T A.6</w:t>
      </w:r>
      <w:r w:rsidR="00955348">
        <w:rPr>
          <w:rFonts w:hint="cs"/>
          <w:rtl/>
          <w:lang w:bidi="ar-SY"/>
        </w:rPr>
        <w:t xml:space="preserve"> </w:t>
      </w:r>
      <w:r w:rsidRPr="00386CE9">
        <w:rPr>
          <w:rtl/>
        </w:rPr>
        <w:t>قبل ثلاثة أشهر من اجتماع الفريق الاستشاري لتقييس الاتصالات الذي سي</w:t>
      </w:r>
      <w:r>
        <w:rPr>
          <w:rFonts w:hint="cs"/>
          <w:rtl/>
        </w:rPr>
        <w:t>ُ</w:t>
      </w:r>
      <w:r w:rsidRPr="00386CE9">
        <w:rPr>
          <w:rtl/>
        </w:rPr>
        <w:t xml:space="preserve">عقد في الفترة من 29 يوليو إلى 2 أغسطس 2024 (بحيث يصبح الإلغاء ساري المفعول في نفس الوقت الذي ينظر فيه الفريق الاستشاري في الموافقة على التوصية ITU-T A.24). </w:t>
      </w:r>
      <w:bookmarkEnd w:id="15"/>
    </w:p>
    <w:p w14:paraId="1207EDE5" w14:textId="107C59AF" w:rsidR="00DF0E1F" w:rsidRPr="00037A18" w:rsidRDefault="00DF0E1F" w:rsidP="00955348">
      <w:pPr>
        <w:rPr>
          <w:lang w:eastAsia="zh-TW" w:bidi="en-GB"/>
        </w:rPr>
      </w:pPr>
      <w:bookmarkStart w:id="16" w:name="lt_pId080"/>
      <w:r w:rsidRPr="00037A18">
        <w:rPr>
          <w:rtl/>
        </w:rPr>
        <w:t>ولمزيد من المعلومات عن مبررات هذ</w:t>
      </w:r>
      <w:r w:rsidRPr="00037A18">
        <w:rPr>
          <w:rFonts w:hint="cs"/>
          <w:rtl/>
        </w:rPr>
        <w:t>ين</w:t>
      </w:r>
      <w:r w:rsidRPr="00037A18">
        <w:rPr>
          <w:rtl/>
        </w:rPr>
        <w:t xml:space="preserve"> الإلغا</w:t>
      </w:r>
      <w:r w:rsidRPr="00037A18">
        <w:rPr>
          <w:rFonts w:hint="cs"/>
          <w:rtl/>
        </w:rPr>
        <w:t>ءين</w:t>
      </w:r>
      <w:r w:rsidRPr="00037A18">
        <w:rPr>
          <w:rtl/>
        </w:rPr>
        <w:t>، يرجى الرجوع إلى</w:t>
      </w:r>
      <w:r w:rsidRPr="00037A18">
        <w:rPr>
          <w:rFonts w:hint="cs"/>
          <w:rtl/>
        </w:rPr>
        <w:t xml:space="preserve"> وثيقتي</w:t>
      </w:r>
      <w:r w:rsidRPr="00037A18">
        <w:rPr>
          <w:rtl/>
        </w:rPr>
        <w:t xml:space="preserve"> </w:t>
      </w:r>
      <w:hyperlink r:id="rId11" w:history="1">
        <w:r w:rsidR="00955348" w:rsidRPr="00E53195">
          <w:rPr>
            <w:rStyle w:val="Hyperlink"/>
            <w:rFonts w:hint="eastAsia"/>
            <w:lang w:eastAsia="ja-JP"/>
          </w:rPr>
          <w:t>TSAG-TD394R1</w:t>
        </w:r>
      </w:hyperlink>
      <w:r w:rsidRPr="00037A18">
        <w:rPr>
          <w:rFonts w:hint="cs"/>
          <w:rtl/>
        </w:rPr>
        <w:t xml:space="preserve"> و</w:t>
      </w:r>
      <w:hyperlink r:id="rId12" w:history="1">
        <w:r w:rsidR="00955348" w:rsidRPr="0063337C">
          <w:rPr>
            <w:rStyle w:val="Hyperlink"/>
            <w:lang w:eastAsia="ja-JP"/>
          </w:rPr>
          <w:t>TSAG-</w:t>
        </w:r>
        <w:r w:rsidR="00955348">
          <w:rPr>
            <w:rStyle w:val="Hyperlink"/>
            <w:lang w:eastAsia="ja-JP"/>
          </w:rPr>
          <w:t>R4</w:t>
        </w:r>
      </w:hyperlink>
      <w:r w:rsidRPr="00037A18">
        <w:rPr>
          <w:rFonts w:hint="cs"/>
          <w:rtl/>
        </w:rPr>
        <w:t xml:space="preserve"> ل</w:t>
      </w:r>
      <w:r w:rsidRPr="00037A18">
        <w:rPr>
          <w:rtl/>
        </w:rPr>
        <w:t>لفريق الاستشاري لتقييس الاتصالات.</w:t>
      </w:r>
      <w:bookmarkEnd w:id="16"/>
    </w:p>
    <w:p w14:paraId="553E369E" w14:textId="3BD769BD" w:rsidR="00DF0E1F" w:rsidRDefault="00DF0E1F" w:rsidP="00955348">
      <w:pPr>
        <w:pStyle w:val="Note"/>
        <w:rPr>
          <w:lang w:bidi="ar-EG"/>
        </w:rPr>
      </w:pPr>
      <w:bookmarkStart w:id="17" w:name="lt_pId081"/>
      <w:r w:rsidRPr="00037A18">
        <w:rPr>
          <w:b/>
          <w:bCs/>
          <w:rtl/>
        </w:rPr>
        <w:t>ملاحظة</w:t>
      </w:r>
      <w:r w:rsidRPr="00037A18">
        <w:rPr>
          <w:rtl/>
        </w:rPr>
        <w:t>: و</w:t>
      </w:r>
      <w:r w:rsidRPr="00037A18">
        <w:rPr>
          <w:rFonts w:hint="cs"/>
          <w:rtl/>
        </w:rPr>
        <w:t>ُ</w:t>
      </w:r>
      <w:r w:rsidRPr="00037A18">
        <w:rPr>
          <w:rtl/>
        </w:rPr>
        <w:t>ضعت التوصية ITU-T A.24 استنادا</w:t>
      </w:r>
      <w:r w:rsidRPr="00037A18">
        <w:rPr>
          <w:rFonts w:hint="cs"/>
          <w:rtl/>
        </w:rPr>
        <w:t>ً</w:t>
      </w:r>
      <w:r w:rsidRPr="00037A18">
        <w:rPr>
          <w:rtl/>
        </w:rPr>
        <w:t xml:space="preserve"> إلى </w:t>
      </w:r>
      <w:r w:rsidRPr="00037A18">
        <w:rPr>
          <w:rFonts w:hint="cs"/>
          <w:rtl/>
        </w:rPr>
        <w:t>الإضافة</w:t>
      </w:r>
      <w:r w:rsidRPr="00037A18">
        <w:rPr>
          <w:rtl/>
        </w:rPr>
        <w:t xml:space="preserve"> 5 </w:t>
      </w:r>
      <w:r w:rsidRPr="00037A18">
        <w:rPr>
          <w:rFonts w:hint="cs"/>
          <w:rtl/>
        </w:rPr>
        <w:t>لسلسلة التوصيات</w:t>
      </w:r>
      <w:r w:rsidRPr="00037A18">
        <w:rPr>
          <w:rtl/>
        </w:rPr>
        <w:t xml:space="preserve"> </w:t>
      </w:r>
      <w:r w:rsidRPr="00037A18">
        <w:rPr>
          <w:rFonts w:hint="eastAsia"/>
          <w:lang w:val="en-GB"/>
        </w:rPr>
        <w:t>ITU-T A</w:t>
      </w:r>
      <w:r w:rsidR="008054DA">
        <w:rPr>
          <w:rtl/>
          <w:lang w:val="en-GB"/>
        </w:rPr>
        <w:t xml:space="preserve"> </w:t>
      </w:r>
      <w:r w:rsidRPr="00037A18">
        <w:rPr>
          <w:rtl/>
        </w:rPr>
        <w:t xml:space="preserve">ومن </w:t>
      </w:r>
      <w:r>
        <w:rPr>
          <w:rFonts w:hint="cs"/>
          <w:rtl/>
        </w:rPr>
        <w:t>المقرر</w:t>
      </w:r>
      <w:r w:rsidRPr="00037A18">
        <w:rPr>
          <w:rtl/>
        </w:rPr>
        <w:t xml:space="preserve"> أيضا</w:t>
      </w:r>
      <w:r w:rsidRPr="00037A18">
        <w:rPr>
          <w:rFonts w:hint="cs"/>
          <w:rtl/>
        </w:rPr>
        <w:t>ً</w:t>
      </w:r>
      <w:r w:rsidRPr="00037A18">
        <w:rPr>
          <w:rtl/>
        </w:rPr>
        <w:t xml:space="preserve"> أن </w:t>
      </w:r>
      <w:r w:rsidRPr="00037A18">
        <w:rPr>
          <w:rFonts w:hint="cs"/>
          <w:rtl/>
        </w:rPr>
        <w:t>يلغي</w:t>
      </w:r>
      <w:r w:rsidRPr="00037A18">
        <w:rPr>
          <w:rtl/>
        </w:rPr>
        <w:t xml:space="preserve"> الفريق الاستشاري لتقييس الاتصالات</w:t>
      </w:r>
      <w:r w:rsidRPr="00037A18">
        <w:rPr>
          <w:rFonts w:hint="cs"/>
          <w:rtl/>
        </w:rPr>
        <w:t xml:space="preserve"> تلك الإضافة</w:t>
      </w:r>
      <w:r w:rsidRPr="00037A18">
        <w:rPr>
          <w:rtl/>
        </w:rPr>
        <w:t xml:space="preserve"> بعد </w:t>
      </w:r>
      <w:r w:rsidRPr="00037A18">
        <w:rPr>
          <w:rFonts w:hint="cs"/>
          <w:rtl/>
        </w:rPr>
        <w:t>ال</w:t>
      </w:r>
      <w:r w:rsidRPr="00037A18">
        <w:rPr>
          <w:rtl/>
        </w:rPr>
        <w:t xml:space="preserve">موافقة </w:t>
      </w:r>
      <w:r w:rsidRPr="00037A18">
        <w:rPr>
          <w:rFonts w:hint="cs"/>
          <w:rtl/>
        </w:rPr>
        <w:t xml:space="preserve">على </w:t>
      </w:r>
      <w:r w:rsidRPr="00037A18">
        <w:rPr>
          <w:rtl/>
        </w:rPr>
        <w:t>التوصية ITU-T A.24 (انظر</w:t>
      </w:r>
      <w:r w:rsidRPr="00037A18">
        <w:rPr>
          <w:rFonts w:hint="cs"/>
          <w:rtl/>
        </w:rPr>
        <w:t xml:space="preserve"> الوثيقة</w:t>
      </w:r>
      <w:r w:rsidRPr="00037A18">
        <w:rPr>
          <w:rtl/>
        </w:rPr>
        <w:t xml:space="preserve"> </w:t>
      </w:r>
      <w:hyperlink r:id="rId13" w:history="1">
        <w:r w:rsidR="00955348" w:rsidRPr="00E53195">
          <w:rPr>
            <w:rStyle w:val="Hyperlink"/>
            <w:rFonts w:hint="eastAsia"/>
            <w:lang w:eastAsia="ja-JP"/>
          </w:rPr>
          <w:t>TSAG-TD317R5</w:t>
        </w:r>
      </w:hyperlink>
      <w:r w:rsidRPr="00037A18">
        <w:rPr>
          <w:rtl/>
        </w:rPr>
        <w:t>).</w:t>
      </w:r>
      <w:bookmarkEnd w:id="17"/>
    </w:p>
    <w:p w14:paraId="6E3F3B3A" w14:textId="16679A55" w:rsidR="00596808" w:rsidRPr="00D517B2" w:rsidRDefault="008054DA" w:rsidP="008054DA">
      <w:pPr>
        <w:spacing w:before="600"/>
        <w:jc w:val="center"/>
        <w:rPr>
          <w:rtl/>
          <w:lang w:bidi="ar-SY"/>
        </w:rPr>
      </w:pPr>
      <w:r>
        <w:rPr>
          <w:rFonts w:hint="cs"/>
          <w:rtl/>
          <w:lang w:bidi="ar-SY"/>
        </w:rPr>
        <w:t>ـــــــــــــــــــــــــــــــــــــــــــــــــــــــــــــــــــــــــــــــــــــــــــــ</w:t>
      </w:r>
    </w:p>
    <w:sectPr w:rsidR="00596808" w:rsidRPr="00D517B2" w:rsidSect="00DF0E1F">
      <w:headerReference w:type="even" r:id="rId14"/>
      <w:headerReference w:type="default" r:id="rId15"/>
      <w:footerReference w:type="even" r:id="rId16"/>
      <w:footerReference w:type="default" r:id="rId17"/>
      <w:headerReference w:type="first" r:id="rId18"/>
      <w:footerReference w:type="first" r:id="rId19"/>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3B795" w14:textId="77777777" w:rsidR="00DF0E1F" w:rsidRDefault="00DF0E1F" w:rsidP="006C3242">
      <w:pPr>
        <w:spacing w:before="0" w:line="240" w:lineRule="auto"/>
      </w:pPr>
      <w:r>
        <w:separator/>
      </w:r>
    </w:p>
  </w:endnote>
  <w:endnote w:type="continuationSeparator" w:id="0">
    <w:p w14:paraId="56D143F7" w14:textId="77777777" w:rsidR="00DF0E1F" w:rsidRDefault="00DF0E1F"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altName w:val="Times New Roman"/>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B6295" w14:textId="77777777" w:rsidR="00EA23C5" w:rsidRDefault="00EA23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C8399" w14:textId="20DB65A7" w:rsidR="006C3242" w:rsidRPr="00EA23C5" w:rsidRDefault="006C3242" w:rsidP="00EA23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BCFFC" w14:textId="77777777" w:rsidR="00926F44" w:rsidRPr="00926F44" w:rsidRDefault="00926F44" w:rsidP="00926F44">
    <w:pPr>
      <w:tabs>
        <w:tab w:val="left" w:pos="1191"/>
        <w:tab w:val="left" w:pos="1588"/>
        <w:tab w:val="left" w:pos="1985"/>
        <w:tab w:val="left" w:pos="5954"/>
        <w:tab w:val="right" w:pos="9639"/>
      </w:tabs>
      <w:overflowPunct w:val="0"/>
      <w:autoSpaceDE w:val="0"/>
      <w:autoSpaceDN w:val="0"/>
      <w:bidi w:val="0"/>
      <w:adjustRightInd w:val="0"/>
      <w:spacing w:line="240" w:lineRule="auto"/>
      <w:jc w:val="center"/>
      <w:textAlignment w:val="baseline"/>
      <w:rPr>
        <w:rFonts w:ascii="Calibri" w:eastAsia="Times New Roman" w:hAnsi="Calibri" w:cs="Times New Roman"/>
        <w:caps/>
        <w:noProof/>
        <w:sz w:val="16"/>
        <w:szCs w:val="20"/>
        <w:lang w:val="en-GB" w:eastAsia="en-US"/>
      </w:rPr>
    </w:pPr>
    <w:r w:rsidRPr="00926F44">
      <w:rPr>
        <w:rFonts w:ascii="Calibri" w:eastAsia="Times New Roman" w:hAnsi="Calibri" w:cs="Calibri"/>
        <w:noProof/>
        <w:color w:val="0070C0"/>
        <w:sz w:val="18"/>
        <w:szCs w:val="18"/>
        <w:lang w:val="fr-CH" w:eastAsia="en-US"/>
      </w:rPr>
      <w:t xml:space="preserve">International Telecommunication Union • Place des Nations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CH</w:t>
    </w:r>
    <w:r w:rsidRPr="00926F44">
      <w:rPr>
        <w:rFonts w:ascii="Calibri" w:eastAsia="Times New Roman" w:hAnsi="Calibri" w:cs="Calibri"/>
        <w:noProof/>
        <w:color w:val="0070C0"/>
        <w:sz w:val="18"/>
        <w:szCs w:val="18"/>
        <w:lang w:val="fr-CH" w:eastAsia="en-US"/>
      </w:rPr>
      <w:noBreakHyphen/>
      <w:t xml:space="preserve">1211 Geneva 20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Switzerland </w:t>
    </w:r>
    <w:r w:rsidRPr="00926F44">
      <w:rPr>
        <w:rFonts w:ascii="Calibri" w:eastAsia="Times New Roman" w:hAnsi="Calibri" w:cs="Calibri"/>
        <w:caps/>
        <w:noProof/>
        <w:color w:val="0070C0"/>
        <w:sz w:val="18"/>
        <w:szCs w:val="18"/>
        <w:lang w:val="fr-CH" w:eastAsia="en-US"/>
      </w:rPr>
      <w:br/>
    </w:r>
    <w:r w:rsidRPr="00926F44">
      <w:rPr>
        <w:rFonts w:ascii="Calibri" w:eastAsia="Times New Roman" w:hAnsi="Calibri" w:cs="Calibri"/>
        <w:noProof/>
        <w:color w:val="0070C0"/>
        <w:sz w:val="18"/>
        <w:szCs w:val="18"/>
        <w:lang w:val="fr-CH" w:eastAsia="en-US"/>
      </w:rPr>
      <w:t>Tel:</w:t>
    </w:r>
    <w:r w:rsidRPr="00926F44">
      <w:rPr>
        <w:rFonts w:ascii="Calibri" w:eastAsia="Times New Roman" w:hAnsi="Calibri" w:cs="Calibri"/>
        <w:caps/>
        <w:noProof/>
        <w:color w:val="0070C0"/>
        <w:sz w:val="18"/>
        <w:szCs w:val="18"/>
        <w:lang w:val="fr-CH" w:eastAsia="en-US"/>
      </w:rPr>
      <w:t xml:space="preserve"> +41 22 730 5111 • </w:t>
    </w:r>
    <w:r w:rsidRPr="00926F44">
      <w:rPr>
        <w:rFonts w:ascii="Calibri" w:eastAsia="Times New Roman" w:hAnsi="Calibri" w:cs="Calibri"/>
        <w:noProof/>
        <w:color w:val="0070C0"/>
        <w:sz w:val="18"/>
        <w:szCs w:val="18"/>
        <w:lang w:val="fr-CH" w:eastAsia="en-US"/>
      </w:rPr>
      <w:t>Fax</w:t>
    </w:r>
    <w:r w:rsidRPr="00926F44">
      <w:rPr>
        <w:rFonts w:ascii="Calibri" w:eastAsia="Times New Roman" w:hAnsi="Calibri" w:cs="Calibri"/>
        <w:caps/>
        <w:noProof/>
        <w:color w:val="0070C0"/>
        <w:sz w:val="18"/>
        <w:szCs w:val="18"/>
        <w:lang w:val="fr-CH" w:eastAsia="en-US"/>
      </w:rPr>
      <w:t>: +41 22 733 7256 • E-</w:t>
    </w:r>
    <w:r w:rsidRPr="00926F44">
      <w:rPr>
        <w:rFonts w:ascii="Calibri" w:eastAsia="Times New Roman" w:hAnsi="Calibri" w:cs="Calibri"/>
        <w:noProof/>
        <w:color w:val="0070C0"/>
        <w:sz w:val="18"/>
        <w:szCs w:val="18"/>
        <w:lang w:val="fr-CH" w:eastAsia="en-US"/>
      </w:rPr>
      <w:t>mail</w:t>
    </w:r>
    <w:r w:rsidRPr="00926F44">
      <w:rPr>
        <w:rFonts w:ascii="Calibri" w:eastAsia="Times New Roman" w:hAnsi="Calibri" w:cs="Calibri"/>
        <w:caps/>
        <w:noProof/>
        <w:color w:val="0070C0"/>
        <w:sz w:val="18"/>
        <w:szCs w:val="18"/>
        <w:lang w:val="fr-CH" w:eastAsia="en-US"/>
      </w:rPr>
      <w:t xml:space="preserve">: </w:t>
    </w:r>
    <w:hyperlink r:id="rId1" w:history="1">
      <w:r w:rsidRPr="00926F44">
        <w:rPr>
          <w:rFonts w:ascii="Calibri" w:eastAsia="Times New Roman" w:hAnsi="Calibri" w:cs="Calibri"/>
          <w:noProof/>
          <w:color w:val="0070C0"/>
          <w:sz w:val="18"/>
          <w:szCs w:val="18"/>
          <w:u w:val="single"/>
          <w:lang w:val="fr-CH" w:eastAsia="en-US"/>
        </w:rPr>
        <w:t>itumail@itu.int</w:t>
      </w:r>
    </w:hyperlink>
    <w:r w:rsidRPr="00926F44">
      <w:rPr>
        <w:rFonts w:ascii="Calibri" w:eastAsia="Times New Roman" w:hAnsi="Calibri" w:cs="Calibri"/>
        <w:noProof/>
        <w:color w:val="0070C0"/>
        <w:sz w:val="18"/>
        <w:szCs w:val="18"/>
        <w:lang w:val="fr-CH" w:eastAsia="en-US"/>
      </w:rPr>
      <w:t xml:space="preserve"> • </w:t>
    </w:r>
    <w:hyperlink r:id="rId2" w:history="1">
      <w:r w:rsidRPr="00926F44">
        <w:rPr>
          <w:rFonts w:ascii="Calibri" w:eastAsia="Times New Roman" w:hAnsi="Calibri" w:cs="Calibri"/>
          <w:noProof/>
          <w:color w:val="0070C0"/>
          <w:sz w:val="18"/>
          <w:szCs w:val="18"/>
          <w:u w:val="single"/>
          <w:lang w:val="fr-CH" w:eastAsia="en-U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82B1B" w14:textId="77777777" w:rsidR="00DF0E1F" w:rsidRDefault="00DF0E1F" w:rsidP="006C3242">
      <w:pPr>
        <w:spacing w:before="0" w:line="240" w:lineRule="auto"/>
      </w:pPr>
      <w:r>
        <w:separator/>
      </w:r>
    </w:p>
  </w:footnote>
  <w:footnote w:type="continuationSeparator" w:id="0">
    <w:p w14:paraId="4D6E1A22" w14:textId="77777777" w:rsidR="00DF0E1F" w:rsidRDefault="00DF0E1F"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2C7C6" w14:textId="77777777" w:rsidR="00EA23C5" w:rsidRDefault="00EA23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56EE6" w14:textId="50C38D88" w:rsidR="00447F32" w:rsidRPr="00596808" w:rsidRDefault="00596808" w:rsidP="00B916A7">
    <w:pPr>
      <w:pStyle w:val="Header"/>
      <w:spacing w:after="240" w:line="192" w:lineRule="auto"/>
      <w:jc w:val="center"/>
    </w:pPr>
    <w:r w:rsidRPr="00596808">
      <w:rPr>
        <w:sz w:val="20"/>
        <w:szCs w:val="20"/>
      </w:rPr>
      <w:t xml:space="preserve">- </w:t>
    </w:r>
    <w:r w:rsidRPr="00596808">
      <w:rPr>
        <w:sz w:val="20"/>
        <w:szCs w:val="20"/>
      </w:rPr>
      <w:fldChar w:fldCharType="begin"/>
    </w:r>
    <w:r w:rsidRPr="00596808">
      <w:rPr>
        <w:sz w:val="20"/>
        <w:szCs w:val="20"/>
      </w:rPr>
      <w:instrText xml:space="preserve"> PAGE </w:instrText>
    </w:r>
    <w:r w:rsidRPr="00596808">
      <w:rPr>
        <w:sz w:val="20"/>
        <w:szCs w:val="20"/>
      </w:rPr>
      <w:fldChar w:fldCharType="separate"/>
    </w:r>
    <w:r w:rsidRPr="00596808">
      <w:rPr>
        <w:sz w:val="20"/>
        <w:szCs w:val="20"/>
      </w:rPr>
      <w:t>2</w:t>
    </w:r>
    <w:r w:rsidRPr="00596808">
      <w:rPr>
        <w:sz w:val="20"/>
        <w:szCs w:val="20"/>
      </w:rPr>
      <w:fldChar w:fldCharType="end"/>
    </w:r>
    <w:r w:rsidRPr="00596808">
      <w:rPr>
        <w:sz w:val="20"/>
        <w:szCs w:val="20"/>
      </w:rPr>
      <w:t xml:space="preserve"> -</w:t>
    </w:r>
    <w:r w:rsidR="00E84438">
      <w:rPr>
        <w:sz w:val="20"/>
        <w:szCs w:val="20"/>
        <w:rtl/>
      </w:rPr>
      <w:br/>
    </w:r>
    <w:r w:rsidR="008054DA">
      <w:rPr>
        <w:sz w:val="20"/>
        <w:szCs w:val="20"/>
        <w:lang w:bidi="ar-EG"/>
      </w:rPr>
      <w:t>TSB Circular 179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37EC0" w14:textId="77777777" w:rsidR="00EA23C5" w:rsidRDefault="00EA23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80181218">
    <w:abstractNumId w:val="9"/>
  </w:num>
  <w:num w:numId="2" w16cid:durableId="376005570">
    <w:abstractNumId w:val="7"/>
  </w:num>
  <w:num w:numId="3" w16cid:durableId="639193220">
    <w:abstractNumId w:val="6"/>
  </w:num>
  <w:num w:numId="4" w16cid:durableId="340160401">
    <w:abstractNumId w:val="5"/>
  </w:num>
  <w:num w:numId="5" w16cid:durableId="109589037">
    <w:abstractNumId w:val="4"/>
  </w:num>
  <w:num w:numId="6" w16cid:durableId="2048142625">
    <w:abstractNumId w:val="8"/>
  </w:num>
  <w:num w:numId="7" w16cid:durableId="1013265783">
    <w:abstractNumId w:val="3"/>
  </w:num>
  <w:num w:numId="8" w16cid:durableId="1496919553">
    <w:abstractNumId w:val="2"/>
  </w:num>
  <w:num w:numId="9" w16cid:durableId="49110613">
    <w:abstractNumId w:val="1"/>
  </w:num>
  <w:num w:numId="10" w16cid:durableId="1100763512">
    <w:abstractNumId w:val="0"/>
  </w:num>
  <w:num w:numId="11" w16cid:durableId="4591477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E1F"/>
    <w:rsid w:val="00002A63"/>
    <w:rsid w:val="0006468A"/>
    <w:rsid w:val="00090574"/>
    <w:rsid w:val="000C1C0E"/>
    <w:rsid w:val="000C548A"/>
    <w:rsid w:val="000E327F"/>
    <w:rsid w:val="00146FE2"/>
    <w:rsid w:val="001C0169"/>
    <w:rsid w:val="001D1D50"/>
    <w:rsid w:val="001D6745"/>
    <w:rsid w:val="001E446E"/>
    <w:rsid w:val="002154EE"/>
    <w:rsid w:val="002276D2"/>
    <w:rsid w:val="0023283D"/>
    <w:rsid w:val="0026373E"/>
    <w:rsid w:val="00271C43"/>
    <w:rsid w:val="00290728"/>
    <w:rsid w:val="002978F4"/>
    <w:rsid w:val="002B028D"/>
    <w:rsid w:val="002E196B"/>
    <w:rsid w:val="002E6541"/>
    <w:rsid w:val="00334924"/>
    <w:rsid w:val="003409BC"/>
    <w:rsid w:val="00357185"/>
    <w:rsid w:val="00383829"/>
    <w:rsid w:val="003A3046"/>
    <w:rsid w:val="003A7E33"/>
    <w:rsid w:val="003C7EDF"/>
    <w:rsid w:val="003F4B29"/>
    <w:rsid w:val="00400EC6"/>
    <w:rsid w:val="0042686F"/>
    <w:rsid w:val="004317D8"/>
    <w:rsid w:val="00434183"/>
    <w:rsid w:val="00443869"/>
    <w:rsid w:val="00447F32"/>
    <w:rsid w:val="004E11DC"/>
    <w:rsid w:val="00525DDD"/>
    <w:rsid w:val="005409AC"/>
    <w:rsid w:val="0055516A"/>
    <w:rsid w:val="005731DD"/>
    <w:rsid w:val="0058491B"/>
    <w:rsid w:val="00592EA5"/>
    <w:rsid w:val="00595B52"/>
    <w:rsid w:val="00596808"/>
    <w:rsid w:val="005A3170"/>
    <w:rsid w:val="006635B2"/>
    <w:rsid w:val="00677396"/>
    <w:rsid w:val="0069200F"/>
    <w:rsid w:val="006A65CB"/>
    <w:rsid w:val="006C1530"/>
    <w:rsid w:val="006C3242"/>
    <w:rsid w:val="006C7CC0"/>
    <w:rsid w:val="006E1BAD"/>
    <w:rsid w:val="006E6264"/>
    <w:rsid w:val="006F63F7"/>
    <w:rsid w:val="007025C7"/>
    <w:rsid w:val="00706D7A"/>
    <w:rsid w:val="00722F0D"/>
    <w:rsid w:val="0074420E"/>
    <w:rsid w:val="007666C4"/>
    <w:rsid w:val="00783E26"/>
    <w:rsid w:val="007C3BC7"/>
    <w:rsid w:val="007C3BCD"/>
    <w:rsid w:val="007D4ACF"/>
    <w:rsid w:val="007F0787"/>
    <w:rsid w:val="008054DA"/>
    <w:rsid w:val="00807031"/>
    <w:rsid w:val="00810B7B"/>
    <w:rsid w:val="0082358A"/>
    <w:rsid w:val="008235CD"/>
    <w:rsid w:val="008247DE"/>
    <w:rsid w:val="00840B10"/>
    <w:rsid w:val="008513CB"/>
    <w:rsid w:val="008572B1"/>
    <w:rsid w:val="00873469"/>
    <w:rsid w:val="00877F4B"/>
    <w:rsid w:val="008A7F84"/>
    <w:rsid w:val="0091702E"/>
    <w:rsid w:val="00923B0C"/>
    <w:rsid w:val="00926F44"/>
    <w:rsid w:val="0094021C"/>
    <w:rsid w:val="0094432F"/>
    <w:rsid w:val="00952F86"/>
    <w:rsid w:val="00955348"/>
    <w:rsid w:val="00982B28"/>
    <w:rsid w:val="009D313F"/>
    <w:rsid w:val="00A47A5A"/>
    <w:rsid w:val="00A6683B"/>
    <w:rsid w:val="00A77C90"/>
    <w:rsid w:val="00A9156F"/>
    <w:rsid w:val="00A97F94"/>
    <w:rsid w:val="00AA7EA2"/>
    <w:rsid w:val="00AF6B5C"/>
    <w:rsid w:val="00B03099"/>
    <w:rsid w:val="00B05BC8"/>
    <w:rsid w:val="00B64B47"/>
    <w:rsid w:val="00B916A7"/>
    <w:rsid w:val="00BB0F08"/>
    <w:rsid w:val="00C002DE"/>
    <w:rsid w:val="00C53BF8"/>
    <w:rsid w:val="00C66157"/>
    <w:rsid w:val="00C674FE"/>
    <w:rsid w:val="00C67501"/>
    <w:rsid w:val="00C75633"/>
    <w:rsid w:val="00CE1C08"/>
    <w:rsid w:val="00CE2EE1"/>
    <w:rsid w:val="00CE3349"/>
    <w:rsid w:val="00CE36E5"/>
    <w:rsid w:val="00CF27F5"/>
    <w:rsid w:val="00CF3FFD"/>
    <w:rsid w:val="00D10CCF"/>
    <w:rsid w:val="00D22846"/>
    <w:rsid w:val="00D517B2"/>
    <w:rsid w:val="00D75E48"/>
    <w:rsid w:val="00D76170"/>
    <w:rsid w:val="00D77D0F"/>
    <w:rsid w:val="00DA1CF0"/>
    <w:rsid w:val="00DC1E02"/>
    <w:rsid w:val="00DC24B4"/>
    <w:rsid w:val="00DC5FB0"/>
    <w:rsid w:val="00DD1EBB"/>
    <w:rsid w:val="00DF0E1F"/>
    <w:rsid w:val="00DF16DC"/>
    <w:rsid w:val="00E45211"/>
    <w:rsid w:val="00E473C5"/>
    <w:rsid w:val="00E84438"/>
    <w:rsid w:val="00E92863"/>
    <w:rsid w:val="00EA23C5"/>
    <w:rsid w:val="00EB796D"/>
    <w:rsid w:val="00F058DC"/>
    <w:rsid w:val="00F24FC4"/>
    <w:rsid w:val="00F2676C"/>
    <w:rsid w:val="00F52941"/>
    <w:rsid w:val="00F84366"/>
    <w:rsid w:val="00F85089"/>
    <w:rsid w:val="00F974C5"/>
    <w:rsid w:val="00FA6F46"/>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30DD8"/>
  <w15:chartTrackingRefBased/>
  <w15:docId w15:val="{F8196166-C4C2-406A-99BA-873757C03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5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D517B2"/>
    <w:rPr>
      <w:color w:val="605E5C"/>
      <w:shd w:val="clear" w:color="auto" w:fill="E1DFDD"/>
    </w:rPr>
  </w:style>
  <w:style w:type="character" w:styleId="FollowedHyperlink">
    <w:name w:val="FollowedHyperlink"/>
    <w:basedOn w:val="DefaultParagraphFont"/>
    <w:uiPriority w:val="99"/>
    <w:semiHidden/>
    <w:unhideWhenUsed/>
    <w:rsid w:val="009553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md/T22-TSAG-240122-TD-GEN-0317/en"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tu.int/md/T22-TSAG-R-0004/e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T22-TSAG-240122-TD-GEN-0394/e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itu.int/md/T22-TSB-CIR-0203/en"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tsbtsag@itu.int" TargetMode="Externa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4\ITU-T%20(TSB)\PA_TSB%20CIR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5ACAA-6FD6-4240-BAC0-B9DF3F615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PA_TSB CIRC.dotx</Template>
  <TotalTime>56</TotalTime>
  <Pages>3</Pages>
  <Words>637</Words>
  <Characters>3636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Arabic-AAM</dc:creator>
  <cp:keywords/>
  <dc:description/>
  <cp:lastModifiedBy>Al-Mnini, Lara</cp:lastModifiedBy>
  <cp:revision>8</cp:revision>
  <dcterms:created xsi:type="dcterms:W3CDTF">2024-05-03T10:09:00Z</dcterms:created>
  <dcterms:modified xsi:type="dcterms:W3CDTF">2024-05-08T10:26:00Z</dcterms:modified>
</cp:coreProperties>
</file>