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142" w:type="dxa"/>
        <w:tblLayout w:type="fixed"/>
        <w:tblCellMar>
          <w:left w:w="0" w:type="dxa"/>
          <w:right w:w="0" w:type="dxa"/>
        </w:tblCellMar>
        <w:tblLook w:val="0000" w:firstRow="0" w:lastRow="0" w:firstColumn="0" w:lastColumn="0" w:noHBand="0" w:noVBand="0"/>
      </w:tblPr>
      <w:tblGrid>
        <w:gridCol w:w="150"/>
        <w:gridCol w:w="993"/>
        <w:gridCol w:w="417"/>
        <w:gridCol w:w="3467"/>
        <w:gridCol w:w="4896"/>
        <w:gridCol w:w="433"/>
      </w:tblGrid>
      <w:tr w:rsidR="007B6316" w14:paraId="1CAFF228" w14:textId="77777777" w:rsidTr="005672E1">
        <w:trPr>
          <w:gridBefore w:val="1"/>
          <w:wBefore w:w="150" w:type="dxa"/>
          <w:cantSplit/>
          <w:trHeight w:val="340"/>
        </w:trPr>
        <w:tc>
          <w:tcPr>
            <w:tcW w:w="1410" w:type="dxa"/>
            <w:gridSpan w:val="2"/>
          </w:tcPr>
          <w:p w14:paraId="21FB878D"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94F4434" wp14:editId="30F846D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3"/>
            <w:vAlign w:val="center"/>
          </w:tcPr>
          <w:p w14:paraId="498BE76A" w14:textId="77777777" w:rsidR="007B6316" w:rsidRPr="00081FE5" w:rsidRDefault="007B6316" w:rsidP="00722799">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739BA62" w14:textId="77777777" w:rsidR="007B6316" w:rsidRDefault="007B6316" w:rsidP="00722799">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5672E1" w14:paraId="6195A0A2" w14:textId="77777777" w:rsidTr="005672E1">
        <w:trPr>
          <w:gridBefore w:val="1"/>
          <w:gridAfter w:val="1"/>
          <w:wBefore w:w="150" w:type="dxa"/>
          <w:wAfter w:w="433" w:type="dxa"/>
          <w:cantSplit/>
          <w:trHeight w:val="340"/>
        </w:trPr>
        <w:tc>
          <w:tcPr>
            <w:tcW w:w="993" w:type="dxa"/>
          </w:tcPr>
          <w:p w14:paraId="24E9B6FC" w14:textId="77777777" w:rsidR="007B6316" w:rsidRPr="005672E1" w:rsidRDefault="007B6316" w:rsidP="00303D62">
            <w:pPr>
              <w:tabs>
                <w:tab w:val="left" w:pos="4111"/>
              </w:tabs>
              <w:spacing w:before="10"/>
              <w:ind w:left="57"/>
              <w:rPr>
                <w:rFonts w:cstheme="minorHAnsi"/>
                <w:b/>
                <w:bCs/>
                <w:sz w:val="22"/>
                <w:szCs w:val="22"/>
              </w:rPr>
            </w:pPr>
          </w:p>
        </w:tc>
        <w:tc>
          <w:tcPr>
            <w:tcW w:w="3884" w:type="dxa"/>
            <w:gridSpan w:val="2"/>
          </w:tcPr>
          <w:p w14:paraId="351D9BD8" w14:textId="77777777" w:rsidR="007B6316" w:rsidRPr="005672E1" w:rsidRDefault="007B6316" w:rsidP="00722799">
            <w:pPr>
              <w:tabs>
                <w:tab w:val="left" w:pos="4111"/>
              </w:tabs>
              <w:spacing w:before="0"/>
              <w:ind w:left="57"/>
              <w:rPr>
                <w:rFonts w:cstheme="minorHAnsi"/>
                <w:b/>
                <w:sz w:val="22"/>
                <w:szCs w:val="22"/>
              </w:rPr>
            </w:pPr>
          </w:p>
        </w:tc>
        <w:tc>
          <w:tcPr>
            <w:tcW w:w="4896" w:type="dxa"/>
          </w:tcPr>
          <w:p w14:paraId="4BF06D15" w14:textId="0A7BCFEA" w:rsidR="007B6316" w:rsidRPr="005672E1" w:rsidRDefault="00B14E94" w:rsidP="00722799">
            <w:pPr>
              <w:tabs>
                <w:tab w:val="clear" w:pos="794"/>
                <w:tab w:val="clear" w:pos="1191"/>
                <w:tab w:val="clear" w:pos="1588"/>
                <w:tab w:val="clear" w:pos="1985"/>
                <w:tab w:val="left" w:pos="284"/>
              </w:tabs>
              <w:spacing w:after="120"/>
              <w:ind w:left="284" w:hanging="227"/>
              <w:rPr>
                <w:rFonts w:cstheme="minorHAnsi"/>
                <w:sz w:val="22"/>
                <w:szCs w:val="22"/>
              </w:rPr>
            </w:pPr>
            <w:r w:rsidRPr="005672E1">
              <w:rPr>
                <w:rFonts w:cstheme="minorHAnsi"/>
                <w:sz w:val="22"/>
                <w:szCs w:val="22"/>
                <w:lang w:val="es-ES"/>
              </w:rPr>
              <w:t>Ginebra, 29 de enero de 2024</w:t>
            </w:r>
          </w:p>
        </w:tc>
      </w:tr>
      <w:tr w:rsidR="00F87F74" w:rsidRPr="005672E1" w14:paraId="4ECB42D0" w14:textId="77777777" w:rsidTr="005672E1">
        <w:trPr>
          <w:gridAfter w:val="1"/>
          <w:wAfter w:w="433" w:type="dxa"/>
          <w:cantSplit/>
          <w:trHeight w:val="733"/>
        </w:trPr>
        <w:tc>
          <w:tcPr>
            <w:tcW w:w="1143" w:type="dxa"/>
            <w:gridSpan w:val="2"/>
          </w:tcPr>
          <w:p w14:paraId="735CF12C" w14:textId="165EA3E5" w:rsidR="00F87F74" w:rsidRPr="005672E1" w:rsidRDefault="00F87F74" w:rsidP="005672E1">
            <w:pPr>
              <w:tabs>
                <w:tab w:val="left" w:pos="4111"/>
              </w:tabs>
              <w:spacing w:before="10"/>
              <w:ind w:left="135"/>
              <w:rPr>
                <w:rFonts w:cstheme="minorHAnsi"/>
                <w:sz w:val="22"/>
                <w:szCs w:val="22"/>
              </w:rPr>
            </w:pPr>
            <w:r w:rsidRPr="005672E1">
              <w:rPr>
                <w:rFonts w:cstheme="minorHAnsi"/>
                <w:sz w:val="22"/>
                <w:szCs w:val="22"/>
              </w:rPr>
              <w:t>Ref.:</w:t>
            </w:r>
          </w:p>
        </w:tc>
        <w:tc>
          <w:tcPr>
            <w:tcW w:w="3884" w:type="dxa"/>
            <w:gridSpan w:val="2"/>
          </w:tcPr>
          <w:p w14:paraId="4F9D1C0B" w14:textId="141F7E9C" w:rsidR="00F87F74" w:rsidRPr="005672E1" w:rsidRDefault="00F87F74" w:rsidP="00722799">
            <w:pPr>
              <w:tabs>
                <w:tab w:val="left" w:pos="4111"/>
              </w:tabs>
              <w:spacing w:before="0"/>
              <w:ind w:left="57"/>
              <w:rPr>
                <w:rFonts w:cstheme="minorHAnsi"/>
                <w:b/>
                <w:sz w:val="22"/>
                <w:szCs w:val="22"/>
                <w:lang w:val="en-GB"/>
              </w:rPr>
            </w:pPr>
            <w:r w:rsidRPr="005672E1">
              <w:rPr>
                <w:rFonts w:cstheme="minorHAnsi"/>
                <w:b/>
                <w:sz w:val="22"/>
                <w:szCs w:val="22"/>
                <w:lang w:val="en-GB"/>
              </w:rPr>
              <w:t>Circular TSB 172</w:t>
            </w:r>
          </w:p>
          <w:p w14:paraId="7DEF98C5" w14:textId="49A95C78" w:rsidR="00F87F74" w:rsidRPr="005672E1" w:rsidRDefault="00F87F74" w:rsidP="00722799">
            <w:pPr>
              <w:tabs>
                <w:tab w:val="left" w:pos="4111"/>
              </w:tabs>
              <w:spacing w:before="0"/>
              <w:ind w:left="57"/>
              <w:rPr>
                <w:rFonts w:cstheme="minorHAnsi"/>
                <w:b/>
                <w:sz w:val="22"/>
                <w:szCs w:val="22"/>
                <w:lang w:val="en-GB"/>
              </w:rPr>
            </w:pPr>
            <w:r w:rsidRPr="005672E1">
              <w:rPr>
                <w:rFonts w:cstheme="minorHAnsi"/>
                <w:sz w:val="22"/>
                <w:szCs w:val="22"/>
                <w:lang w:val="en-GB"/>
              </w:rPr>
              <w:t>TSB Events/RC-MTA</w:t>
            </w:r>
          </w:p>
        </w:tc>
        <w:tc>
          <w:tcPr>
            <w:tcW w:w="4896" w:type="dxa"/>
            <w:vMerge w:val="restart"/>
          </w:tcPr>
          <w:p w14:paraId="092CF15D" w14:textId="77777777" w:rsidR="00F87F74" w:rsidRPr="005672E1" w:rsidRDefault="00F87F74" w:rsidP="00722799">
            <w:pPr>
              <w:pStyle w:val="Tabletext0"/>
              <w:ind w:left="283" w:hanging="283"/>
              <w:rPr>
                <w:rFonts w:cstheme="minorHAnsi"/>
                <w:b/>
                <w:bCs/>
                <w:szCs w:val="22"/>
              </w:rPr>
            </w:pPr>
            <w:bookmarkStart w:id="0" w:name="Addressee_S"/>
            <w:bookmarkEnd w:id="0"/>
            <w:r w:rsidRPr="005672E1">
              <w:rPr>
                <w:rFonts w:cstheme="minorHAnsi"/>
                <w:b/>
                <w:bCs/>
                <w:szCs w:val="22"/>
                <w:lang w:val="es-ES"/>
              </w:rPr>
              <w:t>A:</w:t>
            </w:r>
          </w:p>
          <w:p w14:paraId="1C3441A6" w14:textId="6CFACBFF" w:rsidR="00F87F74" w:rsidRPr="005672E1" w:rsidRDefault="009657B6" w:rsidP="005672E1">
            <w:pPr>
              <w:pStyle w:val="Tabletext0"/>
              <w:numPr>
                <w:ilvl w:val="0"/>
                <w:numId w:val="5"/>
              </w:numPr>
              <w:tabs>
                <w:tab w:val="clear" w:pos="567"/>
                <w:tab w:val="left" w:pos="497"/>
                <w:tab w:val="left" w:pos="1871"/>
              </w:tabs>
              <w:spacing w:before="0"/>
              <w:ind w:hanging="648"/>
              <w:rPr>
                <w:rFonts w:cstheme="minorHAnsi"/>
                <w:szCs w:val="22"/>
                <w:lang w:val="es-ES"/>
              </w:rPr>
            </w:pPr>
            <w:r w:rsidRPr="005672E1">
              <w:rPr>
                <w:rFonts w:cstheme="minorHAnsi"/>
                <w:szCs w:val="22"/>
                <w:lang w:val="es-ES"/>
              </w:rPr>
              <w:t xml:space="preserve">A </w:t>
            </w:r>
            <w:r w:rsidR="00F87F74" w:rsidRPr="005672E1">
              <w:rPr>
                <w:rFonts w:cstheme="minorHAnsi"/>
                <w:szCs w:val="22"/>
                <w:lang w:val="es-ES"/>
              </w:rPr>
              <w:t>las Administraciones de los Estados Miembros de la Unión;</w:t>
            </w:r>
          </w:p>
          <w:p w14:paraId="1BC72E03" w14:textId="776D9B23" w:rsidR="00F87F74" w:rsidRPr="005672E1" w:rsidRDefault="009657B6" w:rsidP="005672E1">
            <w:pPr>
              <w:pStyle w:val="Tabletext0"/>
              <w:numPr>
                <w:ilvl w:val="0"/>
                <w:numId w:val="5"/>
              </w:numPr>
              <w:tabs>
                <w:tab w:val="clear" w:pos="567"/>
                <w:tab w:val="left" w:pos="497"/>
                <w:tab w:val="left" w:pos="1871"/>
              </w:tabs>
              <w:spacing w:before="0"/>
              <w:ind w:hanging="648"/>
              <w:rPr>
                <w:rFonts w:cstheme="minorHAnsi"/>
                <w:color w:val="000000"/>
                <w:szCs w:val="22"/>
                <w:lang w:val="es-ES"/>
              </w:rPr>
            </w:pPr>
            <w:r w:rsidRPr="005672E1">
              <w:rPr>
                <w:rFonts w:cstheme="minorHAnsi"/>
                <w:szCs w:val="22"/>
                <w:lang w:val="es-ES"/>
              </w:rPr>
              <w:t xml:space="preserve">A </w:t>
            </w:r>
            <w:r w:rsidR="00F87F74" w:rsidRPr="005672E1">
              <w:rPr>
                <w:rFonts w:cstheme="minorHAnsi"/>
                <w:szCs w:val="22"/>
                <w:lang w:val="es-ES"/>
              </w:rPr>
              <w:t>los Miembros de Sector del UIT-T;</w:t>
            </w:r>
          </w:p>
          <w:p w14:paraId="433CDF1D" w14:textId="7826C8B5" w:rsidR="00F87F74" w:rsidRPr="005672E1" w:rsidRDefault="009657B6" w:rsidP="005672E1">
            <w:pPr>
              <w:pStyle w:val="Tabletext0"/>
              <w:numPr>
                <w:ilvl w:val="0"/>
                <w:numId w:val="5"/>
              </w:numPr>
              <w:tabs>
                <w:tab w:val="clear" w:pos="567"/>
                <w:tab w:val="left" w:pos="497"/>
                <w:tab w:val="left" w:pos="1871"/>
              </w:tabs>
              <w:spacing w:before="0"/>
              <w:ind w:hanging="648"/>
              <w:rPr>
                <w:rFonts w:cstheme="minorHAnsi"/>
                <w:color w:val="000000"/>
                <w:szCs w:val="22"/>
                <w:lang w:val="es-ES"/>
              </w:rPr>
            </w:pPr>
            <w:r w:rsidRPr="005672E1">
              <w:rPr>
                <w:rFonts w:cstheme="minorHAnsi"/>
                <w:szCs w:val="22"/>
                <w:lang w:val="es-ES"/>
              </w:rPr>
              <w:t xml:space="preserve">A </w:t>
            </w:r>
            <w:r w:rsidR="00F87F74" w:rsidRPr="005672E1">
              <w:rPr>
                <w:rFonts w:cstheme="minorHAnsi"/>
                <w:szCs w:val="22"/>
                <w:lang w:val="es-ES"/>
              </w:rPr>
              <w:t>los Asociados del UIT-T;</w:t>
            </w:r>
          </w:p>
          <w:p w14:paraId="114833F4" w14:textId="1E17ECB7" w:rsidR="00F87F74" w:rsidRPr="005672E1" w:rsidRDefault="009657B6" w:rsidP="005672E1">
            <w:pPr>
              <w:pStyle w:val="Tabletext0"/>
              <w:numPr>
                <w:ilvl w:val="0"/>
                <w:numId w:val="5"/>
              </w:numPr>
              <w:tabs>
                <w:tab w:val="clear" w:pos="567"/>
                <w:tab w:val="left" w:pos="497"/>
                <w:tab w:val="left" w:pos="1871"/>
              </w:tabs>
              <w:spacing w:before="0"/>
              <w:ind w:hanging="648"/>
              <w:rPr>
                <w:rFonts w:cstheme="minorHAnsi"/>
                <w:color w:val="000000"/>
                <w:szCs w:val="22"/>
                <w:lang w:val="es-ES"/>
              </w:rPr>
            </w:pPr>
            <w:r w:rsidRPr="005672E1">
              <w:rPr>
                <w:rFonts w:cstheme="minorHAnsi"/>
                <w:szCs w:val="22"/>
                <w:lang w:val="es-ES"/>
              </w:rPr>
              <w:t xml:space="preserve">A </w:t>
            </w:r>
            <w:r w:rsidR="00F87F74" w:rsidRPr="005672E1">
              <w:rPr>
                <w:rFonts w:cstheme="minorHAnsi"/>
                <w:szCs w:val="22"/>
                <w:lang w:val="es-ES"/>
              </w:rPr>
              <w:t>las Instituciones Académicas de la UIT</w:t>
            </w:r>
          </w:p>
          <w:p w14:paraId="19FDD802" w14:textId="77777777" w:rsidR="00F87F74" w:rsidRPr="005672E1" w:rsidRDefault="00F87F74" w:rsidP="00722799">
            <w:pPr>
              <w:pStyle w:val="Tabletext0"/>
              <w:rPr>
                <w:rFonts w:cstheme="minorHAnsi"/>
                <w:b/>
                <w:szCs w:val="22"/>
              </w:rPr>
            </w:pPr>
            <w:r w:rsidRPr="005672E1">
              <w:rPr>
                <w:rFonts w:cstheme="minorHAnsi"/>
                <w:b/>
                <w:bCs/>
                <w:szCs w:val="22"/>
                <w:lang w:val="es-ES"/>
              </w:rPr>
              <w:t>Copia:</w:t>
            </w:r>
          </w:p>
          <w:p w14:paraId="3A547954" w14:textId="45A31B32" w:rsidR="00F87F74" w:rsidRPr="005672E1" w:rsidRDefault="009657B6" w:rsidP="005672E1">
            <w:pPr>
              <w:pStyle w:val="Tabletext0"/>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ind w:left="355" w:hanging="283"/>
              <w:rPr>
                <w:rFonts w:cstheme="minorHAnsi"/>
                <w:szCs w:val="22"/>
                <w:lang w:val="es-ES"/>
              </w:rPr>
            </w:pPr>
            <w:r w:rsidRPr="005672E1">
              <w:rPr>
                <w:rFonts w:cstheme="minorHAnsi"/>
                <w:szCs w:val="22"/>
                <w:lang w:val="es-ES"/>
              </w:rPr>
              <w:t>A</w:t>
            </w:r>
            <w:r w:rsidR="00F87F74" w:rsidRPr="005672E1">
              <w:rPr>
                <w:rFonts w:cstheme="minorHAnsi"/>
                <w:szCs w:val="22"/>
                <w:lang w:val="es-ES"/>
              </w:rPr>
              <w:t xml:space="preserve"> los </w:t>
            </w:r>
            <w:proofErr w:type="gramStart"/>
            <w:r w:rsidR="00F87F74" w:rsidRPr="005672E1">
              <w:rPr>
                <w:rFonts w:cstheme="minorHAnsi"/>
                <w:szCs w:val="22"/>
                <w:lang w:val="es-ES"/>
              </w:rPr>
              <w:t>Presidentes</w:t>
            </w:r>
            <w:proofErr w:type="gramEnd"/>
            <w:r w:rsidR="00F87F74" w:rsidRPr="005672E1">
              <w:rPr>
                <w:rFonts w:cstheme="minorHAnsi"/>
                <w:szCs w:val="22"/>
                <w:lang w:val="es-ES"/>
              </w:rPr>
              <w:t xml:space="preserve"> y Vicepresidentes de las Comisiones de Estudio del UIT-T;</w:t>
            </w:r>
          </w:p>
          <w:p w14:paraId="55BF529F" w14:textId="31CE1691" w:rsidR="00F87F74" w:rsidRPr="005672E1" w:rsidRDefault="009657B6" w:rsidP="005672E1">
            <w:pPr>
              <w:pStyle w:val="Tabletext0"/>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ind w:left="355" w:hanging="283"/>
              <w:rPr>
                <w:rFonts w:cstheme="minorHAnsi"/>
                <w:szCs w:val="22"/>
                <w:lang w:val="es-ES"/>
              </w:rPr>
            </w:pPr>
            <w:r w:rsidRPr="005672E1">
              <w:rPr>
                <w:rFonts w:cstheme="minorHAnsi"/>
                <w:szCs w:val="22"/>
                <w:lang w:val="es-ES"/>
              </w:rPr>
              <w:t>A</w:t>
            </w:r>
            <w:r w:rsidR="00F87F74" w:rsidRPr="005672E1">
              <w:rPr>
                <w:rFonts w:cstheme="minorHAnsi"/>
                <w:szCs w:val="22"/>
                <w:lang w:val="es-ES"/>
              </w:rPr>
              <w:t xml:space="preserve">l </w:t>
            </w:r>
            <w:proofErr w:type="gramStart"/>
            <w:r w:rsidR="00F87F74" w:rsidRPr="005672E1">
              <w:rPr>
                <w:rFonts w:cstheme="minorHAnsi"/>
                <w:szCs w:val="22"/>
                <w:lang w:val="es-ES"/>
              </w:rPr>
              <w:t>Director</w:t>
            </w:r>
            <w:proofErr w:type="gramEnd"/>
            <w:r w:rsidR="00F87F74" w:rsidRPr="005672E1">
              <w:rPr>
                <w:rFonts w:cstheme="minorHAnsi"/>
                <w:szCs w:val="22"/>
                <w:lang w:val="es-ES"/>
              </w:rPr>
              <w:t xml:space="preserve"> de la Oficina de Desarrollo de las Telecomunicaciones;</w:t>
            </w:r>
          </w:p>
          <w:p w14:paraId="27D18610" w14:textId="3F297801" w:rsidR="00F87F74" w:rsidRPr="005672E1" w:rsidRDefault="009657B6" w:rsidP="005672E1">
            <w:pPr>
              <w:pStyle w:val="Tabletext0"/>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ind w:left="355" w:hanging="283"/>
              <w:rPr>
                <w:rFonts w:cstheme="minorHAnsi"/>
                <w:szCs w:val="22"/>
                <w:lang w:val="es-ES"/>
              </w:rPr>
            </w:pPr>
            <w:r w:rsidRPr="005672E1">
              <w:rPr>
                <w:rFonts w:cstheme="minorHAnsi"/>
                <w:szCs w:val="22"/>
                <w:lang w:val="es-ES"/>
              </w:rPr>
              <w:t>A</w:t>
            </w:r>
            <w:r w:rsidR="00F87F74" w:rsidRPr="005672E1">
              <w:rPr>
                <w:rFonts w:cstheme="minorHAnsi"/>
                <w:szCs w:val="22"/>
                <w:lang w:val="es-ES"/>
              </w:rPr>
              <w:t xml:space="preserve">l </w:t>
            </w:r>
            <w:proofErr w:type="gramStart"/>
            <w:r w:rsidR="00F87F74" w:rsidRPr="005672E1">
              <w:rPr>
                <w:rFonts w:cstheme="minorHAnsi"/>
                <w:szCs w:val="22"/>
                <w:lang w:val="es-ES"/>
              </w:rPr>
              <w:t>Director</w:t>
            </w:r>
            <w:proofErr w:type="gramEnd"/>
            <w:r w:rsidR="00F87F74" w:rsidRPr="005672E1">
              <w:rPr>
                <w:rFonts w:cstheme="minorHAnsi"/>
                <w:szCs w:val="22"/>
                <w:lang w:val="es-ES"/>
              </w:rPr>
              <w:t xml:space="preserve"> de la Oficina de Radiocomunicaciones</w:t>
            </w:r>
          </w:p>
          <w:p w14:paraId="2C10E7A9" w14:textId="170C5610" w:rsidR="00F87F74" w:rsidRPr="005672E1" w:rsidRDefault="009657B6" w:rsidP="005672E1">
            <w:pPr>
              <w:pStyle w:val="Tabletext0"/>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ind w:left="355" w:hanging="283"/>
              <w:rPr>
                <w:rFonts w:cstheme="minorHAnsi"/>
                <w:szCs w:val="22"/>
                <w:lang w:val="es-ES"/>
              </w:rPr>
            </w:pPr>
            <w:r w:rsidRPr="005672E1">
              <w:rPr>
                <w:rFonts w:cstheme="minorHAnsi"/>
                <w:szCs w:val="22"/>
                <w:lang w:val="es-ES"/>
              </w:rPr>
              <w:t>A</w:t>
            </w:r>
            <w:r w:rsidR="00F87F74" w:rsidRPr="005672E1">
              <w:rPr>
                <w:rFonts w:cstheme="minorHAnsi"/>
                <w:szCs w:val="22"/>
                <w:lang w:val="es-ES"/>
              </w:rPr>
              <w:t xml:space="preserve"> la Oficina Regional de la UIT para la Región Árabe, El Cairo (Egipto)</w:t>
            </w:r>
          </w:p>
          <w:p w14:paraId="55AFA7F5" w14:textId="0A60B01A" w:rsidR="00F87F74" w:rsidRPr="005672E1" w:rsidRDefault="009657B6" w:rsidP="005672E1">
            <w:pPr>
              <w:pStyle w:val="Tabletext0"/>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ind w:left="355" w:hanging="283"/>
              <w:rPr>
                <w:rFonts w:cstheme="minorHAnsi"/>
                <w:szCs w:val="22"/>
              </w:rPr>
            </w:pPr>
            <w:r w:rsidRPr="005672E1">
              <w:rPr>
                <w:rFonts w:cstheme="minorHAnsi"/>
                <w:szCs w:val="22"/>
                <w:lang w:val="es-ES"/>
              </w:rPr>
              <w:t>A</w:t>
            </w:r>
            <w:r w:rsidR="00F87F74" w:rsidRPr="005672E1">
              <w:rPr>
                <w:rFonts w:cstheme="minorHAnsi"/>
                <w:szCs w:val="22"/>
                <w:lang w:val="es-ES"/>
              </w:rPr>
              <w:t xml:space="preserve">l </w:t>
            </w:r>
            <w:proofErr w:type="gramStart"/>
            <w:r w:rsidR="00F87F74" w:rsidRPr="005672E1">
              <w:rPr>
                <w:rFonts w:cstheme="minorHAnsi"/>
                <w:szCs w:val="22"/>
                <w:lang w:val="es-ES"/>
              </w:rPr>
              <w:t>Director</w:t>
            </w:r>
            <w:proofErr w:type="gramEnd"/>
            <w:r w:rsidR="00F87F74" w:rsidRPr="005672E1">
              <w:rPr>
                <w:rFonts w:cstheme="minorHAnsi"/>
                <w:szCs w:val="22"/>
                <w:lang w:val="es-ES"/>
              </w:rPr>
              <w:t xml:space="preserve"> de la Oficina Regional de la UIT para África, Addis Abeba (Etiopía)</w:t>
            </w:r>
          </w:p>
        </w:tc>
      </w:tr>
      <w:tr w:rsidR="00F87F74" w:rsidRPr="005672E1" w14:paraId="3599FB0A" w14:textId="77777777" w:rsidTr="005672E1">
        <w:trPr>
          <w:gridAfter w:val="1"/>
          <w:wAfter w:w="433" w:type="dxa"/>
          <w:cantSplit/>
          <w:trHeight w:val="340"/>
        </w:trPr>
        <w:tc>
          <w:tcPr>
            <w:tcW w:w="1143" w:type="dxa"/>
            <w:gridSpan w:val="2"/>
          </w:tcPr>
          <w:p w14:paraId="5FADB9E1" w14:textId="64D251F2" w:rsidR="00F87F74" w:rsidRPr="005672E1" w:rsidRDefault="00F87F74" w:rsidP="005672E1">
            <w:pPr>
              <w:tabs>
                <w:tab w:val="left" w:pos="4111"/>
              </w:tabs>
              <w:spacing w:before="10"/>
              <w:ind w:left="135"/>
              <w:rPr>
                <w:rFonts w:cstheme="minorHAnsi"/>
                <w:sz w:val="22"/>
                <w:szCs w:val="22"/>
              </w:rPr>
            </w:pPr>
            <w:r w:rsidRPr="005672E1">
              <w:rPr>
                <w:rFonts w:cstheme="minorHAnsi"/>
                <w:sz w:val="22"/>
                <w:szCs w:val="22"/>
                <w:lang w:val="es-ES"/>
              </w:rPr>
              <w:t>Personas de contacto:</w:t>
            </w:r>
          </w:p>
        </w:tc>
        <w:tc>
          <w:tcPr>
            <w:tcW w:w="3884" w:type="dxa"/>
            <w:gridSpan w:val="2"/>
          </w:tcPr>
          <w:p w14:paraId="312BB2A8" w14:textId="77777777" w:rsidR="00F87F74" w:rsidRPr="005672E1" w:rsidRDefault="00F87F74" w:rsidP="00722799">
            <w:pPr>
              <w:pStyle w:val="Tabletext0"/>
              <w:rPr>
                <w:rFonts w:cstheme="minorHAnsi"/>
                <w:b/>
                <w:bCs/>
                <w:szCs w:val="22"/>
                <w:lang w:val="en-GB"/>
              </w:rPr>
            </w:pPr>
            <w:r w:rsidRPr="005672E1">
              <w:rPr>
                <w:rFonts w:cstheme="minorHAnsi"/>
                <w:b/>
                <w:bCs/>
                <w:szCs w:val="22"/>
                <w:lang w:val="en-GB"/>
              </w:rPr>
              <w:t>Robert Clark</w:t>
            </w:r>
          </w:p>
          <w:p w14:paraId="26C0D2F1" w14:textId="5D94D13B" w:rsidR="00F87F74" w:rsidRPr="005672E1" w:rsidRDefault="00F87F74" w:rsidP="00722799">
            <w:pPr>
              <w:pStyle w:val="Tabletext0"/>
              <w:rPr>
                <w:rFonts w:cstheme="minorHAnsi"/>
                <w:b/>
                <w:iCs/>
                <w:szCs w:val="22"/>
                <w:lang w:val="en-GB"/>
              </w:rPr>
            </w:pPr>
            <w:r w:rsidRPr="005672E1">
              <w:rPr>
                <w:rFonts w:cstheme="minorHAnsi"/>
                <w:b/>
                <w:bCs/>
                <w:szCs w:val="22"/>
                <w:lang w:val="en-GB"/>
              </w:rPr>
              <w:t>May Thi Aye</w:t>
            </w:r>
          </w:p>
        </w:tc>
        <w:tc>
          <w:tcPr>
            <w:tcW w:w="4896" w:type="dxa"/>
            <w:vMerge/>
          </w:tcPr>
          <w:p w14:paraId="4E693819" w14:textId="77777777" w:rsidR="00F87F74" w:rsidRPr="005672E1" w:rsidRDefault="00F87F74" w:rsidP="00722799">
            <w:pPr>
              <w:tabs>
                <w:tab w:val="clear" w:pos="794"/>
                <w:tab w:val="clear" w:pos="1191"/>
                <w:tab w:val="clear" w:pos="1588"/>
                <w:tab w:val="clear" w:pos="1985"/>
                <w:tab w:val="left" w:pos="284"/>
              </w:tabs>
              <w:spacing w:before="0"/>
              <w:ind w:left="284" w:hanging="227"/>
              <w:rPr>
                <w:rFonts w:cstheme="minorHAnsi"/>
                <w:sz w:val="22"/>
                <w:szCs w:val="22"/>
                <w:lang w:val="en-GB"/>
              </w:rPr>
            </w:pPr>
          </w:p>
        </w:tc>
      </w:tr>
      <w:tr w:rsidR="00F87F74" w:rsidRPr="005672E1" w14:paraId="48C24F5C" w14:textId="77777777" w:rsidTr="005672E1">
        <w:trPr>
          <w:gridAfter w:val="1"/>
          <w:wAfter w:w="433" w:type="dxa"/>
          <w:cantSplit/>
        </w:trPr>
        <w:tc>
          <w:tcPr>
            <w:tcW w:w="1143" w:type="dxa"/>
            <w:gridSpan w:val="2"/>
          </w:tcPr>
          <w:p w14:paraId="66CEF31C" w14:textId="77777777" w:rsidR="00F87F74" w:rsidRPr="005672E1" w:rsidRDefault="00F87F74" w:rsidP="005672E1">
            <w:pPr>
              <w:tabs>
                <w:tab w:val="left" w:pos="4111"/>
              </w:tabs>
              <w:spacing w:before="10"/>
              <w:ind w:left="135"/>
              <w:rPr>
                <w:rFonts w:cstheme="minorHAnsi"/>
                <w:sz w:val="22"/>
                <w:szCs w:val="22"/>
              </w:rPr>
            </w:pPr>
            <w:r w:rsidRPr="005672E1">
              <w:rPr>
                <w:rFonts w:cstheme="minorHAnsi"/>
                <w:sz w:val="22"/>
                <w:szCs w:val="22"/>
              </w:rPr>
              <w:t>Tel.:</w:t>
            </w:r>
          </w:p>
        </w:tc>
        <w:tc>
          <w:tcPr>
            <w:tcW w:w="3884" w:type="dxa"/>
            <w:gridSpan w:val="2"/>
          </w:tcPr>
          <w:p w14:paraId="2C51794D" w14:textId="1F7A6441" w:rsidR="00F87F74" w:rsidRPr="005672E1" w:rsidRDefault="00F87F74" w:rsidP="00722799">
            <w:pPr>
              <w:tabs>
                <w:tab w:val="left" w:pos="4111"/>
              </w:tabs>
              <w:spacing w:before="0"/>
              <w:ind w:left="57"/>
              <w:rPr>
                <w:rStyle w:val="Hyperlink"/>
                <w:rFonts w:cstheme="minorHAnsi"/>
                <w:sz w:val="22"/>
                <w:szCs w:val="22"/>
              </w:rPr>
            </w:pPr>
            <w:r w:rsidRPr="005672E1">
              <w:rPr>
                <w:rFonts w:cstheme="minorHAnsi"/>
                <w:sz w:val="22"/>
                <w:szCs w:val="22"/>
              </w:rPr>
              <w:t>+41 22 730 5415</w:t>
            </w:r>
          </w:p>
        </w:tc>
        <w:tc>
          <w:tcPr>
            <w:tcW w:w="4896" w:type="dxa"/>
            <w:vMerge/>
          </w:tcPr>
          <w:p w14:paraId="4CA749AD" w14:textId="77777777" w:rsidR="00F87F74" w:rsidRPr="005672E1" w:rsidRDefault="00F87F74" w:rsidP="00722799">
            <w:pPr>
              <w:tabs>
                <w:tab w:val="left" w:pos="226"/>
                <w:tab w:val="left" w:pos="510"/>
              </w:tabs>
              <w:spacing w:before="0"/>
              <w:ind w:left="226" w:hanging="169"/>
              <w:rPr>
                <w:rFonts w:cstheme="minorHAnsi"/>
                <w:b/>
                <w:sz w:val="22"/>
                <w:szCs w:val="22"/>
              </w:rPr>
            </w:pPr>
          </w:p>
        </w:tc>
      </w:tr>
      <w:tr w:rsidR="00F87F74" w:rsidRPr="005672E1" w14:paraId="4631228A" w14:textId="77777777" w:rsidTr="005672E1">
        <w:trPr>
          <w:gridAfter w:val="1"/>
          <w:wAfter w:w="433" w:type="dxa"/>
          <w:cantSplit/>
        </w:trPr>
        <w:tc>
          <w:tcPr>
            <w:tcW w:w="1143" w:type="dxa"/>
            <w:gridSpan w:val="2"/>
          </w:tcPr>
          <w:p w14:paraId="616B4A45" w14:textId="77777777" w:rsidR="00F87F74" w:rsidRPr="005672E1" w:rsidRDefault="00F87F74" w:rsidP="005672E1">
            <w:pPr>
              <w:tabs>
                <w:tab w:val="left" w:pos="4111"/>
              </w:tabs>
              <w:spacing w:before="10"/>
              <w:ind w:left="135"/>
              <w:rPr>
                <w:rFonts w:cstheme="minorHAnsi"/>
                <w:sz w:val="22"/>
                <w:szCs w:val="22"/>
              </w:rPr>
            </w:pPr>
            <w:r w:rsidRPr="005672E1">
              <w:rPr>
                <w:rFonts w:cstheme="minorHAnsi"/>
                <w:sz w:val="22"/>
                <w:szCs w:val="22"/>
              </w:rPr>
              <w:t>Fax:</w:t>
            </w:r>
          </w:p>
        </w:tc>
        <w:tc>
          <w:tcPr>
            <w:tcW w:w="3884" w:type="dxa"/>
            <w:gridSpan w:val="2"/>
          </w:tcPr>
          <w:p w14:paraId="6C0D2EB4" w14:textId="77777777" w:rsidR="00F87F74" w:rsidRPr="005672E1" w:rsidRDefault="00F87F74" w:rsidP="00722799">
            <w:pPr>
              <w:tabs>
                <w:tab w:val="left" w:pos="4111"/>
              </w:tabs>
              <w:spacing w:before="0"/>
              <w:ind w:left="57"/>
              <w:rPr>
                <w:rStyle w:val="Hyperlink"/>
                <w:rFonts w:cstheme="minorHAnsi"/>
                <w:sz w:val="22"/>
                <w:szCs w:val="22"/>
              </w:rPr>
            </w:pPr>
            <w:r w:rsidRPr="005672E1">
              <w:rPr>
                <w:rFonts w:cstheme="minorHAnsi"/>
                <w:sz w:val="22"/>
                <w:szCs w:val="22"/>
              </w:rPr>
              <w:t>+41 22 730 5853</w:t>
            </w:r>
          </w:p>
        </w:tc>
        <w:tc>
          <w:tcPr>
            <w:tcW w:w="4896" w:type="dxa"/>
            <w:vMerge/>
          </w:tcPr>
          <w:p w14:paraId="50C58FF9" w14:textId="77777777" w:rsidR="00F87F74" w:rsidRPr="005672E1" w:rsidRDefault="00F87F74" w:rsidP="00722799">
            <w:pPr>
              <w:tabs>
                <w:tab w:val="left" w:pos="226"/>
                <w:tab w:val="left" w:pos="510"/>
              </w:tabs>
              <w:spacing w:before="0"/>
              <w:ind w:left="226" w:hanging="169"/>
              <w:rPr>
                <w:rFonts w:cstheme="minorHAnsi"/>
                <w:b/>
                <w:sz w:val="22"/>
                <w:szCs w:val="22"/>
              </w:rPr>
            </w:pPr>
          </w:p>
        </w:tc>
      </w:tr>
      <w:tr w:rsidR="00F87F74" w:rsidRPr="005672E1" w14:paraId="70B1B192" w14:textId="77777777" w:rsidTr="005672E1">
        <w:trPr>
          <w:gridAfter w:val="1"/>
          <w:wAfter w:w="433" w:type="dxa"/>
          <w:cantSplit/>
          <w:trHeight w:val="3044"/>
        </w:trPr>
        <w:tc>
          <w:tcPr>
            <w:tcW w:w="1143" w:type="dxa"/>
            <w:gridSpan w:val="2"/>
          </w:tcPr>
          <w:p w14:paraId="6606F53A" w14:textId="77777777" w:rsidR="00F87F74" w:rsidRPr="005672E1" w:rsidRDefault="00F87F74" w:rsidP="005672E1">
            <w:pPr>
              <w:tabs>
                <w:tab w:val="left" w:pos="4111"/>
              </w:tabs>
              <w:spacing w:before="10"/>
              <w:ind w:left="135"/>
              <w:rPr>
                <w:rFonts w:cstheme="minorHAnsi"/>
                <w:sz w:val="22"/>
                <w:szCs w:val="22"/>
              </w:rPr>
            </w:pPr>
            <w:r w:rsidRPr="005672E1">
              <w:rPr>
                <w:rFonts w:cstheme="minorHAnsi"/>
                <w:sz w:val="22"/>
                <w:szCs w:val="22"/>
              </w:rPr>
              <w:t>Correo-e:</w:t>
            </w:r>
          </w:p>
        </w:tc>
        <w:tc>
          <w:tcPr>
            <w:tcW w:w="3884" w:type="dxa"/>
            <w:gridSpan w:val="2"/>
          </w:tcPr>
          <w:p w14:paraId="7C1C822A" w14:textId="77777777" w:rsidR="00F87F74" w:rsidRPr="005672E1" w:rsidRDefault="00811D9C" w:rsidP="00722799">
            <w:pPr>
              <w:pStyle w:val="Tabletext0"/>
              <w:rPr>
                <w:rFonts w:cstheme="minorHAnsi"/>
                <w:szCs w:val="22"/>
              </w:rPr>
            </w:pPr>
            <w:hyperlink r:id="rId9" w:history="1">
              <w:r w:rsidR="00F87F74" w:rsidRPr="005672E1">
                <w:rPr>
                  <w:rStyle w:val="Hyperlink"/>
                  <w:rFonts w:cstheme="minorHAnsi"/>
                  <w:szCs w:val="22"/>
                </w:rPr>
                <w:t>tsbsg2@itu.int</w:t>
              </w:r>
            </w:hyperlink>
            <w:r w:rsidR="00F87F74" w:rsidRPr="005672E1">
              <w:rPr>
                <w:rFonts w:cstheme="minorHAnsi"/>
                <w:szCs w:val="22"/>
              </w:rPr>
              <w:t xml:space="preserve"> </w:t>
            </w:r>
          </w:p>
          <w:p w14:paraId="5A0D660D" w14:textId="77777777" w:rsidR="001C3A15" w:rsidRPr="005672E1" w:rsidRDefault="00811D9C" w:rsidP="00722799">
            <w:pPr>
              <w:pStyle w:val="Tabletext0"/>
              <w:rPr>
                <w:rStyle w:val="Hyperlink"/>
                <w:rFonts w:cstheme="minorHAnsi"/>
                <w:szCs w:val="22"/>
              </w:rPr>
            </w:pPr>
            <w:hyperlink r:id="rId10" w:history="1">
              <w:r w:rsidR="00F87F74" w:rsidRPr="005672E1">
                <w:rPr>
                  <w:rStyle w:val="Hyperlink"/>
                  <w:rFonts w:cstheme="minorHAnsi"/>
                  <w:szCs w:val="22"/>
                </w:rPr>
                <w:t>tsbsg3@itu.int</w:t>
              </w:r>
            </w:hyperlink>
            <w:r w:rsidR="001C3A15" w:rsidRPr="005672E1">
              <w:rPr>
                <w:rStyle w:val="Hyperlink"/>
                <w:rFonts w:cstheme="minorHAnsi"/>
                <w:szCs w:val="22"/>
              </w:rPr>
              <w:t xml:space="preserve"> </w:t>
            </w:r>
          </w:p>
          <w:p w14:paraId="33FA9DE5" w14:textId="6FE65A69" w:rsidR="00F87F74" w:rsidRPr="005672E1" w:rsidRDefault="00811D9C" w:rsidP="00722799">
            <w:pPr>
              <w:pStyle w:val="Tabletext0"/>
              <w:rPr>
                <w:rFonts w:cstheme="minorHAnsi"/>
                <w:szCs w:val="22"/>
              </w:rPr>
            </w:pPr>
            <w:hyperlink r:id="rId11" w:history="1">
              <w:r w:rsidR="001C3A15" w:rsidRPr="005672E1">
                <w:rPr>
                  <w:rStyle w:val="Hyperlink"/>
                  <w:rFonts w:cstheme="minorHAnsi"/>
                  <w:szCs w:val="22"/>
                </w:rPr>
                <w:t>tsbevents@itu.int</w:t>
              </w:r>
            </w:hyperlink>
          </w:p>
        </w:tc>
        <w:tc>
          <w:tcPr>
            <w:tcW w:w="4896" w:type="dxa"/>
            <w:vMerge/>
          </w:tcPr>
          <w:p w14:paraId="30881C48" w14:textId="77777777" w:rsidR="00F87F74" w:rsidRPr="005672E1" w:rsidRDefault="00F87F74" w:rsidP="00722799">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F87F74" w:rsidRPr="005672E1" w14:paraId="1C4B5156" w14:textId="77777777" w:rsidTr="005672E1">
        <w:trPr>
          <w:gridAfter w:val="1"/>
          <w:wAfter w:w="433" w:type="dxa"/>
          <w:cantSplit/>
          <w:trHeight w:val="709"/>
        </w:trPr>
        <w:tc>
          <w:tcPr>
            <w:tcW w:w="1143" w:type="dxa"/>
            <w:gridSpan w:val="2"/>
          </w:tcPr>
          <w:p w14:paraId="6BF62FD0" w14:textId="5D170E0A" w:rsidR="00F87F74" w:rsidRPr="005672E1" w:rsidRDefault="00F87F74" w:rsidP="005672E1">
            <w:pPr>
              <w:tabs>
                <w:tab w:val="left" w:pos="4111"/>
              </w:tabs>
              <w:spacing w:before="10"/>
              <w:ind w:left="135"/>
              <w:rPr>
                <w:rFonts w:cstheme="minorHAnsi"/>
                <w:sz w:val="22"/>
                <w:szCs w:val="22"/>
              </w:rPr>
            </w:pPr>
            <w:r w:rsidRPr="005672E1">
              <w:rPr>
                <w:rFonts w:cstheme="minorHAnsi"/>
                <w:b/>
                <w:bCs/>
                <w:sz w:val="22"/>
                <w:szCs w:val="22"/>
                <w:lang w:val="es-ES"/>
              </w:rPr>
              <w:t>Asunto</w:t>
            </w:r>
            <w:r w:rsidRPr="005672E1">
              <w:rPr>
                <w:rFonts w:cstheme="minorHAnsi"/>
                <w:sz w:val="22"/>
                <w:szCs w:val="22"/>
                <w:lang w:val="es-ES"/>
              </w:rPr>
              <w:t xml:space="preserve">: </w:t>
            </w:r>
          </w:p>
        </w:tc>
        <w:tc>
          <w:tcPr>
            <w:tcW w:w="8780" w:type="dxa"/>
            <w:gridSpan w:val="3"/>
          </w:tcPr>
          <w:p w14:paraId="5E952F7A" w14:textId="58826AE6" w:rsidR="00F87F74" w:rsidRPr="005672E1" w:rsidRDefault="00F87F74" w:rsidP="00722799">
            <w:pPr>
              <w:tabs>
                <w:tab w:val="left" w:pos="4111"/>
              </w:tabs>
              <w:spacing w:before="0"/>
              <w:rPr>
                <w:rFonts w:cstheme="minorHAnsi"/>
                <w:bCs/>
                <w:sz w:val="22"/>
                <w:szCs w:val="22"/>
              </w:rPr>
            </w:pPr>
            <w:r w:rsidRPr="005672E1">
              <w:rPr>
                <w:rFonts w:cstheme="minorHAnsi"/>
                <w:b/>
                <w:bCs/>
                <w:sz w:val="22"/>
                <w:szCs w:val="22"/>
                <w:lang w:val="es-ES"/>
              </w:rPr>
              <w:t>Taller regional conjunto de la Comisión de Estudio 2 del UIT-T y la Comisión de Estudio 3 del UIT-T sobre temas de interés común (Ciudad de Kuwait, Kuwait, 4 de marzo de 2024)</w:t>
            </w:r>
          </w:p>
        </w:tc>
      </w:tr>
    </w:tbl>
    <w:p w14:paraId="49FA86EA" w14:textId="2C902968" w:rsidR="00C34772" w:rsidRPr="005672E1" w:rsidRDefault="00C34772" w:rsidP="005672E1">
      <w:pPr>
        <w:jc w:val="both"/>
        <w:rPr>
          <w:rFonts w:cstheme="minorHAnsi"/>
          <w:sz w:val="22"/>
          <w:szCs w:val="22"/>
        </w:rPr>
      </w:pPr>
      <w:bookmarkStart w:id="1" w:name="StartTyping_S"/>
      <w:bookmarkStart w:id="2" w:name="suitetext"/>
      <w:bookmarkStart w:id="3" w:name="text"/>
      <w:bookmarkEnd w:id="1"/>
      <w:bookmarkEnd w:id="2"/>
      <w:bookmarkEnd w:id="3"/>
      <w:r w:rsidRPr="005672E1">
        <w:rPr>
          <w:rFonts w:cstheme="minorHAnsi"/>
          <w:sz w:val="22"/>
          <w:szCs w:val="22"/>
        </w:rPr>
        <w:t>Muy Señora mía/Muy Señor mío</w:t>
      </w:r>
      <w:r w:rsidR="005672E1">
        <w:rPr>
          <w:rFonts w:cstheme="minorHAnsi"/>
          <w:sz w:val="22"/>
          <w:szCs w:val="22"/>
        </w:rPr>
        <w:t>,</w:t>
      </w:r>
    </w:p>
    <w:p w14:paraId="56E6D03E" w14:textId="611F1D47" w:rsidR="001C3A15" w:rsidRPr="005672E1" w:rsidRDefault="001C3A15" w:rsidP="005672E1">
      <w:pPr>
        <w:tabs>
          <w:tab w:val="left" w:pos="900"/>
        </w:tabs>
        <w:rPr>
          <w:rFonts w:cstheme="minorHAnsi"/>
          <w:sz w:val="22"/>
          <w:szCs w:val="22"/>
          <w:lang w:val="es-ES"/>
        </w:rPr>
      </w:pPr>
      <w:r w:rsidRPr="005672E1">
        <w:rPr>
          <w:rFonts w:cstheme="minorHAnsi"/>
          <w:sz w:val="22"/>
          <w:szCs w:val="22"/>
          <w:lang w:val="es-ES"/>
        </w:rPr>
        <w:t>1</w:t>
      </w:r>
      <w:r w:rsidRPr="005672E1">
        <w:rPr>
          <w:rFonts w:cstheme="minorHAnsi"/>
          <w:sz w:val="22"/>
          <w:szCs w:val="22"/>
          <w:lang w:val="es-ES"/>
        </w:rPr>
        <w:tab/>
      </w:r>
      <w:proofErr w:type="gramStart"/>
      <w:r w:rsidRPr="005672E1">
        <w:rPr>
          <w:rFonts w:cstheme="minorHAnsi"/>
          <w:sz w:val="22"/>
          <w:szCs w:val="22"/>
          <w:lang w:val="es-ES"/>
        </w:rPr>
        <w:t>La</w:t>
      </w:r>
      <w:proofErr w:type="gramEnd"/>
      <w:r w:rsidRPr="005672E1">
        <w:rPr>
          <w:rFonts w:cstheme="minorHAnsi"/>
          <w:sz w:val="22"/>
          <w:szCs w:val="22"/>
          <w:lang w:val="es-ES"/>
        </w:rPr>
        <w:t xml:space="preserve"> Unión Internacional de Telecomunicaciones (UIT) organiza un </w:t>
      </w:r>
      <w:r w:rsidRPr="005672E1">
        <w:rPr>
          <w:rFonts w:cstheme="minorHAnsi"/>
          <w:b/>
          <w:bCs/>
          <w:sz w:val="22"/>
          <w:szCs w:val="22"/>
          <w:lang w:val="es-ES"/>
        </w:rPr>
        <w:t xml:space="preserve">Taller regional conjunto de la Comisión de Estudio 2 del UIT-T y la Comisión de Estudio 3 del UIT-T sobre temas de interés común </w:t>
      </w:r>
      <w:r w:rsidRPr="005672E1">
        <w:rPr>
          <w:rFonts w:cstheme="minorHAnsi"/>
          <w:sz w:val="22"/>
          <w:szCs w:val="22"/>
          <w:lang w:val="es-ES"/>
        </w:rPr>
        <w:t>que se celebrará</w:t>
      </w:r>
      <w:r w:rsidRPr="005672E1">
        <w:rPr>
          <w:rFonts w:cstheme="minorHAnsi"/>
          <w:b/>
          <w:bCs/>
          <w:sz w:val="22"/>
          <w:szCs w:val="22"/>
          <w:lang w:val="es-ES"/>
        </w:rPr>
        <w:t xml:space="preserve"> </w:t>
      </w:r>
      <w:r w:rsidRPr="005672E1">
        <w:rPr>
          <w:rFonts w:cstheme="minorHAnsi"/>
          <w:sz w:val="22"/>
          <w:szCs w:val="22"/>
          <w:lang w:val="es-ES"/>
        </w:rPr>
        <w:t xml:space="preserve">el </w:t>
      </w:r>
      <w:r w:rsidRPr="005672E1">
        <w:rPr>
          <w:rFonts w:cstheme="minorHAnsi"/>
          <w:b/>
          <w:bCs/>
          <w:sz w:val="22"/>
          <w:szCs w:val="22"/>
          <w:lang w:val="es-ES"/>
        </w:rPr>
        <w:t>4 de marzo de 2024</w:t>
      </w:r>
      <w:r w:rsidRPr="005672E1">
        <w:rPr>
          <w:rFonts w:cstheme="minorHAnsi"/>
          <w:sz w:val="22"/>
          <w:szCs w:val="22"/>
          <w:lang w:val="es-ES"/>
        </w:rPr>
        <w:t xml:space="preserve"> </w:t>
      </w:r>
      <w:r w:rsidRPr="005672E1">
        <w:rPr>
          <w:rFonts w:cstheme="minorHAnsi"/>
          <w:b/>
          <w:bCs/>
          <w:sz w:val="22"/>
          <w:szCs w:val="22"/>
          <w:lang w:val="es-ES"/>
        </w:rPr>
        <w:t>en Kuwait City (Kuwait)</w:t>
      </w:r>
      <w:r w:rsidRPr="005672E1">
        <w:rPr>
          <w:rFonts w:cstheme="minorHAnsi"/>
          <w:sz w:val="22"/>
          <w:szCs w:val="22"/>
          <w:lang w:val="es-ES"/>
        </w:rPr>
        <w:t>, bajo los auspicios del Organismo Regulador de las Tecnologías de la Información y la Comunicación (CITRA) de Kuwait. El taller coincidirá con la</w:t>
      </w:r>
      <w:r w:rsidRPr="005672E1">
        <w:rPr>
          <w:rFonts w:cstheme="minorHAnsi"/>
          <w:sz w:val="22"/>
          <w:szCs w:val="22"/>
          <w:u w:val="single"/>
          <w:lang w:val="es-ES"/>
        </w:rPr>
        <w:t xml:space="preserve"> </w:t>
      </w:r>
      <w:hyperlink r:id="rId12" w:anchor="/es" w:history="1">
        <w:r w:rsidRPr="005672E1">
          <w:rPr>
            <w:rStyle w:val="Hyperlink"/>
            <w:rFonts w:cstheme="minorHAnsi"/>
            <w:sz w:val="22"/>
            <w:szCs w:val="22"/>
            <w:lang w:val="es-ES"/>
          </w:rPr>
          <w:t>reunión del Grupo Regional de la Comisión de Estudio 3 del UIT</w:t>
        </w:r>
        <w:r w:rsidRPr="005672E1">
          <w:rPr>
            <w:rStyle w:val="Hyperlink"/>
            <w:rFonts w:cstheme="minorHAnsi"/>
            <w:sz w:val="22"/>
            <w:szCs w:val="22"/>
            <w:lang w:val="es-ES"/>
          </w:rPr>
          <w:t>-</w:t>
        </w:r>
        <w:r w:rsidRPr="005672E1">
          <w:rPr>
            <w:rStyle w:val="Hyperlink"/>
            <w:rFonts w:cstheme="minorHAnsi"/>
            <w:sz w:val="22"/>
            <w:szCs w:val="22"/>
            <w:lang w:val="es-ES"/>
          </w:rPr>
          <w:t>T para la Región Árabe (GRCE3-ARB)</w:t>
        </w:r>
      </w:hyperlink>
      <w:r w:rsidRPr="005672E1">
        <w:rPr>
          <w:rFonts w:cstheme="minorHAnsi"/>
          <w:sz w:val="22"/>
          <w:szCs w:val="22"/>
          <w:lang w:val="es-ES"/>
        </w:rPr>
        <w:t xml:space="preserve"> y las reuniones conjuntas de los</w:t>
      </w:r>
      <w:r w:rsidRPr="005672E1">
        <w:rPr>
          <w:rFonts w:cstheme="minorHAnsi"/>
          <w:sz w:val="22"/>
          <w:szCs w:val="22"/>
          <w:u w:val="single"/>
          <w:lang w:val="es-ES"/>
        </w:rPr>
        <w:t xml:space="preserve"> </w:t>
      </w:r>
      <w:hyperlink r:id="rId13" w:anchor="/es" w:history="1">
        <w:r w:rsidRPr="005672E1">
          <w:rPr>
            <w:rStyle w:val="Hyperlink"/>
            <w:rFonts w:cstheme="minorHAnsi"/>
            <w:sz w:val="22"/>
            <w:szCs w:val="22"/>
            <w:lang w:val="es-ES"/>
          </w:rPr>
          <w:t>Grupos Regionales de la Comisión</w:t>
        </w:r>
        <w:r w:rsidRPr="005672E1">
          <w:rPr>
            <w:rStyle w:val="Hyperlink"/>
            <w:rFonts w:cstheme="minorHAnsi"/>
            <w:sz w:val="22"/>
            <w:szCs w:val="22"/>
            <w:lang w:val="es-ES"/>
          </w:rPr>
          <w:t xml:space="preserve"> </w:t>
        </w:r>
        <w:r w:rsidRPr="005672E1">
          <w:rPr>
            <w:rStyle w:val="Hyperlink"/>
            <w:rFonts w:cstheme="minorHAnsi"/>
            <w:sz w:val="22"/>
            <w:szCs w:val="22"/>
            <w:lang w:val="es-ES"/>
          </w:rPr>
          <w:t>de Estudio 2 del UIT-T para África</w:t>
        </w:r>
      </w:hyperlink>
      <w:r w:rsidRPr="005672E1">
        <w:rPr>
          <w:rFonts w:cstheme="minorHAnsi"/>
          <w:sz w:val="22"/>
          <w:szCs w:val="22"/>
          <w:lang w:val="es-ES"/>
        </w:rPr>
        <w:t xml:space="preserve"> y la </w:t>
      </w:r>
      <w:hyperlink r:id="rId14" w:anchor="/es" w:history="1">
        <w:r w:rsidRPr="005672E1">
          <w:rPr>
            <w:rStyle w:val="Hyperlink"/>
            <w:rFonts w:cstheme="minorHAnsi"/>
            <w:sz w:val="22"/>
            <w:szCs w:val="22"/>
            <w:lang w:val="es-ES"/>
          </w:rPr>
          <w:t>Región</w:t>
        </w:r>
      </w:hyperlink>
      <w:r w:rsidRPr="005672E1">
        <w:rPr>
          <w:rStyle w:val="Hyperlink"/>
          <w:rFonts w:cstheme="minorHAnsi"/>
          <w:sz w:val="22"/>
          <w:szCs w:val="22"/>
          <w:lang w:val="es-ES"/>
        </w:rPr>
        <w:t xml:space="preserve"> </w:t>
      </w:r>
      <w:hyperlink r:id="rId15" w:anchor="/es" w:history="1">
        <w:r w:rsidRPr="005672E1">
          <w:rPr>
            <w:rStyle w:val="Hyperlink"/>
            <w:rFonts w:cstheme="minorHAnsi"/>
            <w:sz w:val="22"/>
            <w:szCs w:val="22"/>
            <w:lang w:val="es-ES"/>
          </w:rPr>
          <w:t>Á</w:t>
        </w:r>
        <w:r w:rsidRPr="005672E1">
          <w:rPr>
            <w:rStyle w:val="Hyperlink"/>
            <w:rFonts w:cstheme="minorHAnsi"/>
            <w:sz w:val="22"/>
            <w:szCs w:val="22"/>
            <w:lang w:val="es-ES"/>
          </w:rPr>
          <w:t>r</w:t>
        </w:r>
        <w:r w:rsidRPr="005672E1">
          <w:rPr>
            <w:rStyle w:val="Hyperlink"/>
            <w:rFonts w:cstheme="minorHAnsi"/>
            <w:sz w:val="22"/>
            <w:szCs w:val="22"/>
            <w:lang w:val="es-ES"/>
          </w:rPr>
          <w:t>abe</w:t>
        </w:r>
      </w:hyperlink>
      <w:r w:rsidRPr="005672E1">
        <w:rPr>
          <w:rFonts w:cstheme="minorHAnsi"/>
          <w:sz w:val="22"/>
          <w:szCs w:val="22"/>
          <w:lang w:val="es-ES"/>
        </w:rPr>
        <w:t xml:space="preserve"> (GRCE2-AFR, GRCE2-ARB).</w:t>
      </w:r>
    </w:p>
    <w:p w14:paraId="6FCFC871" w14:textId="0D58B030" w:rsidR="001C3A15" w:rsidRPr="005672E1" w:rsidRDefault="001C3A15" w:rsidP="005672E1">
      <w:pPr>
        <w:tabs>
          <w:tab w:val="left" w:pos="900"/>
        </w:tabs>
        <w:rPr>
          <w:rFonts w:cstheme="minorHAnsi"/>
          <w:sz w:val="22"/>
          <w:szCs w:val="22"/>
          <w:lang w:val="es-ES"/>
        </w:rPr>
      </w:pPr>
      <w:r w:rsidRPr="005672E1">
        <w:rPr>
          <w:rFonts w:cstheme="minorHAnsi"/>
          <w:sz w:val="22"/>
          <w:szCs w:val="22"/>
          <w:lang w:val="es-ES"/>
        </w:rPr>
        <w:t>2</w:t>
      </w:r>
      <w:r w:rsidRPr="005672E1">
        <w:rPr>
          <w:rFonts w:cstheme="minorHAnsi"/>
          <w:sz w:val="22"/>
          <w:szCs w:val="22"/>
          <w:lang w:val="es-ES"/>
        </w:rPr>
        <w:tab/>
      </w:r>
      <w:proofErr w:type="gramStart"/>
      <w:r w:rsidRPr="005672E1">
        <w:rPr>
          <w:rFonts w:cstheme="minorHAnsi"/>
          <w:sz w:val="22"/>
          <w:szCs w:val="22"/>
          <w:lang w:val="es-ES"/>
        </w:rPr>
        <w:t>El</w:t>
      </w:r>
      <w:proofErr w:type="gramEnd"/>
      <w:r w:rsidRPr="005672E1">
        <w:rPr>
          <w:rFonts w:cstheme="minorHAnsi"/>
          <w:sz w:val="22"/>
          <w:szCs w:val="22"/>
          <w:lang w:val="es-ES"/>
        </w:rPr>
        <w:t xml:space="preserve"> principal objetivo del taller es ofrecer un foro abierto para el debate y el intercambio de puntos de vista respecto de varios temas de normalización que son objeto de discusión en el UIT</w:t>
      </w:r>
      <w:r w:rsidR="00582129" w:rsidRPr="005672E1">
        <w:rPr>
          <w:rFonts w:cstheme="minorHAnsi"/>
          <w:sz w:val="22"/>
          <w:szCs w:val="22"/>
          <w:lang w:val="es-ES"/>
        </w:rPr>
        <w:noBreakHyphen/>
      </w:r>
      <w:r w:rsidRPr="005672E1">
        <w:rPr>
          <w:rFonts w:cstheme="minorHAnsi"/>
          <w:sz w:val="22"/>
          <w:szCs w:val="22"/>
          <w:lang w:val="es-ES"/>
        </w:rPr>
        <w:t>T, y destacar las actividades relacionadas con el Programa de Reducción de la Disparidad en Materia de Normalización, incluida la labor de los Grupos Regionales de las Comisiones de Estudio 2 y 3 del UIT-T. Este evento está destinado a los Estados Miembros de la UIT, los organismos nacionales de normalización, los organismos reguladores de las TIC, las empresas de TIC, los organismos de investigación en TIC, los proveedores de servicios y las instituciones académicas.</w:t>
      </w:r>
    </w:p>
    <w:p w14:paraId="114982CD" w14:textId="77777777" w:rsidR="001C3A15" w:rsidRPr="005672E1" w:rsidRDefault="001C3A15" w:rsidP="005672E1">
      <w:pPr>
        <w:tabs>
          <w:tab w:val="left" w:pos="900"/>
        </w:tabs>
        <w:rPr>
          <w:rFonts w:cstheme="minorHAnsi"/>
          <w:sz w:val="22"/>
          <w:szCs w:val="22"/>
          <w:lang w:val="es-ES"/>
        </w:rPr>
      </w:pPr>
      <w:r w:rsidRPr="005672E1">
        <w:rPr>
          <w:rFonts w:cstheme="minorHAnsi"/>
          <w:sz w:val="22"/>
          <w:szCs w:val="22"/>
          <w:lang w:val="es-ES"/>
        </w:rPr>
        <w:t>3</w:t>
      </w:r>
      <w:r w:rsidRPr="005672E1">
        <w:rPr>
          <w:rFonts w:cstheme="minorHAnsi"/>
          <w:sz w:val="22"/>
          <w:szCs w:val="22"/>
          <w:lang w:val="es-ES"/>
        </w:rPr>
        <w:tab/>
      </w:r>
      <w:proofErr w:type="gramStart"/>
      <w:r w:rsidRPr="005672E1">
        <w:rPr>
          <w:rFonts w:cstheme="minorHAnsi"/>
          <w:sz w:val="22"/>
          <w:szCs w:val="22"/>
          <w:lang w:val="es-ES"/>
        </w:rPr>
        <w:t>La</w:t>
      </w:r>
      <w:proofErr w:type="gramEnd"/>
      <w:r w:rsidRPr="005672E1">
        <w:rPr>
          <w:rFonts w:cstheme="minorHAnsi"/>
          <w:sz w:val="22"/>
          <w:szCs w:val="22"/>
          <w:lang w:val="es-ES"/>
        </w:rPr>
        <w:t xml:space="preserve"> participación en este taller está abierta a los Estados Miembros, a los Miembros de Sector, a los Asociados y a las Instituciones Académicas de la UIT, así como a cualquier persona nacional de un Estado Miembro de la UIT que desee contribuir a los trabajos. Esto incluye a las personas que también sean miembros de organizaciones nacionales, regionales e internacionales. La participación es gratuita. Se facilitará la participación a distancia.</w:t>
      </w:r>
    </w:p>
    <w:p w14:paraId="4C2BADBE" w14:textId="60A91269" w:rsidR="001C3A15" w:rsidRPr="005672E1" w:rsidRDefault="001C3A15" w:rsidP="005672E1">
      <w:pPr>
        <w:tabs>
          <w:tab w:val="left" w:pos="900"/>
        </w:tabs>
        <w:rPr>
          <w:rFonts w:cstheme="minorHAnsi"/>
          <w:sz w:val="22"/>
          <w:szCs w:val="22"/>
          <w:lang w:val="es-ES"/>
        </w:rPr>
      </w:pPr>
      <w:r w:rsidRPr="005672E1">
        <w:rPr>
          <w:rFonts w:cstheme="minorHAnsi"/>
          <w:sz w:val="22"/>
          <w:szCs w:val="22"/>
          <w:lang w:val="es-ES"/>
        </w:rPr>
        <w:t>4</w:t>
      </w:r>
      <w:r w:rsidRPr="005672E1">
        <w:rPr>
          <w:rFonts w:cstheme="minorHAnsi"/>
          <w:sz w:val="22"/>
          <w:szCs w:val="22"/>
          <w:lang w:val="es-ES"/>
        </w:rPr>
        <w:tab/>
      </w:r>
      <w:proofErr w:type="gramStart"/>
      <w:r w:rsidRPr="005672E1">
        <w:rPr>
          <w:rFonts w:cstheme="minorHAnsi"/>
          <w:sz w:val="22"/>
          <w:szCs w:val="22"/>
          <w:lang w:val="es-ES"/>
        </w:rPr>
        <w:t>El</w:t>
      </w:r>
      <w:proofErr w:type="gramEnd"/>
      <w:r w:rsidRPr="005672E1">
        <w:rPr>
          <w:rFonts w:cstheme="minorHAnsi"/>
          <w:sz w:val="22"/>
          <w:szCs w:val="22"/>
          <w:lang w:val="es-ES"/>
        </w:rPr>
        <w:t xml:space="preserve"> proyecto de programa y toda la información pertinente relativa al taller se publicarán en el </w:t>
      </w:r>
      <w:hyperlink r:id="rId16" w:anchor="/es" w:history="1">
        <w:r w:rsidRPr="005672E1">
          <w:rPr>
            <w:rStyle w:val="Hyperlink"/>
            <w:rFonts w:cstheme="minorHAnsi"/>
            <w:sz w:val="22"/>
            <w:szCs w:val="22"/>
            <w:lang w:val="es-ES"/>
          </w:rPr>
          <w:t xml:space="preserve">sitio web del </w:t>
        </w:r>
        <w:r w:rsidRPr="005672E1">
          <w:rPr>
            <w:rStyle w:val="Hyperlink"/>
            <w:rFonts w:cstheme="minorHAnsi"/>
            <w:sz w:val="22"/>
            <w:szCs w:val="22"/>
            <w:lang w:val="es-ES"/>
          </w:rPr>
          <w:t>e</w:t>
        </w:r>
        <w:r w:rsidRPr="005672E1">
          <w:rPr>
            <w:rStyle w:val="Hyperlink"/>
            <w:rFonts w:cstheme="minorHAnsi"/>
            <w:sz w:val="22"/>
            <w:szCs w:val="22"/>
            <w:lang w:val="es-ES"/>
          </w:rPr>
          <w:t>vento</w:t>
        </w:r>
      </w:hyperlink>
      <w:r w:rsidRPr="005672E1">
        <w:rPr>
          <w:rFonts w:cstheme="minorHAnsi"/>
          <w:sz w:val="22"/>
          <w:szCs w:val="22"/>
          <w:lang w:val="es-ES"/>
        </w:rPr>
        <w:t>. Este sitio web se actualizará periódicamente, y se solicita a los participantes que verifiquen periódicamente si hay nuevas actualizaciones.</w:t>
      </w:r>
    </w:p>
    <w:p w14:paraId="42B51F80" w14:textId="5A505360" w:rsidR="001C3A15" w:rsidRPr="005672E1" w:rsidRDefault="001C3A15" w:rsidP="005672E1">
      <w:pPr>
        <w:rPr>
          <w:rFonts w:cstheme="minorHAnsi"/>
          <w:sz w:val="22"/>
          <w:szCs w:val="22"/>
          <w:lang w:val="es-ES"/>
        </w:rPr>
      </w:pPr>
      <w:r w:rsidRPr="005672E1">
        <w:rPr>
          <w:rFonts w:cstheme="minorHAnsi"/>
          <w:sz w:val="22"/>
          <w:szCs w:val="22"/>
          <w:lang w:val="es-ES"/>
        </w:rPr>
        <w:lastRenderedPageBreak/>
        <w:t>5</w:t>
      </w:r>
      <w:r w:rsidRPr="005672E1">
        <w:rPr>
          <w:rFonts w:cstheme="minorHAnsi"/>
          <w:sz w:val="22"/>
          <w:szCs w:val="22"/>
          <w:lang w:val="es-ES"/>
        </w:rPr>
        <w:tab/>
      </w:r>
      <w:proofErr w:type="gramStart"/>
      <w:r w:rsidRPr="005672E1">
        <w:rPr>
          <w:rFonts w:cstheme="minorHAnsi"/>
          <w:sz w:val="22"/>
          <w:szCs w:val="22"/>
          <w:lang w:val="es-ES"/>
        </w:rPr>
        <w:t>A</w:t>
      </w:r>
      <w:proofErr w:type="gramEnd"/>
      <w:r w:rsidRPr="005672E1">
        <w:rPr>
          <w:rFonts w:cstheme="minorHAnsi"/>
          <w:sz w:val="22"/>
          <w:szCs w:val="22"/>
          <w:lang w:val="es-ES"/>
        </w:rPr>
        <w:t xml:space="preserve"> fin de que la UIT pueda tomar las disposiciones necesarias para la organización del taller, le agradeceríamos que se inscribiese utilizando el formulario en línea disponible en </w:t>
      </w:r>
      <w:hyperlink r:id="rId17" w:history="1">
        <w:r w:rsidR="00582129" w:rsidRPr="005672E1">
          <w:rPr>
            <w:rStyle w:val="Hyperlink"/>
            <w:rFonts w:cstheme="minorHAnsi"/>
            <w:sz w:val="22"/>
            <w:szCs w:val="22"/>
            <w:lang w:val="es-ES"/>
          </w:rPr>
          <w:t>https://www.itu.int/net4/CRM/xreg/w</w:t>
        </w:r>
        <w:r w:rsidR="00582129" w:rsidRPr="005672E1">
          <w:rPr>
            <w:rStyle w:val="Hyperlink"/>
            <w:rFonts w:cstheme="minorHAnsi"/>
            <w:sz w:val="22"/>
            <w:szCs w:val="22"/>
            <w:lang w:val="es-ES"/>
          </w:rPr>
          <w:t>e</w:t>
        </w:r>
        <w:r w:rsidR="00582129" w:rsidRPr="005672E1">
          <w:rPr>
            <w:rStyle w:val="Hyperlink"/>
            <w:rFonts w:cstheme="minorHAnsi"/>
            <w:sz w:val="22"/>
            <w:szCs w:val="22"/>
            <w:lang w:val="es-ES"/>
          </w:rPr>
          <w:t>b/Registration.aspx?Event=C-00013683</w:t>
        </w:r>
      </w:hyperlink>
      <w:r w:rsidRPr="005672E1">
        <w:rPr>
          <w:rFonts w:cstheme="minorHAnsi"/>
          <w:sz w:val="22"/>
          <w:szCs w:val="22"/>
          <w:lang w:val="es-ES"/>
        </w:rPr>
        <w:t xml:space="preserve"> la mayor brevedad y </w:t>
      </w:r>
      <w:r w:rsidRPr="005672E1">
        <w:rPr>
          <w:rFonts w:cstheme="minorHAnsi"/>
          <w:b/>
          <w:bCs/>
          <w:sz w:val="22"/>
          <w:szCs w:val="22"/>
          <w:lang w:val="es-ES"/>
        </w:rPr>
        <w:t>a más tardar el 28 de febrero de 2024</w:t>
      </w:r>
      <w:r w:rsidRPr="005672E1">
        <w:rPr>
          <w:rFonts w:cstheme="minorHAnsi"/>
          <w:sz w:val="22"/>
          <w:szCs w:val="22"/>
          <w:lang w:val="es-ES"/>
        </w:rPr>
        <w:t xml:space="preserve">. </w:t>
      </w:r>
      <w:r w:rsidRPr="005672E1">
        <w:rPr>
          <w:rFonts w:cstheme="minorHAnsi"/>
          <w:b/>
          <w:bCs/>
          <w:sz w:val="22"/>
          <w:szCs w:val="22"/>
          <w:lang w:val="es-ES"/>
        </w:rPr>
        <w:t>Le rogamos tenga presente que la preinscripción de los participantes en nuestros eventos se lleva a cabo exclusivamente</w:t>
      </w:r>
      <w:r w:rsidRPr="005672E1">
        <w:rPr>
          <w:rFonts w:cstheme="minorHAnsi"/>
          <w:b/>
          <w:bCs/>
          <w:i/>
          <w:iCs/>
          <w:sz w:val="22"/>
          <w:szCs w:val="22"/>
          <w:lang w:val="es-ES"/>
        </w:rPr>
        <w:t xml:space="preserve"> en línea</w:t>
      </w:r>
      <w:r w:rsidRPr="005672E1">
        <w:rPr>
          <w:rFonts w:cstheme="minorHAnsi"/>
          <w:b/>
          <w:bCs/>
          <w:sz w:val="22"/>
          <w:szCs w:val="22"/>
          <w:lang w:val="es-ES"/>
        </w:rPr>
        <w:t>.</w:t>
      </w:r>
    </w:p>
    <w:p w14:paraId="3986444C" w14:textId="77777777" w:rsidR="001C3A15" w:rsidRPr="005672E1" w:rsidRDefault="001C3A15" w:rsidP="005672E1">
      <w:pPr>
        <w:tabs>
          <w:tab w:val="left" w:pos="900"/>
        </w:tabs>
        <w:rPr>
          <w:rFonts w:cstheme="minorHAnsi"/>
          <w:sz w:val="22"/>
          <w:szCs w:val="22"/>
          <w:lang w:val="es-ES"/>
        </w:rPr>
      </w:pPr>
      <w:r w:rsidRPr="005672E1">
        <w:rPr>
          <w:rFonts w:cstheme="minorHAnsi"/>
          <w:sz w:val="22"/>
          <w:szCs w:val="22"/>
          <w:lang w:val="es-ES"/>
        </w:rPr>
        <w:t>6</w:t>
      </w:r>
      <w:r w:rsidRPr="005672E1">
        <w:rPr>
          <w:rFonts w:cstheme="minorHAnsi"/>
          <w:sz w:val="22"/>
          <w:szCs w:val="22"/>
          <w:lang w:val="es-ES"/>
        </w:rPr>
        <w:tab/>
      </w:r>
      <w:proofErr w:type="gramStart"/>
      <w:r w:rsidRPr="005672E1">
        <w:rPr>
          <w:rFonts w:cstheme="minorHAnsi"/>
          <w:sz w:val="22"/>
          <w:szCs w:val="22"/>
          <w:lang w:val="es-ES"/>
        </w:rPr>
        <w:t>Quisiera</w:t>
      </w:r>
      <w:proofErr w:type="gramEnd"/>
      <w:r w:rsidRPr="005672E1">
        <w:rPr>
          <w:rFonts w:cstheme="minorHAnsi"/>
          <w:sz w:val="22"/>
          <w:szCs w:val="22"/>
          <w:lang w:val="es-ES"/>
        </w:rPr>
        <w:t xml:space="preserve"> recordarle que los ciudadanos procedentes de ciertos países necesitan visado para entrar y permanecer en Kuwait. Dicho visado debe obtenerse en la oficina (Embajada o Consulado) que represente a Kuwait en su país o, en su defecto, en la oficina más próxima a su país de partida. Podrá consultarse información adicional sobre los requisitos para la obtención del visado en el sitio web del evento, bajo el epígrafe "</w:t>
      </w:r>
      <w:r w:rsidRPr="005672E1">
        <w:rPr>
          <w:rFonts w:cstheme="minorHAnsi"/>
          <w:b/>
          <w:bCs/>
          <w:i/>
          <w:iCs/>
          <w:sz w:val="22"/>
          <w:szCs w:val="22"/>
          <w:lang w:val="es-ES"/>
        </w:rPr>
        <w:t>Información práctica</w:t>
      </w:r>
      <w:r w:rsidRPr="005672E1">
        <w:rPr>
          <w:rFonts w:cstheme="minorHAnsi"/>
          <w:sz w:val="22"/>
          <w:szCs w:val="22"/>
          <w:lang w:val="es-ES"/>
        </w:rPr>
        <w:t>".</w:t>
      </w:r>
    </w:p>
    <w:p w14:paraId="2E1E7521" w14:textId="26003417" w:rsidR="007B6316" w:rsidRPr="005672E1" w:rsidRDefault="007B6316" w:rsidP="00D16811">
      <w:pPr>
        <w:jc w:val="both"/>
        <w:rPr>
          <w:rFonts w:cstheme="minorHAnsi"/>
          <w:sz w:val="22"/>
          <w:szCs w:val="22"/>
        </w:rPr>
      </w:pPr>
      <w:r w:rsidRPr="005672E1">
        <w:rPr>
          <w:rFonts w:cstheme="minorHAnsi"/>
          <w:sz w:val="22"/>
          <w:szCs w:val="22"/>
        </w:rPr>
        <w:t>Atentamente,</w:t>
      </w:r>
    </w:p>
    <w:p w14:paraId="0FDFABE9" w14:textId="70DB0D81" w:rsidR="007B6316" w:rsidRPr="005672E1" w:rsidRDefault="00811D9C" w:rsidP="005672E1">
      <w:pPr>
        <w:spacing w:before="840"/>
        <w:jc w:val="both"/>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66097761" wp14:editId="63982824">
            <wp:simplePos x="0" y="0"/>
            <wp:positionH relativeFrom="column">
              <wp:posOffset>22860</wp:posOffset>
            </wp:positionH>
            <wp:positionV relativeFrom="paragraph">
              <wp:posOffset>156845</wp:posOffset>
            </wp:positionV>
            <wp:extent cx="697908" cy="314325"/>
            <wp:effectExtent l="0" t="0" r="6985" b="0"/>
            <wp:wrapNone/>
            <wp:docPr id="140076721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67214" name="Picture 1" descr="A black and blu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97908" cy="314325"/>
                    </a:xfrm>
                    <a:prstGeom prst="rect">
                      <a:avLst/>
                    </a:prstGeom>
                  </pic:spPr>
                </pic:pic>
              </a:graphicData>
            </a:graphic>
            <wp14:sizeRelH relativeFrom="margin">
              <wp14:pctWidth>0</wp14:pctWidth>
            </wp14:sizeRelH>
            <wp14:sizeRelV relativeFrom="margin">
              <wp14:pctHeight>0</wp14:pctHeight>
            </wp14:sizeRelV>
          </wp:anchor>
        </w:drawing>
      </w:r>
      <w:r w:rsidR="001350B9" w:rsidRPr="005672E1">
        <w:rPr>
          <w:rFonts w:cstheme="minorHAnsi"/>
          <w:sz w:val="22"/>
          <w:szCs w:val="22"/>
          <w:lang w:val="es-ES"/>
        </w:rPr>
        <w:t>Seizo Onoe</w:t>
      </w:r>
      <w:r w:rsidR="007B6316" w:rsidRPr="005672E1">
        <w:rPr>
          <w:rFonts w:cstheme="minorHAnsi"/>
          <w:sz w:val="22"/>
          <w:szCs w:val="22"/>
        </w:rPr>
        <w:br/>
      </w:r>
      <w:proofErr w:type="gramStart"/>
      <w:r w:rsidR="007B6316" w:rsidRPr="005672E1">
        <w:rPr>
          <w:rFonts w:cstheme="minorHAnsi"/>
          <w:sz w:val="22"/>
          <w:szCs w:val="22"/>
        </w:rPr>
        <w:t>Director</w:t>
      </w:r>
      <w:proofErr w:type="gramEnd"/>
      <w:r w:rsidR="007B6316" w:rsidRPr="005672E1">
        <w:rPr>
          <w:rFonts w:cstheme="minorHAnsi"/>
          <w:sz w:val="22"/>
          <w:szCs w:val="22"/>
        </w:rPr>
        <w:t xml:space="preserve"> de la Oficina de </w:t>
      </w:r>
      <w:r w:rsidR="007B6316" w:rsidRPr="005672E1">
        <w:rPr>
          <w:rFonts w:cstheme="minorHAnsi"/>
          <w:sz w:val="22"/>
          <w:szCs w:val="22"/>
        </w:rPr>
        <w:br/>
        <w:t>Normalización de las Telecomunicaciones</w:t>
      </w:r>
    </w:p>
    <w:sectPr w:rsidR="007B6316" w:rsidRPr="005672E1" w:rsidSect="0083374A">
      <w:head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EEAB" w14:textId="77777777" w:rsidR="0083374A" w:rsidRDefault="0083374A">
      <w:r>
        <w:separator/>
      </w:r>
    </w:p>
  </w:endnote>
  <w:endnote w:type="continuationSeparator" w:id="0">
    <w:p w14:paraId="0DADBE1B" w14:textId="77777777" w:rsidR="0083374A" w:rsidRDefault="008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6B47"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E165" w14:textId="77777777" w:rsidR="0083374A" w:rsidRDefault="0083374A">
      <w:r>
        <w:t>____________________</w:t>
      </w:r>
    </w:p>
  </w:footnote>
  <w:footnote w:type="continuationSeparator" w:id="0">
    <w:p w14:paraId="313E1A50" w14:textId="77777777" w:rsidR="0083374A" w:rsidRDefault="0083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CF67"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B56A0"/>
    <w:multiLevelType w:val="hybridMultilevel"/>
    <w:tmpl w:val="CAE89C8E"/>
    <w:lvl w:ilvl="0" w:tplc="280A4D88">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11221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74"/>
    <w:rsid w:val="00002529"/>
    <w:rsid w:val="00085662"/>
    <w:rsid w:val="000C382F"/>
    <w:rsid w:val="001173CC"/>
    <w:rsid w:val="001350B9"/>
    <w:rsid w:val="0014464D"/>
    <w:rsid w:val="001A54CC"/>
    <w:rsid w:val="001C3A15"/>
    <w:rsid w:val="0025786B"/>
    <w:rsid w:val="00257FB4"/>
    <w:rsid w:val="002E496E"/>
    <w:rsid w:val="00303D62"/>
    <w:rsid w:val="00335367"/>
    <w:rsid w:val="00370C2D"/>
    <w:rsid w:val="003D1E8D"/>
    <w:rsid w:val="003D673B"/>
    <w:rsid w:val="003F2855"/>
    <w:rsid w:val="00401C20"/>
    <w:rsid w:val="004A7957"/>
    <w:rsid w:val="004C4144"/>
    <w:rsid w:val="0055719E"/>
    <w:rsid w:val="005672E1"/>
    <w:rsid w:val="00582129"/>
    <w:rsid w:val="006969B4"/>
    <w:rsid w:val="006E4F7B"/>
    <w:rsid w:val="00722799"/>
    <w:rsid w:val="00781E2A"/>
    <w:rsid w:val="007933A2"/>
    <w:rsid w:val="007A26DD"/>
    <w:rsid w:val="007B6316"/>
    <w:rsid w:val="00811D9C"/>
    <w:rsid w:val="00814503"/>
    <w:rsid w:val="008258C2"/>
    <w:rsid w:val="0083374A"/>
    <w:rsid w:val="008505BD"/>
    <w:rsid w:val="00850C78"/>
    <w:rsid w:val="00876165"/>
    <w:rsid w:val="00884D12"/>
    <w:rsid w:val="008C17AD"/>
    <w:rsid w:val="008D02CD"/>
    <w:rsid w:val="0091370C"/>
    <w:rsid w:val="0095172A"/>
    <w:rsid w:val="009657B6"/>
    <w:rsid w:val="009A0BA0"/>
    <w:rsid w:val="009D233C"/>
    <w:rsid w:val="00A053C8"/>
    <w:rsid w:val="00A54E47"/>
    <w:rsid w:val="00AB6E3A"/>
    <w:rsid w:val="00AE7093"/>
    <w:rsid w:val="00B14E94"/>
    <w:rsid w:val="00B422BC"/>
    <w:rsid w:val="00B43F77"/>
    <w:rsid w:val="00B55A3E"/>
    <w:rsid w:val="00B87E9E"/>
    <w:rsid w:val="00B95F0A"/>
    <w:rsid w:val="00B96180"/>
    <w:rsid w:val="00C116FE"/>
    <w:rsid w:val="00C17AC0"/>
    <w:rsid w:val="00C34772"/>
    <w:rsid w:val="00C5465A"/>
    <w:rsid w:val="00D16811"/>
    <w:rsid w:val="00D54642"/>
    <w:rsid w:val="00D81A34"/>
    <w:rsid w:val="00D834E7"/>
    <w:rsid w:val="00DD77C9"/>
    <w:rsid w:val="00DF3538"/>
    <w:rsid w:val="00E839B0"/>
    <w:rsid w:val="00E92C09"/>
    <w:rsid w:val="00EF7322"/>
    <w:rsid w:val="00F14380"/>
    <w:rsid w:val="00F6461F"/>
    <w:rsid w:val="00F87F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12D4B"/>
  <w15:docId w15:val="{F144A248-F659-4360-9137-DF5F8414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1C3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2-afr/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regionalgroups/sg03-arb/Pages/default.aspx" TargetMode="External"/><Relationship Id="rId17" Type="http://schemas.openxmlformats.org/officeDocument/2006/relationships/hyperlink" Target="https://www.itu.int/net4/CRM/xreg/web/Login.aspx?src=Registration&amp;Event=C-00013683" TargetMode="External"/><Relationship Id="rId2" Type="http://schemas.openxmlformats.org/officeDocument/2006/relationships/numbering" Target="numbering.xml"/><Relationship Id="rId16" Type="http://schemas.openxmlformats.org/officeDocument/2006/relationships/hyperlink" Target="https://www.itu.int/en/ITU-T/Workshops-and-Seminars/2024/0304/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events@itu.int" TargetMode="External"/><Relationship Id="rId5" Type="http://schemas.openxmlformats.org/officeDocument/2006/relationships/webSettings" Target="webSettings.xml"/><Relationship Id="rId15" Type="http://schemas.openxmlformats.org/officeDocument/2006/relationships/hyperlink" Target="https://www.itu.int/en/ITU-T/regionalgroups/sg02-arb/Pages/default.aspx" TargetMode="External"/><Relationship Id="rId10" Type="http://schemas.openxmlformats.org/officeDocument/2006/relationships/hyperlink" Target="mailto:tsbsg3@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ITU-T/regionalgroups/sg02-arb/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72</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4760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12</cp:revision>
  <cp:lastPrinted>2024-02-22T07:31:00Z</cp:lastPrinted>
  <dcterms:created xsi:type="dcterms:W3CDTF">2024-01-30T13:01:00Z</dcterms:created>
  <dcterms:modified xsi:type="dcterms:W3CDTF">2024-02-22T07:32:00Z</dcterms:modified>
</cp:coreProperties>
</file>