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410"/>
        <w:gridCol w:w="5040"/>
      </w:tblGrid>
      <w:tr w:rsidR="00EF6A23" w:rsidRPr="00FE664F" w14:paraId="3FDAE1F3" w14:textId="77777777" w:rsidTr="003F083D">
        <w:trPr>
          <w:cantSplit/>
        </w:trPr>
        <w:tc>
          <w:tcPr>
            <w:tcW w:w="0" w:type="auto"/>
            <w:vAlign w:val="center"/>
          </w:tcPr>
          <w:p w14:paraId="3DE42CAA" w14:textId="77777777" w:rsidR="00EF6A23" w:rsidRPr="00FE664F" w:rsidRDefault="00EF6A23" w:rsidP="00D14F31">
            <w:pPr>
              <w:tabs>
                <w:tab w:val="right" w:pos="8732"/>
              </w:tabs>
              <w:spacing w:before="0"/>
              <w:rPr>
                <w:b/>
                <w:bCs/>
                <w:iCs/>
                <w:color w:val="FFFFFF"/>
                <w:sz w:val="30"/>
                <w:szCs w:val="30"/>
              </w:rPr>
            </w:pPr>
            <w:r w:rsidRPr="00FE664F">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FE664F" w:rsidRDefault="00EF6A23" w:rsidP="00EF6A23">
            <w:pPr>
              <w:spacing w:before="0"/>
              <w:rPr>
                <w:rFonts w:cs="Times New Roman Bold"/>
                <w:b/>
                <w:bCs/>
                <w:iCs/>
                <w:smallCaps/>
                <w:sz w:val="34"/>
                <w:szCs w:val="34"/>
              </w:rPr>
            </w:pPr>
            <w:r w:rsidRPr="00FE664F">
              <w:rPr>
                <w:rFonts w:cs="Times New Roman Bold"/>
                <w:b/>
                <w:bCs/>
                <w:iCs/>
                <w:smallCaps/>
                <w:sz w:val="34"/>
                <w:szCs w:val="34"/>
              </w:rPr>
              <w:t>Union internationale des télécommunications</w:t>
            </w:r>
          </w:p>
          <w:p w14:paraId="089E66D0" w14:textId="77777777" w:rsidR="00EF6A23" w:rsidRPr="00FE664F" w:rsidRDefault="00EF6A23" w:rsidP="00EF6A23">
            <w:pPr>
              <w:spacing w:before="0"/>
              <w:rPr>
                <w:color w:val="FFFFFF"/>
                <w:sz w:val="26"/>
                <w:szCs w:val="26"/>
              </w:rPr>
            </w:pPr>
            <w:r w:rsidRPr="00FE664F">
              <w:rPr>
                <w:rFonts w:cs="Times New Roman Bold"/>
                <w:b/>
                <w:bCs/>
                <w:iCs/>
                <w:smallCaps/>
                <w:sz w:val="28"/>
                <w:szCs w:val="28"/>
              </w:rPr>
              <w:t>B</w:t>
            </w:r>
            <w:r w:rsidRPr="00FE664F">
              <w:rPr>
                <w:b/>
                <w:bCs/>
                <w:iCs/>
                <w:smallCaps/>
                <w:sz w:val="28"/>
                <w:szCs w:val="28"/>
              </w:rPr>
              <w:t>ureau de la Normalisation des Télécommunications</w:t>
            </w:r>
          </w:p>
        </w:tc>
      </w:tr>
      <w:tr w:rsidR="00036F4F" w:rsidRPr="003B6850" w14:paraId="18B25741" w14:textId="77777777" w:rsidTr="003B6850">
        <w:trPr>
          <w:cantSplit/>
          <w:trHeight w:val="697"/>
        </w:trPr>
        <w:tc>
          <w:tcPr>
            <w:tcW w:w="0" w:type="auto"/>
          </w:tcPr>
          <w:p w14:paraId="4B1AFD72" w14:textId="77777777" w:rsidR="00036F4F" w:rsidRPr="003B6850"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3B6850" w:rsidRDefault="00036F4F" w:rsidP="00A5280F">
            <w:pPr>
              <w:tabs>
                <w:tab w:val="left" w:pos="4111"/>
              </w:tabs>
              <w:spacing w:before="10"/>
              <w:ind w:left="57"/>
              <w:rPr>
                <w:rFonts w:cstheme="minorHAnsi"/>
                <w:b/>
                <w:sz w:val="22"/>
                <w:szCs w:val="22"/>
              </w:rPr>
            </w:pPr>
          </w:p>
        </w:tc>
        <w:tc>
          <w:tcPr>
            <w:tcW w:w="5051" w:type="dxa"/>
          </w:tcPr>
          <w:p w14:paraId="0DC34ECA" w14:textId="31A3C084" w:rsidR="00036F4F" w:rsidRPr="003B6850"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3B6850">
              <w:rPr>
                <w:rFonts w:cstheme="minorHAnsi"/>
                <w:sz w:val="22"/>
                <w:szCs w:val="22"/>
              </w:rPr>
              <w:t>Genève, le</w:t>
            </w:r>
            <w:r w:rsidR="004419E9" w:rsidRPr="003B6850">
              <w:rPr>
                <w:rFonts w:cstheme="minorHAnsi"/>
                <w:sz w:val="22"/>
                <w:szCs w:val="22"/>
              </w:rPr>
              <w:t xml:space="preserve"> </w:t>
            </w:r>
            <w:r w:rsidR="00FE664F" w:rsidRPr="003B6850">
              <w:rPr>
                <w:rFonts w:cstheme="minorHAnsi"/>
                <w:sz w:val="22"/>
                <w:szCs w:val="22"/>
              </w:rPr>
              <w:t>2 janvier 2024</w:t>
            </w:r>
          </w:p>
        </w:tc>
      </w:tr>
      <w:tr w:rsidR="00445B68" w:rsidRPr="003B6850" w14:paraId="16CDDFEF" w14:textId="77777777" w:rsidTr="00307FB4">
        <w:trPr>
          <w:cantSplit/>
          <w:trHeight w:val="340"/>
        </w:trPr>
        <w:tc>
          <w:tcPr>
            <w:tcW w:w="0" w:type="auto"/>
          </w:tcPr>
          <w:p w14:paraId="3EFF375D" w14:textId="58556577" w:rsidR="00445B68" w:rsidRPr="003B6850" w:rsidRDefault="00445B68" w:rsidP="00307FB4">
            <w:pPr>
              <w:tabs>
                <w:tab w:val="left" w:pos="4111"/>
              </w:tabs>
              <w:spacing w:before="10"/>
              <w:ind w:left="57"/>
              <w:rPr>
                <w:rFonts w:cstheme="minorHAnsi"/>
                <w:b/>
                <w:bCs/>
                <w:sz w:val="22"/>
                <w:szCs w:val="22"/>
              </w:rPr>
            </w:pPr>
            <w:proofErr w:type="gramStart"/>
            <w:r w:rsidRPr="003B6850">
              <w:rPr>
                <w:rFonts w:cstheme="minorHAnsi"/>
                <w:b/>
                <w:bCs/>
                <w:sz w:val="22"/>
                <w:szCs w:val="22"/>
              </w:rPr>
              <w:t>Réf.:</w:t>
            </w:r>
            <w:proofErr w:type="gramEnd"/>
          </w:p>
        </w:tc>
        <w:tc>
          <w:tcPr>
            <w:tcW w:w="3399" w:type="dxa"/>
          </w:tcPr>
          <w:p w14:paraId="5FFBBC9B" w14:textId="5D74E9B7" w:rsidR="00445B68" w:rsidRPr="003B6850" w:rsidRDefault="00445B68" w:rsidP="00A5280F">
            <w:pPr>
              <w:tabs>
                <w:tab w:val="left" w:pos="4111"/>
              </w:tabs>
              <w:spacing w:before="10"/>
              <w:ind w:left="57"/>
              <w:rPr>
                <w:rFonts w:cstheme="minorHAnsi"/>
                <w:b/>
                <w:sz w:val="22"/>
                <w:szCs w:val="22"/>
              </w:rPr>
            </w:pPr>
            <w:r w:rsidRPr="003B6850">
              <w:rPr>
                <w:rFonts w:cstheme="minorHAnsi"/>
                <w:b/>
                <w:sz w:val="22"/>
                <w:szCs w:val="22"/>
              </w:rPr>
              <w:t xml:space="preserve">Circulaire TSB </w:t>
            </w:r>
            <w:r w:rsidR="00FE664F" w:rsidRPr="003B6850">
              <w:rPr>
                <w:rFonts w:cstheme="minorHAnsi"/>
                <w:b/>
                <w:sz w:val="22"/>
                <w:szCs w:val="22"/>
              </w:rPr>
              <w:t>168</w:t>
            </w:r>
          </w:p>
          <w:p w14:paraId="577F6DA2" w14:textId="3122A53C" w:rsidR="00445B68" w:rsidRPr="003B6850" w:rsidRDefault="00445B68" w:rsidP="00307FB4">
            <w:pPr>
              <w:tabs>
                <w:tab w:val="left" w:pos="4111"/>
              </w:tabs>
              <w:spacing w:before="10"/>
              <w:ind w:left="57"/>
              <w:rPr>
                <w:rFonts w:cstheme="minorHAnsi"/>
                <w:b/>
                <w:bCs/>
                <w:sz w:val="22"/>
                <w:szCs w:val="22"/>
              </w:rPr>
            </w:pPr>
          </w:p>
        </w:tc>
        <w:tc>
          <w:tcPr>
            <w:tcW w:w="5051" w:type="dxa"/>
            <w:vMerge w:val="restart"/>
          </w:tcPr>
          <w:p w14:paraId="56FFB697" w14:textId="77777777" w:rsidR="00307FB4" w:rsidRPr="003B6850" w:rsidRDefault="00307FB4" w:rsidP="00FE664F">
            <w:pPr>
              <w:tabs>
                <w:tab w:val="left" w:pos="226"/>
                <w:tab w:val="left" w:pos="4111"/>
              </w:tabs>
              <w:spacing w:before="0"/>
              <w:ind w:left="284" w:hanging="227"/>
              <w:rPr>
                <w:rFonts w:cstheme="minorHAnsi"/>
                <w:b/>
                <w:bCs/>
                <w:sz w:val="22"/>
                <w:szCs w:val="22"/>
              </w:rPr>
            </w:pPr>
            <w:bookmarkStart w:id="0" w:name="Addressee_F"/>
            <w:bookmarkEnd w:id="0"/>
            <w:proofErr w:type="gramStart"/>
            <w:r w:rsidRPr="003B6850">
              <w:rPr>
                <w:rFonts w:cstheme="minorHAnsi"/>
                <w:b/>
                <w:bCs/>
                <w:sz w:val="22"/>
                <w:szCs w:val="22"/>
              </w:rPr>
              <w:t>Aux:</w:t>
            </w:r>
            <w:proofErr w:type="gramEnd"/>
          </w:p>
          <w:p w14:paraId="35271D8E" w14:textId="536C0CE8" w:rsidR="00307FB4" w:rsidRPr="003B6850" w:rsidRDefault="00307FB4" w:rsidP="00FE664F">
            <w:pPr>
              <w:tabs>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 xml:space="preserve">Administrations des États Membres de </w:t>
            </w:r>
            <w:proofErr w:type="gramStart"/>
            <w:r w:rsidRPr="003B6850">
              <w:rPr>
                <w:rFonts w:cstheme="minorHAnsi"/>
                <w:sz w:val="22"/>
                <w:szCs w:val="22"/>
              </w:rPr>
              <w:t>l'Union;</w:t>
            </w:r>
            <w:proofErr w:type="gramEnd"/>
          </w:p>
          <w:p w14:paraId="38A5A6AE" w14:textId="47344D7B" w:rsidR="00307FB4" w:rsidRPr="003B6850" w:rsidRDefault="00307FB4" w:rsidP="00FE664F">
            <w:pPr>
              <w:tabs>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Membres du Secteur de l'UIT-</w:t>
            </w:r>
            <w:proofErr w:type="gramStart"/>
            <w:r w:rsidRPr="003B6850">
              <w:rPr>
                <w:rFonts w:cstheme="minorHAnsi"/>
                <w:sz w:val="22"/>
                <w:szCs w:val="22"/>
              </w:rPr>
              <w:t>T;</w:t>
            </w:r>
            <w:proofErr w:type="gramEnd"/>
          </w:p>
          <w:p w14:paraId="45F82FBC" w14:textId="7313CB0A" w:rsidR="00307FB4" w:rsidRPr="003B6850" w:rsidRDefault="00307FB4" w:rsidP="00FE664F">
            <w:pPr>
              <w:tabs>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Associés de l'UIT-</w:t>
            </w:r>
            <w:proofErr w:type="gramStart"/>
            <w:r w:rsidRPr="003B6850">
              <w:rPr>
                <w:rFonts w:cstheme="minorHAnsi"/>
                <w:sz w:val="22"/>
                <w:szCs w:val="22"/>
              </w:rPr>
              <w:t>T;</w:t>
            </w:r>
            <w:proofErr w:type="gramEnd"/>
          </w:p>
          <w:p w14:paraId="461460AE" w14:textId="5666B808" w:rsidR="00445B68" w:rsidRPr="003B6850" w:rsidRDefault="00307FB4" w:rsidP="00FE664F">
            <w:pPr>
              <w:tabs>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Établissements universitaires participant aux travaux de l'UIT</w:t>
            </w:r>
          </w:p>
        </w:tc>
      </w:tr>
      <w:tr w:rsidR="00307FB4" w:rsidRPr="003B6850" w14:paraId="06A3F0E7" w14:textId="77777777" w:rsidTr="00307FB4">
        <w:trPr>
          <w:cantSplit/>
          <w:trHeight w:val="340"/>
        </w:trPr>
        <w:tc>
          <w:tcPr>
            <w:tcW w:w="0" w:type="auto"/>
          </w:tcPr>
          <w:p w14:paraId="5CF43A7B" w14:textId="3933CF6D" w:rsidR="00307FB4" w:rsidRPr="003B6850" w:rsidRDefault="00307FB4" w:rsidP="00A5280F">
            <w:pPr>
              <w:tabs>
                <w:tab w:val="left" w:pos="4111"/>
              </w:tabs>
              <w:spacing w:before="10"/>
              <w:ind w:left="57"/>
              <w:rPr>
                <w:rFonts w:cstheme="minorHAnsi"/>
                <w:b/>
                <w:bCs/>
                <w:sz w:val="22"/>
                <w:szCs w:val="22"/>
              </w:rPr>
            </w:pPr>
            <w:proofErr w:type="gramStart"/>
            <w:r w:rsidRPr="003B6850">
              <w:rPr>
                <w:rFonts w:cstheme="minorHAnsi"/>
                <w:b/>
                <w:bCs/>
                <w:sz w:val="22"/>
                <w:szCs w:val="22"/>
              </w:rPr>
              <w:t>Contact:</w:t>
            </w:r>
            <w:proofErr w:type="gramEnd"/>
          </w:p>
        </w:tc>
        <w:tc>
          <w:tcPr>
            <w:tcW w:w="3399" w:type="dxa"/>
          </w:tcPr>
          <w:p w14:paraId="2074781F" w14:textId="34DC1EA2" w:rsidR="00307FB4" w:rsidRPr="003B6850" w:rsidRDefault="00FE664F" w:rsidP="00FE664F">
            <w:pPr>
              <w:tabs>
                <w:tab w:val="left" w:pos="4111"/>
              </w:tabs>
              <w:spacing w:before="10"/>
              <w:ind w:left="57" w:firstLine="4"/>
              <w:rPr>
                <w:rFonts w:cstheme="minorHAnsi"/>
                <w:b/>
                <w:sz w:val="22"/>
                <w:szCs w:val="22"/>
              </w:rPr>
            </w:pPr>
            <w:r w:rsidRPr="003B6850">
              <w:rPr>
                <w:rFonts w:cstheme="minorHAnsi"/>
                <w:b/>
                <w:sz w:val="22"/>
                <w:szCs w:val="22"/>
              </w:rPr>
              <w:t>Vijay Mauree</w:t>
            </w:r>
          </w:p>
        </w:tc>
        <w:tc>
          <w:tcPr>
            <w:tcW w:w="5051" w:type="dxa"/>
            <w:vMerge/>
          </w:tcPr>
          <w:p w14:paraId="2F310545" w14:textId="77777777" w:rsidR="00307FB4" w:rsidRPr="003B6850" w:rsidRDefault="00307FB4" w:rsidP="00FE664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3B6850" w14:paraId="724FD23E" w14:textId="77777777" w:rsidTr="00307FB4">
        <w:trPr>
          <w:cantSplit/>
        </w:trPr>
        <w:tc>
          <w:tcPr>
            <w:tcW w:w="0" w:type="auto"/>
          </w:tcPr>
          <w:p w14:paraId="73149CCD" w14:textId="77777777" w:rsidR="00445B68" w:rsidRPr="003B6850" w:rsidRDefault="00445B68" w:rsidP="00A5280F">
            <w:pPr>
              <w:tabs>
                <w:tab w:val="left" w:pos="4111"/>
              </w:tabs>
              <w:spacing w:before="10"/>
              <w:ind w:left="57"/>
              <w:rPr>
                <w:rFonts w:cstheme="minorHAnsi"/>
                <w:b/>
                <w:bCs/>
                <w:sz w:val="22"/>
                <w:szCs w:val="22"/>
              </w:rPr>
            </w:pPr>
            <w:proofErr w:type="gramStart"/>
            <w:r w:rsidRPr="003B6850">
              <w:rPr>
                <w:rFonts w:cstheme="minorHAnsi"/>
                <w:b/>
                <w:bCs/>
                <w:sz w:val="22"/>
                <w:szCs w:val="22"/>
              </w:rPr>
              <w:t>Tél.:</w:t>
            </w:r>
            <w:proofErr w:type="gramEnd"/>
          </w:p>
        </w:tc>
        <w:tc>
          <w:tcPr>
            <w:tcW w:w="3399" w:type="dxa"/>
          </w:tcPr>
          <w:p w14:paraId="78D06186" w14:textId="0784906B" w:rsidR="00445B68" w:rsidRPr="003B6850" w:rsidRDefault="00445B68" w:rsidP="00A5280F">
            <w:pPr>
              <w:tabs>
                <w:tab w:val="left" w:pos="4111"/>
              </w:tabs>
              <w:spacing w:before="0"/>
              <w:ind w:left="57"/>
              <w:rPr>
                <w:rFonts w:cstheme="minorHAnsi"/>
                <w:sz w:val="22"/>
                <w:szCs w:val="22"/>
              </w:rPr>
            </w:pPr>
            <w:r w:rsidRPr="003B6850">
              <w:rPr>
                <w:rFonts w:cstheme="minorHAnsi"/>
                <w:sz w:val="22"/>
                <w:szCs w:val="22"/>
              </w:rPr>
              <w:t>+41 22 730</w:t>
            </w:r>
            <w:r w:rsidR="00307FB4" w:rsidRPr="003B6850">
              <w:rPr>
                <w:rFonts w:cstheme="minorHAnsi"/>
                <w:sz w:val="22"/>
                <w:szCs w:val="22"/>
              </w:rPr>
              <w:t xml:space="preserve"> </w:t>
            </w:r>
            <w:r w:rsidR="00FE664F" w:rsidRPr="003B6850">
              <w:rPr>
                <w:rFonts w:cstheme="minorHAnsi"/>
                <w:sz w:val="22"/>
                <w:szCs w:val="22"/>
              </w:rPr>
              <w:t>5591</w:t>
            </w:r>
          </w:p>
        </w:tc>
        <w:tc>
          <w:tcPr>
            <w:tcW w:w="5051" w:type="dxa"/>
            <w:vMerge/>
          </w:tcPr>
          <w:p w14:paraId="6D3A5806" w14:textId="77777777" w:rsidR="00445B68" w:rsidRPr="003B6850" w:rsidRDefault="00445B68" w:rsidP="00FE664F">
            <w:pPr>
              <w:tabs>
                <w:tab w:val="left" w:pos="226"/>
                <w:tab w:val="left" w:pos="4111"/>
              </w:tabs>
              <w:spacing w:before="0"/>
              <w:ind w:left="284" w:hanging="227"/>
              <w:rPr>
                <w:rFonts w:cstheme="minorHAnsi"/>
                <w:b/>
                <w:sz w:val="22"/>
                <w:szCs w:val="22"/>
              </w:rPr>
            </w:pPr>
          </w:p>
        </w:tc>
      </w:tr>
      <w:tr w:rsidR="00307FB4" w:rsidRPr="003B6850" w14:paraId="030F9AE5" w14:textId="77777777" w:rsidTr="00E75269">
        <w:trPr>
          <w:cantSplit/>
          <w:trHeight w:val="586"/>
        </w:trPr>
        <w:tc>
          <w:tcPr>
            <w:tcW w:w="0" w:type="auto"/>
          </w:tcPr>
          <w:p w14:paraId="7B417C4C" w14:textId="77777777" w:rsidR="00307FB4" w:rsidRPr="003B6850" w:rsidRDefault="00307FB4" w:rsidP="00A5280F">
            <w:pPr>
              <w:tabs>
                <w:tab w:val="left" w:pos="4111"/>
              </w:tabs>
              <w:spacing w:before="10"/>
              <w:ind w:left="57"/>
              <w:rPr>
                <w:rFonts w:cstheme="minorHAnsi"/>
                <w:b/>
                <w:bCs/>
                <w:sz w:val="22"/>
                <w:szCs w:val="22"/>
              </w:rPr>
            </w:pPr>
            <w:proofErr w:type="gramStart"/>
            <w:r w:rsidRPr="003B6850">
              <w:rPr>
                <w:rFonts w:cstheme="minorHAnsi"/>
                <w:b/>
                <w:bCs/>
                <w:sz w:val="22"/>
                <w:szCs w:val="22"/>
              </w:rPr>
              <w:t>Télécopie:</w:t>
            </w:r>
            <w:proofErr w:type="gramEnd"/>
          </w:p>
        </w:tc>
        <w:tc>
          <w:tcPr>
            <w:tcW w:w="3399" w:type="dxa"/>
          </w:tcPr>
          <w:p w14:paraId="1A4A5F7B" w14:textId="77777777" w:rsidR="00307FB4" w:rsidRPr="003B6850" w:rsidRDefault="00307FB4" w:rsidP="00A5280F">
            <w:pPr>
              <w:tabs>
                <w:tab w:val="left" w:pos="4111"/>
              </w:tabs>
              <w:spacing w:before="0"/>
              <w:ind w:left="57"/>
              <w:rPr>
                <w:rFonts w:cstheme="minorHAnsi"/>
                <w:sz w:val="22"/>
                <w:szCs w:val="22"/>
              </w:rPr>
            </w:pPr>
            <w:r w:rsidRPr="003B6850">
              <w:rPr>
                <w:rFonts w:cstheme="minorHAnsi"/>
                <w:sz w:val="22"/>
                <w:szCs w:val="22"/>
              </w:rPr>
              <w:t>+41 22 730 5853</w:t>
            </w:r>
          </w:p>
        </w:tc>
        <w:tc>
          <w:tcPr>
            <w:tcW w:w="5051" w:type="dxa"/>
            <w:vMerge/>
          </w:tcPr>
          <w:p w14:paraId="323DAC81" w14:textId="77777777" w:rsidR="00307FB4" w:rsidRPr="003B6850" w:rsidRDefault="00307FB4" w:rsidP="00FE664F">
            <w:pPr>
              <w:tabs>
                <w:tab w:val="left" w:pos="226"/>
                <w:tab w:val="left" w:pos="4111"/>
              </w:tabs>
              <w:spacing w:before="0"/>
              <w:ind w:left="284" w:hanging="227"/>
              <w:rPr>
                <w:rFonts w:cstheme="minorHAnsi"/>
                <w:b/>
                <w:sz w:val="22"/>
                <w:szCs w:val="22"/>
              </w:rPr>
            </w:pPr>
          </w:p>
        </w:tc>
      </w:tr>
      <w:tr w:rsidR="00307FB4" w:rsidRPr="003B6850" w14:paraId="640FB6B9" w14:textId="77777777" w:rsidTr="003B6850">
        <w:trPr>
          <w:cantSplit/>
          <w:trHeight w:val="2105"/>
        </w:trPr>
        <w:tc>
          <w:tcPr>
            <w:tcW w:w="0" w:type="auto"/>
          </w:tcPr>
          <w:p w14:paraId="15527369" w14:textId="0865F49A" w:rsidR="00307FB4" w:rsidRPr="003B6850" w:rsidRDefault="00307FB4" w:rsidP="00A5280F">
            <w:pPr>
              <w:tabs>
                <w:tab w:val="left" w:pos="4111"/>
              </w:tabs>
              <w:spacing w:before="10"/>
              <w:ind w:left="57"/>
              <w:rPr>
                <w:rFonts w:cstheme="minorHAnsi"/>
                <w:b/>
                <w:bCs/>
                <w:sz w:val="22"/>
                <w:szCs w:val="22"/>
              </w:rPr>
            </w:pPr>
            <w:proofErr w:type="gramStart"/>
            <w:r w:rsidRPr="003B6850">
              <w:rPr>
                <w:rFonts w:cstheme="minorHAnsi"/>
                <w:b/>
                <w:bCs/>
                <w:sz w:val="22"/>
                <w:szCs w:val="22"/>
              </w:rPr>
              <w:t>Courriel:</w:t>
            </w:r>
            <w:proofErr w:type="gramEnd"/>
          </w:p>
        </w:tc>
        <w:tc>
          <w:tcPr>
            <w:tcW w:w="3399" w:type="dxa"/>
          </w:tcPr>
          <w:p w14:paraId="172249CE" w14:textId="787D6A20" w:rsidR="00307FB4" w:rsidRPr="003B6850" w:rsidRDefault="00DD6B28" w:rsidP="00A5280F">
            <w:pPr>
              <w:tabs>
                <w:tab w:val="left" w:pos="4111"/>
              </w:tabs>
              <w:spacing w:before="0"/>
              <w:ind w:left="57"/>
              <w:rPr>
                <w:rFonts w:cstheme="minorHAnsi"/>
                <w:sz w:val="22"/>
                <w:szCs w:val="22"/>
              </w:rPr>
            </w:pPr>
            <w:hyperlink r:id="rId9" w:history="1">
              <w:r w:rsidR="00FE664F" w:rsidRPr="003B6850">
                <w:rPr>
                  <w:rStyle w:val="Hyperlink"/>
                  <w:rFonts w:cstheme="minorHAnsi"/>
                  <w:sz w:val="22"/>
                  <w:szCs w:val="22"/>
                </w:rPr>
                <w:t>tsbevents@itu.int</w:t>
              </w:r>
            </w:hyperlink>
          </w:p>
        </w:tc>
        <w:tc>
          <w:tcPr>
            <w:tcW w:w="5051" w:type="dxa"/>
          </w:tcPr>
          <w:p w14:paraId="55E5D357" w14:textId="77777777" w:rsidR="00307FB4" w:rsidRPr="003B6850" w:rsidRDefault="00307FB4" w:rsidP="00FE664F">
            <w:pPr>
              <w:tabs>
                <w:tab w:val="clear" w:pos="794"/>
                <w:tab w:val="left" w:pos="226"/>
                <w:tab w:val="left" w:pos="4111"/>
              </w:tabs>
              <w:spacing w:before="0"/>
              <w:ind w:left="284" w:hanging="227"/>
              <w:rPr>
                <w:rFonts w:cstheme="minorHAnsi"/>
                <w:b/>
                <w:bCs/>
                <w:sz w:val="22"/>
                <w:szCs w:val="22"/>
              </w:rPr>
            </w:pPr>
            <w:proofErr w:type="gramStart"/>
            <w:r w:rsidRPr="003B6850">
              <w:rPr>
                <w:rFonts w:cstheme="minorHAnsi"/>
                <w:b/>
                <w:bCs/>
                <w:sz w:val="22"/>
                <w:szCs w:val="22"/>
              </w:rPr>
              <w:t>Copie:</w:t>
            </w:r>
            <w:proofErr w:type="gramEnd"/>
          </w:p>
          <w:p w14:paraId="6CE98CB1" w14:textId="760D432B" w:rsidR="00307FB4" w:rsidRPr="003B6850" w:rsidRDefault="00307FB4" w:rsidP="00FE664F">
            <w:pPr>
              <w:tabs>
                <w:tab w:val="clear" w:pos="794"/>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Aux Présidents et Vice-Présidents des Commissions d'études</w:t>
            </w:r>
            <w:r w:rsidR="00FE664F" w:rsidRPr="003B6850">
              <w:rPr>
                <w:rFonts w:cstheme="minorHAnsi"/>
                <w:sz w:val="22"/>
                <w:szCs w:val="22"/>
              </w:rPr>
              <w:t xml:space="preserve"> de l'UIT-</w:t>
            </w:r>
            <w:proofErr w:type="gramStart"/>
            <w:r w:rsidR="00FE664F" w:rsidRPr="003B6850">
              <w:rPr>
                <w:rFonts w:cstheme="minorHAnsi"/>
                <w:sz w:val="22"/>
                <w:szCs w:val="22"/>
              </w:rPr>
              <w:t>T</w:t>
            </w:r>
            <w:r w:rsidRPr="003B6850">
              <w:rPr>
                <w:rFonts w:cstheme="minorHAnsi"/>
                <w:sz w:val="22"/>
                <w:szCs w:val="22"/>
              </w:rPr>
              <w:t>;</w:t>
            </w:r>
            <w:proofErr w:type="gramEnd"/>
          </w:p>
          <w:p w14:paraId="56C75C35" w14:textId="1A09D40C" w:rsidR="00307FB4" w:rsidRPr="003B6850" w:rsidRDefault="00307FB4" w:rsidP="00FE664F">
            <w:pPr>
              <w:tabs>
                <w:tab w:val="clear" w:pos="794"/>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 xml:space="preserve">Au Directeur du Bureau de développement des </w:t>
            </w:r>
            <w:proofErr w:type="gramStart"/>
            <w:r w:rsidRPr="003B6850">
              <w:rPr>
                <w:rFonts w:cstheme="minorHAnsi"/>
                <w:sz w:val="22"/>
                <w:szCs w:val="22"/>
              </w:rPr>
              <w:t>télécommunications;</w:t>
            </w:r>
            <w:proofErr w:type="gramEnd"/>
          </w:p>
          <w:p w14:paraId="4A9E8214" w14:textId="77777777" w:rsidR="00307FB4" w:rsidRPr="003B6850" w:rsidRDefault="00307FB4" w:rsidP="00FE664F">
            <w:pPr>
              <w:tabs>
                <w:tab w:val="clear" w:pos="794"/>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 xml:space="preserve">Au Directeur du Bureau des </w:t>
            </w:r>
            <w:proofErr w:type="gramStart"/>
            <w:r w:rsidRPr="003B6850">
              <w:rPr>
                <w:rFonts w:cstheme="minorHAnsi"/>
                <w:sz w:val="22"/>
                <w:szCs w:val="22"/>
              </w:rPr>
              <w:t>radiocommunications</w:t>
            </w:r>
            <w:r w:rsidR="00FE664F" w:rsidRPr="003B6850">
              <w:rPr>
                <w:rFonts w:cstheme="minorHAnsi"/>
                <w:sz w:val="22"/>
                <w:szCs w:val="22"/>
              </w:rPr>
              <w:t>;</w:t>
            </w:r>
            <w:proofErr w:type="gramEnd"/>
          </w:p>
          <w:p w14:paraId="19762254" w14:textId="48B715F4" w:rsidR="00FE664F" w:rsidRPr="003B6850" w:rsidRDefault="00FE664F" w:rsidP="00FE664F">
            <w:pPr>
              <w:tabs>
                <w:tab w:val="clear" w:pos="794"/>
                <w:tab w:val="left" w:pos="4111"/>
              </w:tabs>
              <w:spacing w:before="0"/>
              <w:ind w:left="408" w:hanging="351"/>
              <w:rPr>
                <w:rFonts w:cstheme="minorHAnsi"/>
                <w:sz w:val="22"/>
                <w:szCs w:val="22"/>
              </w:rPr>
            </w:pPr>
            <w:r w:rsidRPr="003B6850">
              <w:rPr>
                <w:rFonts w:cstheme="minorHAnsi"/>
                <w:sz w:val="22"/>
                <w:szCs w:val="22"/>
              </w:rPr>
              <w:t>–</w:t>
            </w:r>
            <w:r w:rsidRPr="003B6850">
              <w:rPr>
                <w:rFonts w:cstheme="minorHAnsi"/>
                <w:sz w:val="22"/>
                <w:szCs w:val="22"/>
              </w:rPr>
              <w:tab/>
              <w:t>Aux Directeurs des bureaux régionaux de l'UIT</w:t>
            </w:r>
          </w:p>
        </w:tc>
      </w:tr>
      <w:tr w:rsidR="00517A03" w:rsidRPr="003B6850" w14:paraId="5435C04A" w14:textId="77777777" w:rsidTr="00C41B89">
        <w:trPr>
          <w:cantSplit/>
          <w:trHeight w:val="397"/>
        </w:trPr>
        <w:tc>
          <w:tcPr>
            <w:tcW w:w="0" w:type="auto"/>
          </w:tcPr>
          <w:p w14:paraId="2A0B9B4F" w14:textId="77777777" w:rsidR="00517A03" w:rsidRPr="003B6850" w:rsidRDefault="00517A03" w:rsidP="00307FB4">
            <w:pPr>
              <w:tabs>
                <w:tab w:val="left" w:pos="4111"/>
              </w:tabs>
              <w:ind w:left="57"/>
              <w:rPr>
                <w:rFonts w:cstheme="minorHAnsi"/>
                <w:b/>
                <w:bCs/>
                <w:sz w:val="22"/>
                <w:szCs w:val="22"/>
              </w:rPr>
            </w:pPr>
            <w:proofErr w:type="gramStart"/>
            <w:r w:rsidRPr="003B6850">
              <w:rPr>
                <w:rFonts w:cstheme="minorHAnsi"/>
                <w:b/>
                <w:bCs/>
                <w:sz w:val="22"/>
                <w:szCs w:val="22"/>
              </w:rPr>
              <w:t>Objet:</w:t>
            </w:r>
            <w:proofErr w:type="gramEnd"/>
          </w:p>
        </w:tc>
        <w:tc>
          <w:tcPr>
            <w:tcW w:w="0" w:type="auto"/>
            <w:gridSpan w:val="2"/>
          </w:tcPr>
          <w:p w14:paraId="1A51EE75" w14:textId="04ABB74B" w:rsidR="00517A03" w:rsidRPr="003B6850" w:rsidRDefault="00FE664F" w:rsidP="00FE664F">
            <w:pPr>
              <w:tabs>
                <w:tab w:val="left" w:pos="4111"/>
              </w:tabs>
              <w:spacing w:after="120"/>
              <w:ind w:left="57"/>
              <w:rPr>
                <w:rFonts w:cstheme="minorHAnsi"/>
                <w:b/>
                <w:bCs/>
                <w:sz w:val="22"/>
                <w:szCs w:val="22"/>
              </w:rPr>
            </w:pPr>
            <w:r w:rsidRPr="003B6850">
              <w:rPr>
                <w:rFonts w:cstheme="minorHAnsi"/>
                <w:b/>
                <w:bCs/>
                <w:i/>
                <w:iCs/>
                <w:sz w:val="22"/>
                <w:szCs w:val="22"/>
              </w:rPr>
              <w:t>Série de webinaires sur les modèles de coûts pour des services de données abordables</w:t>
            </w:r>
            <w:r w:rsidRPr="003B6850">
              <w:rPr>
                <w:rFonts w:cstheme="minorHAnsi"/>
                <w:b/>
                <w:bCs/>
                <w:i/>
                <w:iCs/>
                <w:sz w:val="22"/>
                <w:szCs w:val="22"/>
              </w:rPr>
              <w:br/>
              <w:t xml:space="preserve">Épisode </w:t>
            </w:r>
            <w:proofErr w:type="gramStart"/>
            <w:r w:rsidRPr="003B6850">
              <w:rPr>
                <w:rFonts w:cstheme="minorHAnsi"/>
                <w:b/>
                <w:bCs/>
                <w:i/>
                <w:iCs/>
                <w:sz w:val="22"/>
                <w:szCs w:val="22"/>
              </w:rPr>
              <w:t>1:</w:t>
            </w:r>
            <w:proofErr w:type="gramEnd"/>
            <w:r w:rsidRPr="003B6850">
              <w:rPr>
                <w:rFonts w:cstheme="minorHAnsi"/>
                <w:b/>
                <w:bCs/>
                <w:i/>
                <w:iCs/>
                <w:sz w:val="22"/>
                <w:szCs w:val="22"/>
              </w:rPr>
              <w:t xml:space="preserve"> Bonnes pratiques relatives à l'utilisation en partage des infrastructures pour la fourniture de services de données financièrement abordables</w:t>
            </w:r>
            <w:r w:rsidRPr="003B6850">
              <w:rPr>
                <w:rFonts w:cstheme="minorHAnsi"/>
                <w:b/>
                <w:bCs/>
                <w:i/>
                <w:iCs/>
                <w:sz w:val="22"/>
                <w:szCs w:val="22"/>
              </w:rPr>
              <w:br/>
              <w:t>(Réunion entièrement virtuelle, 7 février 2024)</w:t>
            </w:r>
          </w:p>
        </w:tc>
      </w:tr>
    </w:tbl>
    <w:p w14:paraId="2D1EC328" w14:textId="77777777" w:rsidR="00517A03" w:rsidRPr="003B6850" w:rsidRDefault="00517A03" w:rsidP="003B6850">
      <w:pPr>
        <w:rPr>
          <w:rFonts w:cstheme="minorHAnsi"/>
          <w:sz w:val="22"/>
          <w:szCs w:val="22"/>
        </w:rPr>
      </w:pPr>
      <w:bookmarkStart w:id="1" w:name="StartTyping_F"/>
      <w:bookmarkEnd w:id="1"/>
      <w:r w:rsidRPr="003B6850">
        <w:rPr>
          <w:rFonts w:cstheme="minorHAnsi"/>
          <w:sz w:val="22"/>
          <w:szCs w:val="22"/>
        </w:rPr>
        <w:t>Madame, Monsieur,</w:t>
      </w:r>
    </w:p>
    <w:p w14:paraId="32746F62" w14:textId="627243CB" w:rsidR="00FE664F" w:rsidRPr="003B6850" w:rsidRDefault="00FE664F" w:rsidP="003B6850">
      <w:pPr>
        <w:rPr>
          <w:rFonts w:cstheme="minorHAnsi"/>
          <w:bCs/>
          <w:sz w:val="22"/>
          <w:szCs w:val="22"/>
        </w:rPr>
      </w:pPr>
      <w:r w:rsidRPr="003B6850">
        <w:rPr>
          <w:rFonts w:cstheme="minorHAnsi"/>
          <w:bCs/>
          <w:sz w:val="22"/>
          <w:szCs w:val="22"/>
        </w:rPr>
        <w:t xml:space="preserve">Le </w:t>
      </w:r>
      <w:hyperlink r:id="rId10" w:history="1">
        <w:r w:rsidRPr="003B6850">
          <w:rPr>
            <w:rStyle w:val="Hyperlink"/>
            <w:rFonts w:cstheme="minorHAnsi"/>
            <w:bCs/>
            <w:sz w:val="22"/>
            <w:szCs w:val="22"/>
          </w:rPr>
          <w:t>Groupe spécialisé de l'UIT-T sur les modèles d'établissement des coûts relatifs à des services de données financièrement abordables</w:t>
        </w:r>
      </w:hyperlink>
      <w:r w:rsidRPr="003B6850">
        <w:rPr>
          <w:rFonts w:cstheme="minorHAnsi"/>
          <w:bCs/>
          <w:sz w:val="22"/>
          <w:szCs w:val="22"/>
        </w:rPr>
        <w:t xml:space="preserve"> a pour mission d'analyser la chaîne d'approvisionnement des télécommunications/TIC, ainsi que les différents modèles de coûts et les différentes stratégies de tarification utilisés pour les services de données mobiles et les services Internet; il est également chargé d'étudier les aspects liés aux politiques, à l'économie, à la réglementation et à la normalisation liés aux modèles d'établissement des coûts pour des services de données abordables, y compris les bonnes pratiques sur les méthodes d'établissement des coûts et les modèles économiques. Dans le cadre de ses activités, le groupe spécialisé organise une série de webinaires sur les </w:t>
      </w:r>
      <w:r w:rsidRPr="003B6850">
        <w:rPr>
          <w:rFonts w:cstheme="minorHAnsi"/>
          <w:b/>
          <w:sz w:val="22"/>
          <w:szCs w:val="22"/>
        </w:rPr>
        <w:t>modèles de coûts pour des services de données abordables</w:t>
      </w:r>
      <w:r w:rsidRPr="003B6850">
        <w:rPr>
          <w:rFonts w:cstheme="minorHAnsi"/>
          <w:bCs/>
          <w:sz w:val="22"/>
          <w:szCs w:val="22"/>
        </w:rPr>
        <w:t>, au cours du premier semestre de 2024. Ces webinaires porteront sur les domaines d'intérêt actuellement à l'étude.</w:t>
      </w:r>
    </w:p>
    <w:p w14:paraId="37E1CF41" w14:textId="0F9C5ABD" w:rsidR="00FE664F" w:rsidRPr="003B6850" w:rsidRDefault="00FE664F" w:rsidP="003B6850">
      <w:pPr>
        <w:rPr>
          <w:rFonts w:cstheme="minorHAnsi"/>
          <w:bCs/>
          <w:sz w:val="22"/>
          <w:szCs w:val="22"/>
        </w:rPr>
      </w:pPr>
      <w:r w:rsidRPr="003B6850">
        <w:rPr>
          <w:rFonts w:cstheme="minorHAnsi"/>
          <w:bCs/>
          <w:sz w:val="22"/>
          <w:szCs w:val="22"/>
        </w:rPr>
        <w:t xml:space="preserve">Le premier épisode de la série s'intéressera aux </w:t>
      </w:r>
      <w:r w:rsidRPr="003B6850">
        <w:rPr>
          <w:rFonts w:cstheme="minorHAnsi"/>
          <w:bCs/>
          <w:i/>
          <w:iCs/>
          <w:sz w:val="22"/>
          <w:szCs w:val="22"/>
        </w:rPr>
        <w:t>Bonnes pratiques relatives à l'utilisation en partage des infrastructures pour la fourniture de services de données financièrement abordables</w:t>
      </w:r>
      <w:r w:rsidRPr="003B6850">
        <w:rPr>
          <w:rFonts w:cstheme="minorHAnsi"/>
          <w:bCs/>
          <w:sz w:val="22"/>
          <w:szCs w:val="22"/>
        </w:rPr>
        <w:t xml:space="preserve">. Il sera diffusé le </w:t>
      </w:r>
      <w:r w:rsidRPr="003B6850">
        <w:rPr>
          <w:rFonts w:cstheme="minorHAnsi"/>
          <w:b/>
          <w:sz w:val="22"/>
          <w:szCs w:val="22"/>
        </w:rPr>
        <w:t>7 février 2024</w:t>
      </w:r>
      <w:r w:rsidRPr="003B6850">
        <w:rPr>
          <w:rFonts w:cstheme="minorHAnsi"/>
          <w:bCs/>
          <w:sz w:val="22"/>
          <w:szCs w:val="22"/>
        </w:rPr>
        <w:t>.</w:t>
      </w:r>
    </w:p>
    <w:p w14:paraId="6CD8C37B" w14:textId="1FC62BD2" w:rsidR="00FE664F" w:rsidRPr="003B6850" w:rsidRDefault="00FE664F" w:rsidP="003B6850">
      <w:pPr>
        <w:rPr>
          <w:rFonts w:cstheme="minorHAnsi"/>
          <w:bCs/>
          <w:sz w:val="22"/>
          <w:szCs w:val="22"/>
        </w:rPr>
      </w:pPr>
      <w:r w:rsidRPr="003B6850">
        <w:rPr>
          <w:rFonts w:cstheme="minorHAnsi"/>
          <w:bCs/>
          <w:sz w:val="22"/>
          <w:szCs w:val="22"/>
        </w:rPr>
        <w:t xml:space="preserve">La mutualisation des infrastructures fait partie des mesures stratégiques qui ont contribué à réduire le prix des services de télécommunication. La </w:t>
      </w:r>
      <w:hyperlink r:id="rId11" w:history="1">
        <w:r w:rsidRPr="003B6850">
          <w:rPr>
            <w:rStyle w:val="Hyperlink"/>
            <w:rFonts w:cstheme="minorHAnsi"/>
            <w:bCs/>
            <w:sz w:val="22"/>
            <w:szCs w:val="22"/>
          </w:rPr>
          <w:t>Recommandation UIT-T D.264</w:t>
        </w:r>
      </w:hyperlink>
      <w:r w:rsidRPr="003B6850">
        <w:rPr>
          <w:rFonts w:cstheme="minorHAnsi"/>
          <w:bCs/>
          <w:sz w:val="22"/>
          <w:szCs w:val="22"/>
        </w:rPr>
        <w:t xml:space="preserve"> propose un ensemble de méthodes possibles visant à aider les fournisseurs de services de télécommunication à réaliser des économies et à accroître l'efficacité grâce à l'utilisation en partage des infrastructures de télécommunication, y compris l'utilisation en partage des infrastructures passives et actives. La Recommandation évalue à 30% les économies qu'il est possible de réaliser en mutualisant les infrastructures passives, ces économies pouvant atteindre 50 à 60% lorsque les infrastructures actives sont utilisées en partage.</w:t>
      </w:r>
    </w:p>
    <w:p w14:paraId="52D041D7" w14:textId="771DAE5D" w:rsidR="00FE664F" w:rsidRPr="003B6850" w:rsidRDefault="00FE664F" w:rsidP="003B6850">
      <w:pPr>
        <w:rPr>
          <w:rFonts w:cstheme="minorHAnsi"/>
          <w:bCs/>
          <w:sz w:val="22"/>
          <w:szCs w:val="22"/>
        </w:rPr>
      </w:pPr>
      <w:r w:rsidRPr="003B6850">
        <w:rPr>
          <w:rFonts w:cstheme="minorHAnsi"/>
          <w:bCs/>
          <w:sz w:val="22"/>
          <w:szCs w:val="22"/>
        </w:rPr>
        <w:t xml:space="preserve">On entend par utilisation en partage des infrastructures (passives et actives) le processus par lequel plusieurs opérateurs partagent des infrastructures pour fournir un service mobile aux utilisateurs finals. Le partage des infrastructures passives renvoie au partage des éléments passifs de l'infrastructure de réseau (pylônes, sites, armoires, systèmes d'alimentation électrique et de climatisation), tandis que, dans le cas des </w:t>
      </w:r>
      <w:r w:rsidRPr="003B6850">
        <w:rPr>
          <w:rFonts w:cstheme="minorHAnsi"/>
          <w:bCs/>
          <w:sz w:val="22"/>
          <w:szCs w:val="22"/>
        </w:rPr>
        <w:lastRenderedPageBreak/>
        <w:t>infrastructures actives, il s'agit de mutualiser des éléments actifs du réseau d'accès radioélectrique (antenne ou contrôleur de réseau d'accès radioélectrique (RNC), par exemple).</w:t>
      </w:r>
    </w:p>
    <w:p w14:paraId="1A7AAE33" w14:textId="4B835BBF" w:rsidR="00FE664F" w:rsidRPr="003B6850" w:rsidRDefault="00FE664F" w:rsidP="003B6850">
      <w:pPr>
        <w:rPr>
          <w:rFonts w:cstheme="minorHAnsi"/>
          <w:bCs/>
          <w:sz w:val="22"/>
          <w:szCs w:val="22"/>
        </w:rPr>
      </w:pPr>
      <w:r w:rsidRPr="003B6850">
        <w:rPr>
          <w:rFonts w:cstheme="minorHAnsi"/>
          <w:bCs/>
          <w:sz w:val="22"/>
          <w:szCs w:val="22"/>
        </w:rPr>
        <w:t>Entre autres objectifs, ce webinaire intitulé "Bonnes pratiques relatives à l'utilisation en partage des infrastructures pour la fourniture de services de données financièrement abordables" se veut un panorama des bonnes pratiques sur les modes d'utilisation en partage des infrastructures, en présentant des exemples mis en œuvre dans différents pays, et porte sur l'équilibre à trouver dans la mise en place des mesures d'incitation, qui doivent favoriser l'efficacité des investissements dans l'infrastructure sans nuire à la concurrence, et sur des recommandations qui pourraient être envisagées par le groupe spécialisé travaillant sur cette question.</w:t>
      </w:r>
    </w:p>
    <w:p w14:paraId="6F798CE0" w14:textId="77777777" w:rsidR="00FE664F" w:rsidRPr="003B6850" w:rsidRDefault="00FE664F" w:rsidP="003B6850">
      <w:pPr>
        <w:pStyle w:val="headingb"/>
        <w:rPr>
          <w:rFonts w:cstheme="minorHAnsi"/>
          <w:sz w:val="22"/>
          <w:szCs w:val="22"/>
        </w:rPr>
      </w:pPr>
      <w:r w:rsidRPr="003B6850">
        <w:rPr>
          <w:rFonts w:cstheme="minorHAnsi"/>
          <w:sz w:val="22"/>
          <w:szCs w:val="22"/>
        </w:rPr>
        <w:t xml:space="preserve">Les prochains webinaires prévus sont les </w:t>
      </w:r>
      <w:proofErr w:type="gramStart"/>
      <w:r w:rsidRPr="003B6850">
        <w:rPr>
          <w:rFonts w:cstheme="minorHAnsi"/>
          <w:sz w:val="22"/>
          <w:szCs w:val="22"/>
        </w:rPr>
        <w:t>suivants:</w:t>
      </w:r>
      <w:proofErr w:type="gramEnd"/>
    </w:p>
    <w:p w14:paraId="251E6FFA" w14:textId="1E648074" w:rsidR="00FE664F" w:rsidRPr="003B6850" w:rsidRDefault="00FE664F" w:rsidP="003B6850">
      <w:pPr>
        <w:pStyle w:val="enumlev1"/>
        <w:rPr>
          <w:rFonts w:cstheme="minorHAnsi"/>
          <w:sz w:val="22"/>
          <w:szCs w:val="22"/>
        </w:rPr>
      </w:pPr>
      <w:r w:rsidRPr="003B6850">
        <w:rPr>
          <w:rFonts w:cstheme="minorHAnsi"/>
          <w:sz w:val="22"/>
          <w:szCs w:val="22"/>
        </w:rPr>
        <w:t>1)</w:t>
      </w:r>
      <w:r w:rsidRPr="003B6850">
        <w:rPr>
          <w:rFonts w:cstheme="minorHAnsi"/>
          <w:sz w:val="22"/>
          <w:szCs w:val="22"/>
        </w:rPr>
        <w:tab/>
      </w:r>
      <w:proofErr w:type="gramStart"/>
      <w:r w:rsidRPr="003B6850">
        <w:rPr>
          <w:rFonts w:cstheme="minorHAnsi"/>
          <w:sz w:val="22"/>
          <w:szCs w:val="22"/>
        </w:rPr>
        <w:t>Février</w:t>
      </w:r>
      <w:proofErr w:type="gramEnd"/>
      <w:r w:rsidRPr="003B6850">
        <w:rPr>
          <w:rFonts w:cstheme="minorHAnsi"/>
          <w:sz w:val="22"/>
          <w:szCs w:val="22"/>
        </w:rPr>
        <w:t xml:space="preserve"> 2024 – Mesures d'incitation politiques et économiques visant à promouvoir l'accessibilité financière.</w:t>
      </w:r>
    </w:p>
    <w:p w14:paraId="1BBA9460" w14:textId="7BF49BEE" w:rsidR="00FE664F" w:rsidRPr="003B6850" w:rsidRDefault="00FE664F" w:rsidP="003B6850">
      <w:pPr>
        <w:pStyle w:val="enumlev1"/>
        <w:rPr>
          <w:rFonts w:cstheme="minorHAnsi"/>
          <w:sz w:val="22"/>
          <w:szCs w:val="22"/>
        </w:rPr>
      </w:pPr>
      <w:r w:rsidRPr="003B6850">
        <w:rPr>
          <w:rFonts w:cstheme="minorHAnsi"/>
          <w:sz w:val="22"/>
          <w:szCs w:val="22"/>
        </w:rPr>
        <w:t>2)</w:t>
      </w:r>
      <w:r w:rsidRPr="003B6850">
        <w:rPr>
          <w:rFonts w:cstheme="minorHAnsi"/>
          <w:sz w:val="22"/>
          <w:szCs w:val="22"/>
        </w:rPr>
        <w:tab/>
      </w:r>
      <w:proofErr w:type="gramStart"/>
      <w:r w:rsidRPr="003B6850">
        <w:rPr>
          <w:rFonts w:cstheme="minorHAnsi"/>
          <w:sz w:val="22"/>
          <w:szCs w:val="22"/>
        </w:rPr>
        <w:t>Février</w:t>
      </w:r>
      <w:proofErr w:type="gramEnd"/>
      <w:r w:rsidRPr="003B6850">
        <w:rPr>
          <w:rFonts w:cstheme="minorHAnsi"/>
          <w:sz w:val="22"/>
          <w:szCs w:val="22"/>
        </w:rPr>
        <w:t xml:space="preserve"> 2024 – Les externalités et leurs effets sur le coût du large bande.</w:t>
      </w:r>
    </w:p>
    <w:p w14:paraId="5FDAF672" w14:textId="40F79E40" w:rsidR="00FE664F" w:rsidRPr="003B6850" w:rsidRDefault="00FE664F" w:rsidP="003B6850">
      <w:pPr>
        <w:pStyle w:val="enumlev1"/>
        <w:rPr>
          <w:rFonts w:cstheme="minorHAnsi"/>
          <w:sz w:val="22"/>
          <w:szCs w:val="22"/>
        </w:rPr>
      </w:pPr>
      <w:r w:rsidRPr="003B6850">
        <w:rPr>
          <w:rFonts w:cstheme="minorHAnsi"/>
          <w:sz w:val="22"/>
          <w:szCs w:val="22"/>
        </w:rPr>
        <w:t>3)</w:t>
      </w:r>
      <w:r w:rsidRPr="003B6850">
        <w:rPr>
          <w:rFonts w:cstheme="minorHAnsi"/>
          <w:sz w:val="22"/>
          <w:szCs w:val="22"/>
        </w:rPr>
        <w:tab/>
        <w:t>Mars 2024 – Réseaux d'accès radioélectriques ouverts et techniques d'optimisation des coûts.</w:t>
      </w:r>
    </w:p>
    <w:p w14:paraId="6E2D6FDE" w14:textId="7A5C270B" w:rsidR="00FE664F" w:rsidRPr="003B6850" w:rsidRDefault="00FE664F" w:rsidP="003B6850">
      <w:pPr>
        <w:pStyle w:val="enumlev1"/>
        <w:rPr>
          <w:rFonts w:cstheme="minorHAnsi"/>
          <w:sz w:val="22"/>
          <w:szCs w:val="22"/>
        </w:rPr>
      </w:pPr>
      <w:r w:rsidRPr="003B6850">
        <w:rPr>
          <w:rFonts w:cstheme="minorHAnsi"/>
          <w:sz w:val="22"/>
          <w:szCs w:val="22"/>
        </w:rPr>
        <w:t>4)</w:t>
      </w:r>
      <w:r w:rsidRPr="003B6850">
        <w:rPr>
          <w:rFonts w:cstheme="minorHAnsi"/>
          <w:sz w:val="22"/>
          <w:szCs w:val="22"/>
        </w:rPr>
        <w:tab/>
      </w:r>
      <w:proofErr w:type="gramStart"/>
      <w:r w:rsidRPr="003B6850">
        <w:rPr>
          <w:rFonts w:cstheme="minorHAnsi"/>
          <w:sz w:val="22"/>
          <w:szCs w:val="22"/>
        </w:rPr>
        <w:t>Mai</w:t>
      </w:r>
      <w:proofErr w:type="gramEnd"/>
      <w:r w:rsidRPr="003B6850">
        <w:rPr>
          <w:rFonts w:cstheme="minorHAnsi"/>
          <w:sz w:val="22"/>
          <w:szCs w:val="22"/>
        </w:rPr>
        <w:t xml:space="preserve"> 2024 – Emploi du Fonds pour le service universel.</w:t>
      </w:r>
    </w:p>
    <w:p w14:paraId="60298C89" w14:textId="3AEA05FA" w:rsidR="00FE664F" w:rsidRPr="003B6850" w:rsidRDefault="00FE664F" w:rsidP="003B6850">
      <w:pPr>
        <w:pStyle w:val="enumlev1"/>
        <w:rPr>
          <w:rFonts w:cstheme="minorHAnsi"/>
          <w:sz w:val="22"/>
          <w:szCs w:val="22"/>
        </w:rPr>
      </w:pPr>
      <w:r w:rsidRPr="003B6850">
        <w:rPr>
          <w:rFonts w:cstheme="minorHAnsi"/>
          <w:sz w:val="22"/>
          <w:szCs w:val="22"/>
        </w:rPr>
        <w:t>5)</w:t>
      </w:r>
      <w:r w:rsidRPr="003B6850">
        <w:rPr>
          <w:rFonts w:cstheme="minorHAnsi"/>
          <w:sz w:val="22"/>
          <w:szCs w:val="22"/>
        </w:rPr>
        <w:tab/>
        <w:t xml:space="preserve">Juin 2024 – Technologies nouvelles pour la connectivité sur le dernier </w:t>
      </w:r>
      <w:proofErr w:type="gramStart"/>
      <w:r w:rsidRPr="003B6850">
        <w:rPr>
          <w:rFonts w:cstheme="minorHAnsi"/>
          <w:sz w:val="22"/>
          <w:szCs w:val="22"/>
        </w:rPr>
        <w:t>kilomètre:</w:t>
      </w:r>
      <w:proofErr w:type="gramEnd"/>
      <w:r w:rsidRPr="003B6850">
        <w:rPr>
          <w:rFonts w:cstheme="minorHAnsi"/>
          <w:sz w:val="22"/>
          <w:szCs w:val="22"/>
        </w:rPr>
        <w:t xml:space="preserve"> satellite (mobile spatial), bande VE, Communications optiques en espace libre (FSOC), etc.</w:t>
      </w:r>
    </w:p>
    <w:p w14:paraId="35014B65" w14:textId="3C52C3B6" w:rsidR="00FE664F" w:rsidRPr="003B6850" w:rsidRDefault="00FE664F" w:rsidP="003B6850">
      <w:pPr>
        <w:rPr>
          <w:rFonts w:cstheme="minorHAnsi"/>
          <w:bCs/>
          <w:sz w:val="22"/>
          <w:szCs w:val="22"/>
        </w:rPr>
      </w:pPr>
      <w:r w:rsidRPr="003B6850">
        <w:rPr>
          <w:rFonts w:cstheme="minorHAnsi"/>
          <w:bCs/>
          <w:sz w:val="22"/>
          <w:szCs w:val="22"/>
        </w:rPr>
        <w:t>La participation à ces webinaires est ouverte aux États Membres, aux membres du Secteur, aux Associés de l'UIT et aux établissements universitaires participants aux travaux de l'UIT, ainsi qu'à toute personne d'un pays membre de l'Union qui souhaite contribuer aux travaux, y compris les membres d'une organisation internationale, régionale ou nationale.</w:t>
      </w:r>
    </w:p>
    <w:p w14:paraId="0DB6438D" w14:textId="784C4282" w:rsidR="00FE664F" w:rsidRPr="003B6850" w:rsidRDefault="00FE664F" w:rsidP="003B6850">
      <w:pPr>
        <w:rPr>
          <w:rFonts w:cstheme="minorHAnsi"/>
          <w:bCs/>
          <w:sz w:val="22"/>
          <w:szCs w:val="22"/>
        </w:rPr>
      </w:pPr>
      <w:r w:rsidRPr="003B6850">
        <w:rPr>
          <w:rFonts w:cstheme="minorHAnsi"/>
          <w:bCs/>
          <w:sz w:val="22"/>
          <w:szCs w:val="22"/>
        </w:rPr>
        <w:t xml:space="preserve">Toutes les informations utiles relatives à ce premier épisode et aux épisodes suivants (programme, intervenants, liens pour l'inscription, modalités de connexion à distance) seront publiées sur la </w:t>
      </w:r>
      <w:r w:rsidRPr="003B6850">
        <w:rPr>
          <w:rFonts w:cstheme="minorHAnsi"/>
          <w:b/>
          <w:sz w:val="22"/>
          <w:szCs w:val="22"/>
        </w:rPr>
        <w:t>page d'accueil principale</w:t>
      </w:r>
      <w:r w:rsidRPr="003B6850">
        <w:rPr>
          <w:rFonts w:cstheme="minorHAnsi"/>
          <w:bCs/>
          <w:sz w:val="22"/>
          <w:szCs w:val="22"/>
        </w:rPr>
        <w:t xml:space="preserve"> à </w:t>
      </w:r>
      <w:proofErr w:type="gramStart"/>
      <w:r w:rsidRPr="003B6850">
        <w:rPr>
          <w:rFonts w:cstheme="minorHAnsi"/>
          <w:bCs/>
          <w:sz w:val="22"/>
          <w:szCs w:val="22"/>
        </w:rPr>
        <w:t>l'adresse:</w:t>
      </w:r>
      <w:proofErr w:type="gramEnd"/>
      <w:r w:rsidRPr="003B6850">
        <w:rPr>
          <w:rFonts w:cstheme="minorHAnsi"/>
          <w:bCs/>
          <w:sz w:val="22"/>
          <w:szCs w:val="22"/>
        </w:rPr>
        <w:t xml:space="preserve"> </w:t>
      </w:r>
      <w:hyperlink r:id="rId12" w:history="1">
        <w:r w:rsidRPr="003B6850">
          <w:rPr>
            <w:rStyle w:val="Hyperlink"/>
            <w:rFonts w:cstheme="minorHAnsi"/>
            <w:bCs/>
            <w:sz w:val="22"/>
            <w:szCs w:val="22"/>
          </w:rPr>
          <w:t>https://www.itu.int/en/ITU-T/webinars/amd-iic/Pages/default.aspx</w:t>
        </w:r>
      </w:hyperlink>
      <w:r w:rsidRPr="003B6850">
        <w:rPr>
          <w:rFonts w:cstheme="minorHAnsi"/>
          <w:bCs/>
          <w:sz w:val="22"/>
          <w:szCs w:val="22"/>
        </w:rPr>
        <w:t>. Les participants sont priés de consulter régulièrement la page web pour prendre connaissance des dernières informations.</w:t>
      </w:r>
    </w:p>
    <w:p w14:paraId="244A343E" w14:textId="77777777" w:rsidR="00FE664F" w:rsidRPr="003B6850" w:rsidRDefault="00FE664F" w:rsidP="003B6850">
      <w:pPr>
        <w:rPr>
          <w:rFonts w:cstheme="minorHAnsi"/>
          <w:bCs/>
          <w:sz w:val="22"/>
          <w:szCs w:val="22"/>
        </w:rPr>
      </w:pPr>
      <w:r w:rsidRPr="003B6850">
        <w:rPr>
          <w:rFonts w:cstheme="minorHAnsi"/>
          <w:bCs/>
          <w:sz w:val="22"/>
          <w:szCs w:val="22"/>
        </w:rPr>
        <w:t>Nous nous réjouissons à l'avance de votre participation et de vos contributions précieuses.</w:t>
      </w:r>
    </w:p>
    <w:p w14:paraId="6A4CD67F" w14:textId="31BAE82F" w:rsidR="00307FB4" w:rsidRPr="003B6850" w:rsidRDefault="00FE664F" w:rsidP="003B6850">
      <w:pPr>
        <w:rPr>
          <w:rFonts w:cstheme="minorHAnsi"/>
          <w:bCs/>
          <w:sz w:val="22"/>
          <w:szCs w:val="22"/>
        </w:rPr>
      </w:pPr>
      <w:r w:rsidRPr="003B6850">
        <w:rPr>
          <w:rFonts w:cstheme="minorHAnsi"/>
          <w:bCs/>
          <w:sz w:val="22"/>
          <w:szCs w:val="22"/>
        </w:rPr>
        <w:t>Veuillez agréer, Madame, Monsieur, l'assurance de ma considération distinguée,</w:t>
      </w:r>
    </w:p>
    <w:p w14:paraId="3B647157" w14:textId="4B2185EB" w:rsidR="00517A03" w:rsidRPr="003B6850" w:rsidRDefault="00DD6B28" w:rsidP="003B6850">
      <w:pPr>
        <w:spacing w:before="840"/>
        <w:rPr>
          <w:bCs/>
          <w:sz w:val="22"/>
          <w:szCs w:val="18"/>
        </w:rPr>
      </w:pPr>
      <w:r>
        <w:rPr>
          <w:bCs/>
          <w:noProof/>
          <w:sz w:val="22"/>
          <w:szCs w:val="18"/>
        </w:rPr>
        <w:drawing>
          <wp:anchor distT="0" distB="0" distL="114300" distR="114300" simplePos="0" relativeHeight="251658240" behindDoc="1" locked="0" layoutInCell="1" allowOverlap="1" wp14:anchorId="601B6BCD" wp14:editId="2257CAB4">
            <wp:simplePos x="0" y="0"/>
            <wp:positionH relativeFrom="column">
              <wp:posOffset>3810</wp:posOffset>
            </wp:positionH>
            <wp:positionV relativeFrom="paragraph">
              <wp:posOffset>73660</wp:posOffset>
            </wp:positionV>
            <wp:extent cx="571499" cy="428625"/>
            <wp:effectExtent l="0" t="0" r="635" b="0"/>
            <wp:wrapNone/>
            <wp:docPr id="201047094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70949"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307FB4" w:rsidRPr="003B6850">
        <w:rPr>
          <w:bCs/>
          <w:sz w:val="22"/>
          <w:szCs w:val="18"/>
        </w:rPr>
        <w:t>Seizo Onoe</w:t>
      </w:r>
      <w:r w:rsidR="00B60868" w:rsidRPr="003B6850">
        <w:rPr>
          <w:bCs/>
          <w:sz w:val="22"/>
          <w:szCs w:val="18"/>
        </w:rPr>
        <w:br/>
      </w:r>
      <w:r w:rsidR="00307FB4" w:rsidRPr="003B6850">
        <w:rPr>
          <w:bCs/>
          <w:sz w:val="22"/>
          <w:szCs w:val="18"/>
        </w:rPr>
        <w:t>Directeur du Bureau de la normalisation</w:t>
      </w:r>
      <w:r w:rsidR="00B60868" w:rsidRPr="003B6850">
        <w:rPr>
          <w:bCs/>
          <w:sz w:val="22"/>
          <w:szCs w:val="18"/>
        </w:rPr>
        <w:br/>
      </w:r>
      <w:r w:rsidR="00307FB4" w:rsidRPr="003B6850">
        <w:rPr>
          <w:bCs/>
          <w:sz w:val="22"/>
          <w:szCs w:val="18"/>
        </w:rPr>
        <w:t>des télécommunications</w:t>
      </w:r>
    </w:p>
    <w:sectPr w:rsidR="00517A03" w:rsidRPr="003B6850" w:rsidSect="00822EC2">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E598" w14:textId="77777777" w:rsidR="00822EC2" w:rsidRDefault="00822EC2">
      <w:r>
        <w:separator/>
      </w:r>
    </w:p>
  </w:endnote>
  <w:endnote w:type="continuationSeparator" w:id="0">
    <w:p w14:paraId="2EABD15A" w14:textId="77777777" w:rsidR="00822EC2" w:rsidRDefault="0082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B074" w14:textId="77777777" w:rsidR="00822EC2" w:rsidRDefault="00822EC2">
      <w:r>
        <w:t>____________________</w:t>
      </w:r>
    </w:p>
  </w:footnote>
  <w:footnote w:type="continuationSeparator" w:id="0">
    <w:p w14:paraId="2CB1B1BD" w14:textId="77777777" w:rsidR="00822EC2" w:rsidRDefault="0082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601CA87A" w:rsidR="00697BC1" w:rsidRPr="00697BC1" w:rsidRDefault="00DD6B2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FE664F">
      <w:rPr>
        <w:noProof/>
        <w:sz w:val="18"/>
        <w:szCs w:val="16"/>
      </w:rPr>
      <w:t>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B6850"/>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22EC2"/>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2327"/>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6B28"/>
    <w:rsid w:val="00DD77DA"/>
    <w:rsid w:val="00E06C61"/>
    <w:rsid w:val="00E13DB3"/>
    <w:rsid w:val="00E2408B"/>
    <w:rsid w:val="00E62CEA"/>
    <w:rsid w:val="00E6447E"/>
    <w:rsid w:val="00E72AE1"/>
    <w:rsid w:val="00ED6A7A"/>
    <w:rsid w:val="00EE4C36"/>
    <w:rsid w:val="00EF6A23"/>
    <w:rsid w:val="00F132A1"/>
    <w:rsid w:val="00F346CE"/>
    <w:rsid w:val="00F34F98"/>
    <w:rsid w:val="00F40540"/>
    <w:rsid w:val="00F67402"/>
    <w:rsid w:val="00F766A2"/>
    <w:rsid w:val="00F9451D"/>
    <w:rsid w:val="00FE664F"/>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amd-iic/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D.264-202004-I/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T/focusgroups/cd/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19</TotalTime>
  <Pages>2</Pages>
  <Words>786</Words>
  <Characters>5222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5997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2024-01-30T09:35:00Z</cp:lastPrinted>
  <dcterms:created xsi:type="dcterms:W3CDTF">2024-01-12T13:32:00Z</dcterms:created>
  <dcterms:modified xsi:type="dcterms:W3CDTF">2024-01-30T09:35:00Z</dcterms:modified>
</cp:coreProperties>
</file>