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1134"/>
        <w:gridCol w:w="142"/>
        <w:gridCol w:w="3402"/>
        <w:gridCol w:w="3119"/>
        <w:gridCol w:w="2126"/>
      </w:tblGrid>
      <w:tr w:rsidR="00FA46A0" w:rsidRPr="00AC528E" w14:paraId="1851D63E" w14:textId="77777777" w:rsidTr="00634658">
        <w:trPr>
          <w:trHeight w:val="1282"/>
        </w:trPr>
        <w:tc>
          <w:tcPr>
            <w:tcW w:w="1276" w:type="dxa"/>
            <w:gridSpan w:val="2"/>
            <w:shd w:val="clear" w:color="auto" w:fill="auto"/>
            <w:tcMar>
              <w:left w:w="0" w:type="dxa"/>
              <w:right w:w="0" w:type="dxa"/>
            </w:tcMar>
            <w:vAlign w:val="center"/>
          </w:tcPr>
          <w:p w14:paraId="5729E76F" w14:textId="77777777" w:rsidR="00FA46A0" w:rsidRPr="0093070E" w:rsidRDefault="009747C5" w:rsidP="00F020AB">
            <w:pPr>
              <w:pStyle w:val="Tabletext"/>
              <w:jc w:val="center"/>
            </w:pPr>
            <w:r w:rsidRPr="0093070E">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69A455E2" w:rsidR="00FA46A0" w:rsidRPr="0093070E" w:rsidRDefault="00B61012" w:rsidP="00F020AB">
            <w:pPr>
              <w:spacing w:before="0"/>
              <w:rPr>
                <w:rFonts w:cs="Times New Roman Bold"/>
                <w:b/>
                <w:bCs/>
                <w:smallCaps/>
                <w:sz w:val="26"/>
                <w:szCs w:val="26"/>
              </w:rPr>
            </w:pPr>
            <w:r w:rsidRPr="0093070E">
              <w:rPr>
                <w:rFonts w:cs="Times New Roman Bold"/>
                <w:b/>
                <w:bCs/>
                <w:smallCaps/>
                <w:sz w:val="36"/>
                <w:szCs w:val="36"/>
              </w:rPr>
              <w:t>International telecommunication union</w:t>
            </w:r>
          </w:p>
          <w:p w14:paraId="10AD84E3" w14:textId="77777777" w:rsidR="00FA46A0" w:rsidRPr="0093070E" w:rsidRDefault="00B61012" w:rsidP="00F020AB">
            <w:pPr>
              <w:spacing w:before="0"/>
              <w:rPr>
                <w:rFonts w:ascii="Verdana" w:hAnsi="Verdana"/>
                <w:color w:val="FFFFFF"/>
                <w:sz w:val="26"/>
                <w:szCs w:val="26"/>
              </w:rPr>
            </w:pPr>
            <w:r w:rsidRPr="0093070E">
              <w:rPr>
                <w:rFonts w:cs="Times New Roman Bold"/>
                <w:b/>
                <w:bCs/>
                <w:iCs/>
                <w:smallCaps/>
                <w:sz w:val="28"/>
                <w:szCs w:val="28"/>
              </w:rPr>
              <w:t>Telecommunication Standardization Bureau</w:t>
            </w:r>
          </w:p>
        </w:tc>
        <w:tc>
          <w:tcPr>
            <w:tcW w:w="2126" w:type="dxa"/>
            <w:shd w:val="clear" w:color="auto" w:fill="auto"/>
            <w:vAlign w:val="center"/>
          </w:tcPr>
          <w:p w14:paraId="6BCFA74B" w14:textId="77777777" w:rsidR="00FA46A0" w:rsidRPr="00AC528E" w:rsidRDefault="00FA46A0" w:rsidP="00F020AB">
            <w:pPr>
              <w:spacing w:before="0"/>
              <w:jc w:val="right"/>
              <w:rPr>
                <w:rFonts w:ascii="Verdana" w:hAnsi="Verdana"/>
                <w:color w:val="FFFFFF"/>
                <w:sz w:val="26"/>
                <w:szCs w:val="26"/>
                <w:highlight w:val="yellow"/>
              </w:rPr>
            </w:pPr>
          </w:p>
        </w:tc>
      </w:tr>
      <w:tr w:rsidR="00FA46A0" w:rsidRPr="00AC528E" w14:paraId="26B97C93" w14:textId="77777777" w:rsidTr="00634658">
        <w:trPr>
          <w:cantSplit/>
          <w:trHeight w:val="635"/>
        </w:trPr>
        <w:tc>
          <w:tcPr>
            <w:tcW w:w="4678" w:type="dxa"/>
            <w:gridSpan w:val="3"/>
            <w:vAlign w:val="center"/>
          </w:tcPr>
          <w:p w14:paraId="1694D4E1" w14:textId="77777777" w:rsidR="00FA46A0" w:rsidRPr="00C170C2" w:rsidRDefault="00FA46A0" w:rsidP="00F020AB">
            <w:pPr>
              <w:pStyle w:val="Tabletext"/>
              <w:jc w:val="right"/>
              <w:rPr>
                <w:sz w:val="22"/>
                <w:szCs w:val="22"/>
              </w:rPr>
            </w:pPr>
          </w:p>
        </w:tc>
        <w:tc>
          <w:tcPr>
            <w:tcW w:w="5245" w:type="dxa"/>
            <w:gridSpan w:val="2"/>
            <w:vAlign w:val="center"/>
          </w:tcPr>
          <w:p w14:paraId="66B772BC" w14:textId="759A77F4" w:rsidR="00FA46A0" w:rsidRPr="00C170C2" w:rsidRDefault="00B61012" w:rsidP="00776EDA">
            <w:pPr>
              <w:pStyle w:val="Tabletext"/>
              <w:spacing w:before="0" w:after="120"/>
              <w:ind w:left="-108"/>
              <w:rPr>
                <w:sz w:val="22"/>
                <w:szCs w:val="22"/>
              </w:rPr>
            </w:pPr>
            <w:r w:rsidRPr="00C170C2">
              <w:rPr>
                <w:sz w:val="22"/>
                <w:szCs w:val="22"/>
              </w:rPr>
              <w:t xml:space="preserve">Geneva, </w:t>
            </w:r>
            <w:r w:rsidR="00E6633C">
              <w:rPr>
                <w:sz w:val="22"/>
                <w:szCs w:val="22"/>
              </w:rPr>
              <w:t>11</w:t>
            </w:r>
            <w:r w:rsidR="001422BB" w:rsidRPr="00C170C2">
              <w:rPr>
                <w:sz w:val="22"/>
                <w:szCs w:val="22"/>
              </w:rPr>
              <w:t xml:space="preserve"> December</w:t>
            </w:r>
            <w:r w:rsidR="0078395B" w:rsidRPr="00C170C2">
              <w:rPr>
                <w:sz w:val="22"/>
                <w:szCs w:val="22"/>
              </w:rPr>
              <w:t xml:space="preserve"> 2023</w:t>
            </w:r>
          </w:p>
        </w:tc>
      </w:tr>
      <w:tr w:rsidR="00F46912" w:rsidRPr="00AC528E" w14:paraId="51F4638F" w14:textId="77777777" w:rsidTr="00634658">
        <w:trPr>
          <w:cantSplit/>
          <w:trHeight w:val="283"/>
        </w:trPr>
        <w:tc>
          <w:tcPr>
            <w:tcW w:w="1134" w:type="dxa"/>
          </w:tcPr>
          <w:p w14:paraId="34ECEAEB" w14:textId="77777777" w:rsidR="00F46912" w:rsidRPr="0093070E" w:rsidRDefault="00F46912" w:rsidP="00F020AB">
            <w:pPr>
              <w:pStyle w:val="Tabletext"/>
              <w:ind w:left="-110"/>
              <w:rPr>
                <w:sz w:val="22"/>
                <w:szCs w:val="22"/>
              </w:rPr>
            </w:pPr>
            <w:r w:rsidRPr="0093070E">
              <w:rPr>
                <w:b/>
                <w:sz w:val="22"/>
                <w:szCs w:val="22"/>
              </w:rPr>
              <w:t>Ref:</w:t>
            </w:r>
          </w:p>
        </w:tc>
        <w:tc>
          <w:tcPr>
            <w:tcW w:w="3544" w:type="dxa"/>
            <w:gridSpan w:val="2"/>
          </w:tcPr>
          <w:p w14:paraId="5A0E45A2" w14:textId="2B31F69A" w:rsidR="00F46912" w:rsidRPr="0093070E" w:rsidRDefault="00F46912" w:rsidP="00F020AB">
            <w:pPr>
              <w:pStyle w:val="Tabletext"/>
              <w:rPr>
                <w:b/>
                <w:bCs/>
                <w:sz w:val="22"/>
                <w:szCs w:val="22"/>
              </w:rPr>
            </w:pPr>
            <w:r w:rsidRPr="0093070E">
              <w:rPr>
                <w:b/>
                <w:bCs/>
                <w:sz w:val="22"/>
                <w:szCs w:val="22"/>
              </w:rPr>
              <w:t xml:space="preserve">TSB Circular </w:t>
            </w:r>
            <w:r w:rsidR="009A48C0">
              <w:rPr>
                <w:b/>
                <w:bCs/>
                <w:sz w:val="22"/>
                <w:szCs w:val="22"/>
              </w:rPr>
              <w:t>162</w:t>
            </w:r>
          </w:p>
          <w:p w14:paraId="7FFD1933" w14:textId="5D8C8165" w:rsidR="00F46912" w:rsidRPr="0093070E" w:rsidRDefault="00F46912" w:rsidP="00F020AB">
            <w:pPr>
              <w:pStyle w:val="Tabletext"/>
              <w:rPr>
                <w:b/>
                <w:bCs/>
                <w:sz w:val="22"/>
                <w:szCs w:val="22"/>
              </w:rPr>
            </w:pPr>
            <w:r w:rsidRPr="0093070E">
              <w:rPr>
                <w:b/>
                <w:bCs/>
                <w:sz w:val="22"/>
                <w:szCs w:val="22"/>
              </w:rPr>
              <w:t>SG20/CB</w:t>
            </w:r>
          </w:p>
        </w:tc>
        <w:tc>
          <w:tcPr>
            <w:tcW w:w="5245" w:type="dxa"/>
            <w:gridSpan w:val="2"/>
            <w:vMerge w:val="restart"/>
          </w:tcPr>
          <w:p w14:paraId="2BBCC5F2" w14:textId="77777777" w:rsidR="00F46912" w:rsidRPr="0093070E" w:rsidRDefault="00F46912" w:rsidP="00F020AB">
            <w:pPr>
              <w:tabs>
                <w:tab w:val="clear" w:pos="794"/>
                <w:tab w:val="clear" w:pos="1191"/>
                <w:tab w:val="clear" w:pos="1588"/>
                <w:tab w:val="clear" w:pos="1985"/>
                <w:tab w:val="left" w:pos="241"/>
              </w:tabs>
              <w:spacing w:before="0"/>
              <w:ind w:left="283" w:hanging="391"/>
              <w:rPr>
                <w:sz w:val="22"/>
                <w:szCs w:val="22"/>
              </w:rPr>
            </w:pPr>
            <w:r w:rsidRPr="0093070E">
              <w:rPr>
                <w:b/>
                <w:sz w:val="22"/>
                <w:szCs w:val="22"/>
              </w:rPr>
              <w:t>To:</w:t>
            </w:r>
          </w:p>
          <w:p w14:paraId="72819B9D" w14:textId="60140300" w:rsidR="00F46912" w:rsidRPr="0093070E" w:rsidRDefault="00F46912" w:rsidP="00634658">
            <w:pPr>
              <w:tabs>
                <w:tab w:val="clear" w:pos="794"/>
                <w:tab w:val="clear" w:pos="1191"/>
                <w:tab w:val="clear" w:pos="1588"/>
                <w:tab w:val="clear" w:pos="1985"/>
              </w:tabs>
              <w:spacing w:before="0"/>
              <w:ind w:left="318" w:hanging="318"/>
              <w:rPr>
                <w:sz w:val="22"/>
                <w:szCs w:val="22"/>
              </w:rPr>
            </w:pPr>
            <w:r w:rsidRPr="0093070E">
              <w:rPr>
                <w:sz w:val="22"/>
                <w:szCs w:val="22"/>
              </w:rPr>
              <w:t>-</w:t>
            </w:r>
            <w:r w:rsidRPr="0093070E">
              <w:rPr>
                <w:sz w:val="22"/>
                <w:szCs w:val="22"/>
              </w:rPr>
              <w:tab/>
              <w:t xml:space="preserve">Administrations of Member States of the </w:t>
            </w:r>
            <w:proofErr w:type="gramStart"/>
            <w:r w:rsidRPr="0093070E">
              <w:rPr>
                <w:sz w:val="22"/>
                <w:szCs w:val="22"/>
              </w:rPr>
              <w:t>Union;</w:t>
            </w:r>
            <w:proofErr w:type="gramEnd"/>
          </w:p>
          <w:p w14:paraId="3C9B7DAA" w14:textId="77777777" w:rsidR="00776EDA" w:rsidRPr="0093070E" w:rsidRDefault="00776EDA" w:rsidP="00634658">
            <w:pPr>
              <w:pStyle w:val="Tabletext"/>
              <w:spacing w:before="0" w:after="0"/>
              <w:ind w:left="283" w:hanging="391"/>
              <w:rPr>
                <w:sz w:val="22"/>
                <w:szCs w:val="22"/>
              </w:rPr>
            </w:pPr>
            <w:r w:rsidRPr="0093070E">
              <w:rPr>
                <w:b/>
                <w:sz w:val="22"/>
                <w:szCs w:val="22"/>
              </w:rPr>
              <w:t>Copy to:</w:t>
            </w:r>
          </w:p>
          <w:p w14:paraId="3430C404" w14:textId="77777777" w:rsidR="00776EDA" w:rsidRPr="0093070E" w:rsidRDefault="00776EDA" w:rsidP="00634658">
            <w:pPr>
              <w:pStyle w:val="Tabletext"/>
              <w:spacing w:before="0" w:after="0"/>
              <w:ind w:left="283" w:hanging="283"/>
              <w:rPr>
                <w:sz w:val="22"/>
                <w:szCs w:val="22"/>
              </w:rPr>
            </w:pPr>
            <w:r w:rsidRPr="0093070E">
              <w:rPr>
                <w:sz w:val="22"/>
                <w:szCs w:val="22"/>
              </w:rPr>
              <w:t>-</w:t>
            </w:r>
            <w:r w:rsidRPr="0093070E">
              <w:rPr>
                <w:sz w:val="22"/>
                <w:szCs w:val="22"/>
              </w:rPr>
              <w:tab/>
              <w:t xml:space="preserve">ITU-T Sector </w:t>
            </w:r>
            <w:proofErr w:type="gramStart"/>
            <w:r w:rsidRPr="0093070E">
              <w:rPr>
                <w:sz w:val="22"/>
                <w:szCs w:val="22"/>
              </w:rPr>
              <w:t>Members;</w:t>
            </w:r>
            <w:proofErr w:type="gramEnd"/>
          </w:p>
          <w:p w14:paraId="4DDC9E73" w14:textId="77777777" w:rsidR="00776EDA" w:rsidRPr="0093070E" w:rsidRDefault="00776EDA" w:rsidP="00634658">
            <w:pPr>
              <w:pStyle w:val="Tabletext"/>
              <w:spacing w:before="0" w:after="0"/>
              <w:ind w:left="283" w:hanging="283"/>
              <w:rPr>
                <w:sz w:val="22"/>
                <w:szCs w:val="22"/>
              </w:rPr>
            </w:pPr>
            <w:r w:rsidRPr="0093070E">
              <w:rPr>
                <w:sz w:val="22"/>
                <w:szCs w:val="22"/>
              </w:rPr>
              <w:t>-</w:t>
            </w:r>
            <w:r w:rsidRPr="0093070E">
              <w:rPr>
                <w:sz w:val="22"/>
                <w:szCs w:val="22"/>
              </w:rPr>
              <w:tab/>
              <w:t xml:space="preserve">Associates of ITU-T Study Group </w:t>
            </w:r>
            <w:proofErr w:type="gramStart"/>
            <w:r w:rsidRPr="0093070E">
              <w:rPr>
                <w:sz w:val="22"/>
                <w:szCs w:val="22"/>
              </w:rPr>
              <w:t>20;</w:t>
            </w:r>
            <w:proofErr w:type="gramEnd"/>
            <w:r w:rsidRPr="0093070E">
              <w:rPr>
                <w:sz w:val="22"/>
                <w:szCs w:val="22"/>
              </w:rPr>
              <w:t xml:space="preserve"> </w:t>
            </w:r>
          </w:p>
          <w:p w14:paraId="23B7892E" w14:textId="77777777" w:rsidR="00776EDA" w:rsidRPr="0093070E" w:rsidRDefault="00776EDA" w:rsidP="00634658">
            <w:pPr>
              <w:pStyle w:val="Tabletext"/>
              <w:spacing w:before="0" w:after="0"/>
              <w:ind w:left="283" w:hanging="283"/>
              <w:rPr>
                <w:sz w:val="22"/>
                <w:szCs w:val="22"/>
              </w:rPr>
            </w:pPr>
            <w:r w:rsidRPr="0093070E">
              <w:rPr>
                <w:sz w:val="22"/>
                <w:szCs w:val="22"/>
              </w:rPr>
              <w:t>-</w:t>
            </w:r>
            <w:r w:rsidRPr="0093070E">
              <w:rPr>
                <w:sz w:val="22"/>
                <w:szCs w:val="22"/>
              </w:rPr>
              <w:tab/>
              <w:t xml:space="preserve">ITU </w:t>
            </w:r>
            <w:proofErr w:type="gramStart"/>
            <w:r w:rsidRPr="0093070E">
              <w:rPr>
                <w:sz w:val="22"/>
                <w:szCs w:val="22"/>
              </w:rPr>
              <w:t>Academia;</w:t>
            </w:r>
            <w:proofErr w:type="gramEnd"/>
          </w:p>
          <w:p w14:paraId="531676A9" w14:textId="37189024" w:rsidR="00776EDA" w:rsidRPr="0093070E" w:rsidRDefault="00776EDA" w:rsidP="00634658">
            <w:pPr>
              <w:pStyle w:val="Tabletext"/>
              <w:spacing w:before="0" w:after="0"/>
              <w:ind w:left="283" w:hanging="283"/>
              <w:rPr>
                <w:sz w:val="22"/>
                <w:szCs w:val="22"/>
              </w:rPr>
            </w:pPr>
            <w:r w:rsidRPr="0093070E">
              <w:rPr>
                <w:sz w:val="22"/>
                <w:szCs w:val="22"/>
              </w:rPr>
              <w:t>-</w:t>
            </w:r>
            <w:r w:rsidRPr="0093070E">
              <w:rPr>
                <w:sz w:val="22"/>
                <w:szCs w:val="22"/>
              </w:rPr>
              <w:tab/>
              <w:t>The Chair and Vice-Chair</w:t>
            </w:r>
            <w:r w:rsidR="00627A5E">
              <w:rPr>
                <w:sz w:val="22"/>
                <w:szCs w:val="22"/>
              </w:rPr>
              <w:t>s</w:t>
            </w:r>
            <w:r w:rsidRPr="0093070E">
              <w:rPr>
                <w:sz w:val="22"/>
                <w:szCs w:val="22"/>
              </w:rPr>
              <w:t xml:space="preserve"> of ITU-T Study Group </w:t>
            </w:r>
            <w:proofErr w:type="gramStart"/>
            <w:r w:rsidRPr="0093070E">
              <w:rPr>
                <w:sz w:val="22"/>
                <w:szCs w:val="22"/>
              </w:rPr>
              <w:t>20;</w:t>
            </w:r>
            <w:proofErr w:type="gramEnd"/>
          </w:p>
          <w:p w14:paraId="25EC91F1" w14:textId="77777777" w:rsidR="00634658" w:rsidRPr="0093070E" w:rsidRDefault="00776EDA" w:rsidP="00634658">
            <w:pPr>
              <w:pStyle w:val="Tabletext"/>
              <w:spacing w:before="0" w:after="0"/>
              <w:ind w:left="283" w:hanging="283"/>
              <w:rPr>
                <w:sz w:val="22"/>
                <w:szCs w:val="22"/>
              </w:rPr>
            </w:pPr>
            <w:r w:rsidRPr="0093070E">
              <w:rPr>
                <w:sz w:val="22"/>
                <w:szCs w:val="22"/>
              </w:rPr>
              <w:t>-</w:t>
            </w:r>
            <w:r w:rsidRPr="0093070E">
              <w:rPr>
                <w:sz w:val="22"/>
                <w:szCs w:val="22"/>
              </w:rPr>
              <w:tab/>
              <w:t xml:space="preserve">The Director of the Telecommunication Development </w:t>
            </w:r>
            <w:proofErr w:type="gramStart"/>
            <w:r w:rsidRPr="0093070E">
              <w:rPr>
                <w:sz w:val="22"/>
                <w:szCs w:val="22"/>
              </w:rPr>
              <w:t>Bureau;</w:t>
            </w:r>
            <w:proofErr w:type="gramEnd"/>
          </w:p>
          <w:p w14:paraId="2003EEFF" w14:textId="7FA7A104" w:rsidR="00F46912" w:rsidRPr="0093070E" w:rsidRDefault="00634658" w:rsidP="00634658">
            <w:pPr>
              <w:pStyle w:val="Tabletext"/>
              <w:spacing w:before="0" w:after="0"/>
              <w:ind w:left="283" w:hanging="283"/>
              <w:rPr>
                <w:sz w:val="22"/>
                <w:szCs w:val="22"/>
              </w:rPr>
            </w:pPr>
            <w:r w:rsidRPr="0093070E">
              <w:rPr>
                <w:sz w:val="22"/>
                <w:szCs w:val="22"/>
              </w:rPr>
              <w:t>-</w:t>
            </w:r>
            <w:r w:rsidR="00776EDA" w:rsidRPr="0093070E">
              <w:rPr>
                <w:sz w:val="22"/>
                <w:szCs w:val="22"/>
              </w:rPr>
              <w:tab/>
              <w:t>The Director of the Radiocommunication Bureau</w:t>
            </w:r>
          </w:p>
        </w:tc>
      </w:tr>
      <w:tr w:rsidR="00F46912" w:rsidRPr="00AC528E" w14:paraId="56892459" w14:textId="77777777" w:rsidTr="00634658">
        <w:trPr>
          <w:cantSplit/>
          <w:trHeight w:val="221"/>
        </w:trPr>
        <w:tc>
          <w:tcPr>
            <w:tcW w:w="1134" w:type="dxa"/>
          </w:tcPr>
          <w:p w14:paraId="279C4443" w14:textId="77777777" w:rsidR="00F46912" w:rsidRPr="0093070E" w:rsidRDefault="00F46912" w:rsidP="00F020AB">
            <w:pPr>
              <w:pStyle w:val="Tabletext"/>
              <w:ind w:left="-110"/>
              <w:rPr>
                <w:sz w:val="22"/>
                <w:szCs w:val="22"/>
              </w:rPr>
            </w:pPr>
            <w:r w:rsidRPr="0093070E">
              <w:rPr>
                <w:b/>
                <w:sz w:val="22"/>
                <w:szCs w:val="22"/>
              </w:rPr>
              <w:t>Tel:</w:t>
            </w:r>
          </w:p>
        </w:tc>
        <w:tc>
          <w:tcPr>
            <w:tcW w:w="3544" w:type="dxa"/>
            <w:gridSpan w:val="2"/>
          </w:tcPr>
          <w:p w14:paraId="30F3739D" w14:textId="2D2C48BE" w:rsidR="00F46912" w:rsidRPr="0093070E" w:rsidRDefault="00F46912" w:rsidP="00F020AB">
            <w:pPr>
              <w:pStyle w:val="Tabletext"/>
              <w:rPr>
                <w:b/>
                <w:sz w:val="22"/>
                <w:szCs w:val="22"/>
              </w:rPr>
            </w:pPr>
            <w:r w:rsidRPr="0093070E">
              <w:rPr>
                <w:sz w:val="22"/>
                <w:szCs w:val="22"/>
              </w:rPr>
              <w:t>+41 22 730 6301</w:t>
            </w:r>
          </w:p>
        </w:tc>
        <w:tc>
          <w:tcPr>
            <w:tcW w:w="5245" w:type="dxa"/>
            <w:gridSpan w:val="2"/>
            <w:vMerge/>
          </w:tcPr>
          <w:p w14:paraId="06A72D7F" w14:textId="77777777" w:rsidR="00F46912" w:rsidRPr="0093070E" w:rsidRDefault="00F46912" w:rsidP="00F020AB">
            <w:pPr>
              <w:pStyle w:val="Tabletext"/>
              <w:ind w:left="142" w:hanging="391"/>
              <w:rPr>
                <w:sz w:val="22"/>
                <w:szCs w:val="22"/>
              </w:rPr>
            </w:pPr>
          </w:p>
        </w:tc>
      </w:tr>
      <w:tr w:rsidR="00F46912" w:rsidRPr="00AC528E" w14:paraId="7799F95C" w14:textId="77777777" w:rsidTr="0067278D">
        <w:trPr>
          <w:cantSplit/>
          <w:trHeight w:val="1821"/>
        </w:trPr>
        <w:tc>
          <w:tcPr>
            <w:tcW w:w="1134" w:type="dxa"/>
          </w:tcPr>
          <w:p w14:paraId="726EA0EE" w14:textId="77777777" w:rsidR="00F46912" w:rsidRPr="0093070E" w:rsidRDefault="00F46912" w:rsidP="00F020AB">
            <w:pPr>
              <w:pStyle w:val="Tabletext"/>
              <w:ind w:left="-110"/>
              <w:rPr>
                <w:b/>
                <w:sz w:val="22"/>
                <w:szCs w:val="22"/>
              </w:rPr>
            </w:pPr>
            <w:r w:rsidRPr="0093070E">
              <w:rPr>
                <w:b/>
                <w:sz w:val="22"/>
                <w:szCs w:val="22"/>
              </w:rPr>
              <w:t>Fax:</w:t>
            </w:r>
          </w:p>
          <w:p w14:paraId="6644418C" w14:textId="1920CE1D" w:rsidR="00776EDA" w:rsidRPr="0093070E" w:rsidRDefault="00776EDA" w:rsidP="00F020AB">
            <w:pPr>
              <w:pStyle w:val="Tabletext"/>
              <w:ind w:left="-110"/>
              <w:rPr>
                <w:sz w:val="22"/>
                <w:szCs w:val="22"/>
              </w:rPr>
            </w:pPr>
            <w:r w:rsidRPr="0093070E">
              <w:rPr>
                <w:b/>
                <w:sz w:val="22"/>
                <w:szCs w:val="22"/>
              </w:rPr>
              <w:t>E-mail:</w:t>
            </w:r>
          </w:p>
        </w:tc>
        <w:tc>
          <w:tcPr>
            <w:tcW w:w="3544" w:type="dxa"/>
            <w:gridSpan w:val="2"/>
          </w:tcPr>
          <w:p w14:paraId="2819499B" w14:textId="77777777" w:rsidR="00F46912" w:rsidRPr="0093070E" w:rsidRDefault="00F46912" w:rsidP="00F020AB">
            <w:pPr>
              <w:pStyle w:val="Tabletext"/>
              <w:rPr>
                <w:sz w:val="22"/>
                <w:szCs w:val="22"/>
              </w:rPr>
            </w:pPr>
            <w:r w:rsidRPr="0093070E">
              <w:rPr>
                <w:sz w:val="22"/>
                <w:szCs w:val="22"/>
              </w:rPr>
              <w:t>+41 22 730 5853</w:t>
            </w:r>
          </w:p>
          <w:p w14:paraId="6393822E" w14:textId="72FD33CA" w:rsidR="00776EDA" w:rsidRPr="0093070E" w:rsidRDefault="005B7569" w:rsidP="00F020AB">
            <w:pPr>
              <w:pStyle w:val="Tabletext"/>
              <w:rPr>
                <w:b/>
                <w:sz w:val="22"/>
                <w:szCs w:val="22"/>
              </w:rPr>
            </w:pPr>
            <w:hyperlink r:id="rId9" w:history="1">
              <w:r w:rsidR="00776EDA" w:rsidRPr="0093070E">
                <w:rPr>
                  <w:rStyle w:val="Hyperlink"/>
                  <w:sz w:val="22"/>
                  <w:szCs w:val="22"/>
                </w:rPr>
                <w:t>tsbsg20@itu.int</w:t>
              </w:r>
            </w:hyperlink>
          </w:p>
        </w:tc>
        <w:tc>
          <w:tcPr>
            <w:tcW w:w="5245" w:type="dxa"/>
            <w:gridSpan w:val="2"/>
            <w:vMerge/>
          </w:tcPr>
          <w:p w14:paraId="2CF61540" w14:textId="77777777" w:rsidR="00F46912" w:rsidRPr="0093070E" w:rsidRDefault="00F46912" w:rsidP="00F020AB">
            <w:pPr>
              <w:pStyle w:val="Tabletext"/>
              <w:ind w:left="142" w:hanging="391"/>
              <w:rPr>
                <w:sz w:val="22"/>
                <w:szCs w:val="22"/>
              </w:rPr>
            </w:pPr>
          </w:p>
        </w:tc>
      </w:tr>
      <w:tr w:rsidR="00FA46A0" w:rsidRPr="007C4274" w14:paraId="5077CF3E" w14:textId="77777777" w:rsidTr="00634658">
        <w:trPr>
          <w:cantSplit/>
          <w:trHeight w:val="1129"/>
        </w:trPr>
        <w:tc>
          <w:tcPr>
            <w:tcW w:w="1134" w:type="dxa"/>
          </w:tcPr>
          <w:p w14:paraId="5072539B" w14:textId="77777777" w:rsidR="00FA46A0" w:rsidRPr="007C4274" w:rsidRDefault="00B61012" w:rsidP="00F020AB">
            <w:pPr>
              <w:pStyle w:val="Tabletext"/>
              <w:ind w:left="-110"/>
              <w:rPr>
                <w:rFonts w:cs="Calibri"/>
                <w:sz w:val="22"/>
                <w:szCs w:val="22"/>
              </w:rPr>
            </w:pPr>
            <w:r w:rsidRPr="007C4274">
              <w:rPr>
                <w:rFonts w:cs="Calibri"/>
                <w:b/>
                <w:sz w:val="22"/>
                <w:szCs w:val="22"/>
              </w:rPr>
              <w:t>Subject:</w:t>
            </w:r>
          </w:p>
        </w:tc>
        <w:tc>
          <w:tcPr>
            <w:tcW w:w="8789" w:type="dxa"/>
            <w:gridSpan w:val="4"/>
          </w:tcPr>
          <w:p w14:paraId="4CFE3D05" w14:textId="41589B47" w:rsidR="00FA46A0" w:rsidRPr="007C4274" w:rsidRDefault="00B60460" w:rsidP="007C4274">
            <w:pPr>
              <w:pStyle w:val="Tabletext"/>
              <w:spacing w:before="0" w:after="0"/>
              <w:rPr>
                <w:rFonts w:cs="Calibri"/>
                <w:b/>
                <w:bCs/>
                <w:sz w:val="22"/>
                <w:szCs w:val="22"/>
              </w:rPr>
            </w:pPr>
            <w:r w:rsidRPr="007C4274">
              <w:rPr>
                <w:rFonts w:cs="Calibri"/>
                <w:b/>
                <w:sz w:val="22"/>
                <w:szCs w:val="22"/>
              </w:rPr>
              <w:t xml:space="preserve">Member State consultation on Determined draft new Recommendations ITU-T </w:t>
            </w:r>
            <w:bookmarkStart w:id="0" w:name="_Hlk46831557"/>
            <w:r w:rsidR="00B008C5" w:rsidRPr="007C4274">
              <w:rPr>
                <w:rFonts w:cs="Calibri"/>
                <w:b/>
                <w:sz w:val="22"/>
                <w:szCs w:val="22"/>
              </w:rPr>
              <w:t>Y.4607 (ex</w:t>
            </w:r>
            <w:r w:rsidR="0067278D">
              <w:rPr>
                <w:rFonts w:cs="Calibri"/>
                <w:b/>
                <w:sz w:val="22"/>
                <w:szCs w:val="22"/>
              </w:rPr>
              <w:t> </w:t>
            </w:r>
            <w:r w:rsidR="00B008C5" w:rsidRPr="007C4274">
              <w:rPr>
                <w:rFonts w:cs="Calibri"/>
                <w:b/>
                <w:sz w:val="22"/>
                <w:szCs w:val="22"/>
              </w:rPr>
              <w:t>Y.DRI-</w:t>
            </w:r>
            <w:proofErr w:type="spellStart"/>
            <w:r w:rsidR="00B008C5" w:rsidRPr="007C4274">
              <w:rPr>
                <w:rFonts w:cs="Calibri"/>
                <w:b/>
                <w:sz w:val="22"/>
                <w:szCs w:val="22"/>
              </w:rPr>
              <w:t>reqts</w:t>
            </w:r>
            <w:proofErr w:type="spellEnd"/>
            <w:r w:rsidR="00B008C5" w:rsidRPr="007C4274">
              <w:rPr>
                <w:rFonts w:cs="Calibri"/>
                <w:b/>
                <w:sz w:val="22"/>
                <w:szCs w:val="22"/>
              </w:rPr>
              <w:t xml:space="preserve">), </w:t>
            </w:r>
            <w:r w:rsidR="00B008C5" w:rsidRPr="007C4274">
              <w:rPr>
                <w:rFonts w:cs="Calibri"/>
                <w:b/>
                <w:noProof/>
                <w:sz w:val="22"/>
                <w:szCs w:val="22"/>
              </w:rPr>
              <w:t>Y.4225 (ex Y.dt-ITS), Y.4221 (ex Y.ElecMon-Reqts), Y.4496 (ex Y.RA-PHE), Y.4497 (ex Y.Smart-SBS), Y.4498 (ex Y.energy-data), Y.4499 (ex Y.UIM-cs-framework)</w:t>
            </w:r>
            <w:r w:rsidR="003F6436" w:rsidRPr="007C4274">
              <w:rPr>
                <w:rFonts w:cs="Calibri"/>
                <w:b/>
                <w:sz w:val="22"/>
                <w:szCs w:val="22"/>
              </w:rPr>
              <w:t xml:space="preserve"> </w:t>
            </w:r>
            <w:r w:rsidRPr="007C4274">
              <w:rPr>
                <w:rFonts w:cs="Calibri"/>
                <w:b/>
                <w:sz w:val="22"/>
                <w:szCs w:val="22"/>
              </w:rPr>
              <w:t>and</w:t>
            </w:r>
            <w:bookmarkEnd w:id="0"/>
            <w:r w:rsidR="00B008C5" w:rsidRPr="007C4274">
              <w:rPr>
                <w:rFonts w:cs="Calibri"/>
                <w:b/>
                <w:sz w:val="22"/>
                <w:szCs w:val="22"/>
              </w:rPr>
              <w:t xml:space="preserve"> Y.4488 (ex </w:t>
            </w:r>
            <w:proofErr w:type="spellStart"/>
            <w:r w:rsidR="00B008C5" w:rsidRPr="007C4274">
              <w:rPr>
                <w:rFonts w:cs="Calibri"/>
                <w:b/>
                <w:sz w:val="22"/>
                <w:szCs w:val="22"/>
              </w:rPr>
              <w:t>Y.IoT</w:t>
            </w:r>
            <w:proofErr w:type="spellEnd"/>
            <w:r w:rsidR="00B008C5" w:rsidRPr="007C4274">
              <w:rPr>
                <w:rFonts w:cs="Calibri"/>
                <w:b/>
                <w:sz w:val="22"/>
                <w:szCs w:val="22"/>
              </w:rPr>
              <w:t>-SPWE)</w:t>
            </w:r>
            <w:r w:rsidR="003F6436" w:rsidRPr="007C4274">
              <w:rPr>
                <w:rFonts w:cs="Calibri"/>
                <w:b/>
                <w:sz w:val="22"/>
                <w:szCs w:val="22"/>
              </w:rPr>
              <w:t xml:space="preserve"> </w:t>
            </w:r>
            <w:r w:rsidRPr="007C4274">
              <w:rPr>
                <w:rFonts w:cs="Calibri"/>
                <w:b/>
                <w:sz w:val="22"/>
                <w:szCs w:val="22"/>
              </w:rPr>
              <w:t>proposed for approval at the meeting of ITU-T Study Group 20 (</w:t>
            </w:r>
            <w:r w:rsidR="00B008C5" w:rsidRPr="007C4274">
              <w:rPr>
                <w:rFonts w:cs="Calibri"/>
                <w:b/>
                <w:sz w:val="22"/>
                <w:szCs w:val="22"/>
              </w:rPr>
              <w:t>Geneva, 1-12 July 2024</w:t>
            </w:r>
            <w:r w:rsidRPr="007C4274">
              <w:rPr>
                <w:rFonts w:cs="Calibri"/>
                <w:b/>
                <w:sz w:val="22"/>
                <w:szCs w:val="22"/>
              </w:rPr>
              <w:t>)</w:t>
            </w:r>
          </w:p>
        </w:tc>
      </w:tr>
    </w:tbl>
    <w:p w14:paraId="10B264CC" w14:textId="77777777" w:rsidR="00B60460" w:rsidRPr="00074A0E" w:rsidRDefault="00B60460" w:rsidP="00776EDA">
      <w:pPr>
        <w:spacing w:before="200"/>
        <w:rPr>
          <w:rFonts w:cs="Calibri"/>
          <w:sz w:val="22"/>
          <w:szCs w:val="22"/>
        </w:rPr>
      </w:pPr>
      <w:r w:rsidRPr="00074A0E">
        <w:rPr>
          <w:rFonts w:cs="Calibri"/>
          <w:sz w:val="22"/>
          <w:szCs w:val="22"/>
        </w:rPr>
        <w:t>Dear Sir/Madam,</w:t>
      </w:r>
    </w:p>
    <w:p w14:paraId="26D19A56" w14:textId="6C138620" w:rsidR="00B60460" w:rsidRPr="00074A0E" w:rsidRDefault="00B60460" w:rsidP="00B60460">
      <w:pPr>
        <w:rPr>
          <w:rFonts w:cs="Calibri"/>
          <w:sz w:val="22"/>
          <w:szCs w:val="22"/>
        </w:rPr>
      </w:pPr>
      <w:r w:rsidRPr="00074A0E">
        <w:rPr>
          <w:rFonts w:cs="Calibri"/>
          <w:sz w:val="22"/>
          <w:szCs w:val="22"/>
        </w:rPr>
        <w:t>1</w:t>
      </w:r>
      <w:r w:rsidRPr="00074A0E">
        <w:rPr>
          <w:rFonts w:cs="Calibri"/>
          <w:sz w:val="22"/>
          <w:szCs w:val="22"/>
        </w:rPr>
        <w:tab/>
        <w:t>ITU-T Study Group 20 (SG20: Internet of things (IoT) and smart cities and communities (SC&amp;C)) intends to apply the Traditional Approval Procedure as described in Section 9 of WTSA Resolution 1 (Rev.</w:t>
      </w:r>
      <w:r w:rsidR="00776EDA" w:rsidRPr="00074A0E">
        <w:rPr>
          <w:rFonts w:cs="Calibri"/>
          <w:sz w:val="22"/>
          <w:szCs w:val="22"/>
        </w:rPr>
        <w:t> </w:t>
      </w:r>
      <w:r w:rsidR="00D836C0" w:rsidRPr="00074A0E">
        <w:rPr>
          <w:rFonts w:cs="Calibri"/>
          <w:sz w:val="22"/>
          <w:szCs w:val="22"/>
        </w:rPr>
        <w:t>Geneva</w:t>
      </w:r>
      <w:r w:rsidRPr="00074A0E">
        <w:rPr>
          <w:rFonts w:cs="Calibri"/>
          <w:sz w:val="22"/>
          <w:szCs w:val="22"/>
        </w:rPr>
        <w:t>, 20</w:t>
      </w:r>
      <w:r w:rsidR="00D836C0" w:rsidRPr="00074A0E">
        <w:rPr>
          <w:rFonts w:cs="Calibri"/>
          <w:sz w:val="22"/>
          <w:szCs w:val="22"/>
        </w:rPr>
        <w:t>22</w:t>
      </w:r>
      <w:r w:rsidRPr="00074A0E">
        <w:rPr>
          <w:rFonts w:cs="Calibri"/>
          <w:sz w:val="22"/>
          <w:szCs w:val="22"/>
        </w:rPr>
        <w:t xml:space="preserve">) for the approval of the above-mentioned draft Recommendations at its next meeting </w:t>
      </w:r>
      <w:r w:rsidR="002722B2" w:rsidRPr="00074A0E">
        <w:rPr>
          <w:rFonts w:cs="Calibri"/>
          <w:sz w:val="22"/>
          <w:szCs w:val="22"/>
        </w:rPr>
        <w:t xml:space="preserve">in </w:t>
      </w:r>
      <w:r w:rsidR="003301F6" w:rsidRPr="00074A0E">
        <w:rPr>
          <w:rFonts w:cs="Calibri"/>
          <w:sz w:val="22"/>
          <w:szCs w:val="22"/>
        </w:rPr>
        <w:t>Geneva, Switzerland</w:t>
      </w:r>
      <w:r w:rsidR="002722B2" w:rsidRPr="00074A0E">
        <w:rPr>
          <w:rFonts w:cs="Calibri"/>
          <w:sz w:val="22"/>
          <w:szCs w:val="22"/>
        </w:rPr>
        <w:t xml:space="preserve">, </w:t>
      </w:r>
      <w:r w:rsidR="00C40781" w:rsidRPr="00074A0E">
        <w:rPr>
          <w:rFonts w:cs="Calibri"/>
          <w:sz w:val="22"/>
          <w:szCs w:val="22"/>
        </w:rPr>
        <w:t>from</w:t>
      </w:r>
      <w:r w:rsidRPr="00074A0E">
        <w:rPr>
          <w:rFonts w:cs="Calibri"/>
          <w:sz w:val="22"/>
          <w:szCs w:val="22"/>
        </w:rPr>
        <w:t xml:space="preserve"> </w:t>
      </w:r>
      <w:r w:rsidR="00820981" w:rsidRPr="00074A0E">
        <w:rPr>
          <w:rFonts w:cs="Calibri"/>
          <w:sz w:val="22"/>
          <w:szCs w:val="22"/>
        </w:rPr>
        <w:t>1</w:t>
      </w:r>
      <w:r w:rsidR="002722B2" w:rsidRPr="00074A0E">
        <w:rPr>
          <w:rFonts w:cs="Calibri"/>
          <w:sz w:val="22"/>
          <w:szCs w:val="22"/>
        </w:rPr>
        <w:t xml:space="preserve"> to </w:t>
      </w:r>
      <w:r w:rsidR="003301F6" w:rsidRPr="00074A0E">
        <w:rPr>
          <w:rFonts w:cs="Calibri"/>
          <w:sz w:val="22"/>
          <w:szCs w:val="22"/>
        </w:rPr>
        <w:t>1</w:t>
      </w:r>
      <w:r w:rsidR="00820981" w:rsidRPr="00074A0E">
        <w:rPr>
          <w:rFonts w:cs="Calibri"/>
          <w:sz w:val="22"/>
          <w:szCs w:val="22"/>
        </w:rPr>
        <w:t xml:space="preserve">2 </w:t>
      </w:r>
      <w:r w:rsidR="003301F6" w:rsidRPr="00074A0E">
        <w:rPr>
          <w:rFonts w:cs="Calibri"/>
          <w:sz w:val="22"/>
          <w:szCs w:val="22"/>
        </w:rPr>
        <w:t xml:space="preserve">July 2024. </w:t>
      </w:r>
      <w:r w:rsidRPr="00074A0E">
        <w:rPr>
          <w:rFonts w:cs="Calibri"/>
          <w:sz w:val="22"/>
          <w:szCs w:val="22"/>
        </w:rPr>
        <w:t>The agenda and all relevant information concerning the ITU</w:t>
      </w:r>
      <w:r w:rsidR="00776EDA" w:rsidRPr="00074A0E">
        <w:rPr>
          <w:rFonts w:cs="Calibri"/>
          <w:sz w:val="22"/>
          <w:szCs w:val="22"/>
        </w:rPr>
        <w:noBreakHyphen/>
      </w:r>
      <w:r w:rsidRPr="00074A0E">
        <w:rPr>
          <w:rFonts w:cs="Calibri"/>
          <w:sz w:val="22"/>
          <w:szCs w:val="22"/>
        </w:rPr>
        <w:t>T</w:t>
      </w:r>
      <w:r w:rsidR="00776EDA" w:rsidRPr="00074A0E">
        <w:rPr>
          <w:rFonts w:cs="Calibri"/>
          <w:sz w:val="22"/>
          <w:szCs w:val="22"/>
        </w:rPr>
        <w:t> </w:t>
      </w:r>
      <w:r w:rsidRPr="00074A0E">
        <w:rPr>
          <w:rFonts w:cs="Calibri"/>
          <w:sz w:val="22"/>
          <w:szCs w:val="22"/>
        </w:rPr>
        <w:t xml:space="preserve">Study Group 20 meeting will be available in </w:t>
      </w:r>
      <w:hyperlink r:id="rId10" w:history="1">
        <w:r w:rsidRPr="00074A0E">
          <w:rPr>
            <w:rStyle w:val="Hyperlink"/>
            <w:rFonts w:cs="Calibri"/>
            <w:sz w:val="22"/>
            <w:szCs w:val="22"/>
          </w:rPr>
          <w:t xml:space="preserve">Collective letter </w:t>
        </w:r>
        <w:r w:rsidR="00242718" w:rsidRPr="00074A0E">
          <w:rPr>
            <w:rStyle w:val="Hyperlink"/>
            <w:rFonts w:cs="Calibri"/>
            <w:sz w:val="22"/>
            <w:szCs w:val="22"/>
          </w:rPr>
          <w:t>4</w:t>
        </w:r>
        <w:r w:rsidRPr="00074A0E">
          <w:rPr>
            <w:rStyle w:val="Hyperlink"/>
            <w:rFonts w:cs="Calibri"/>
            <w:sz w:val="22"/>
            <w:szCs w:val="22"/>
          </w:rPr>
          <w:t>/20</w:t>
        </w:r>
      </w:hyperlink>
      <w:r w:rsidRPr="00074A0E">
        <w:rPr>
          <w:rFonts w:cs="Calibri"/>
          <w:sz w:val="22"/>
          <w:szCs w:val="22"/>
        </w:rPr>
        <w:t>.</w:t>
      </w:r>
    </w:p>
    <w:p w14:paraId="521A9FDF" w14:textId="56E2AE94" w:rsidR="00B60460" w:rsidRPr="00074A0E" w:rsidRDefault="00B60460" w:rsidP="00B60460">
      <w:pPr>
        <w:rPr>
          <w:rFonts w:cs="Calibri"/>
          <w:sz w:val="22"/>
          <w:szCs w:val="22"/>
        </w:rPr>
      </w:pPr>
      <w:r w:rsidRPr="00074A0E">
        <w:rPr>
          <w:rFonts w:cs="Calibri"/>
          <w:sz w:val="22"/>
          <w:szCs w:val="22"/>
        </w:rPr>
        <w:t>2</w:t>
      </w:r>
      <w:r w:rsidRPr="00074A0E">
        <w:rPr>
          <w:rFonts w:cs="Calibri"/>
          <w:sz w:val="22"/>
          <w:szCs w:val="22"/>
        </w:rPr>
        <w:tab/>
        <w:t xml:space="preserve">The titles, summaries and locations of the draft new Recommendations </w:t>
      </w:r>
      <w:r w:rsidR="00820981" w:rsidRPr="00074A0E">
        <w:rPr>
          <w:rFonts w:cs="Calibri"/>
          <w:sz w:val="22"/>
          <w:szCs w:val="22"/>
        </w:rPr>
        <w:t xml:space="preserve">ITU-T </w:t>
      </w:r>
      <w:r w:rsidR="009F4CB6" w:rsidRPr="00074A0E">
        <w:rPr>
          <w:rFonts w:cs="Calibri"/>
          <w:sz w:val="22"/>
          <w:szCs w:val="22"/>
        </w:rPr>
        <w:t>Y.4607 (ex</w:t>
      </w:r>
      <w:r w:rsidR="0067278D">
        <w:rPr>
          <w:rFonts w:cs="Calibri"/>
          <w:sz w:val="22"/>
          <w:szCs w:val="22"/>
        </w:rPr>
        <w:t> </w:t>
      </w:r>
      <w:r w:rsidR="009F4CB6" w:rsidRPr="00074A0E">
        <w:rPr>
          <w:rFonts w:cs="Calibri"/>
          <w:sz w:val="22"/>
          <w:szCs w:val="22"/>
        </w:rPr>
        <w:t>Y.DRI</w:t>
      </w:r>
      <w:r w:rsidR="0067278D">
        <w:rPr>
          <w:rFonts w:cs="Calibri"/>
          <w:sz w:val="22"/>
          <w:szCs w:val="22"/>
        </w:rPr>
        <w:noBreakHyphen/>
      </w:r>
      <w:proofErr w:type="spellStart"/>
      <w:r w:rsidR="009F4CB6" w:rsidRPr="00074A0E">
        <w:rPr>
          <w:rFonts w:cs="Calibri"/>
          <w:sz w:val="22"/>
          <w:szCs w:val="22"/>
        </w:rPr>
        <w:t>reqts</w:t>
      </w:r>
      <w:proofErr w:type="spellEnd"/>
      <w:r w:rsidR="009F4CB6" w:rsidRPr="00074A0E">
        <w:rPr>
          <w:rFonts w:cs="Calibri"/>
          <w:sz w:val="22"/>
          <w:szCs w:val="22"/>
        </w:rPr>
        <w:t xml:space="preserve">), Y.4225 (ex </w:t>
      </w:r>
      <w:proofErr w:type="spellStart"/>
      <w:r w:rsidR="009F4CB6" w:rsidRPr="00074A0E">
        <w:rPr>
          <w:rFonts w:cs="Calibri"/>
          <w:sz w:val="22"/>
          <w:szCs w:val="22"/>
        </w:rPr>
        <w:t>Y.dt</w:t>
      </w:r>
      <w:proofErr w:type="spellEnd"/>
      <w:r w:rsidR="009F4CB6" w:rsidRPr="00074A0E">
        <w:rPr>
          <w:rFonts w:cs="Calibri"/>
          <w:sz w:val="22"/>
          <w:szCs w:val="22"/>
        </w:rPr>
        <w:t xml:space="preserve">-ITS), Y.4221 (ex </w:t>
      </w:r>
      <w:proofErr w:type="spellStart"/>
      <w:r w:rsidR="009F4CB6" w:rsidRPr="00074A0E">
        <w:rPr>
          <w:rFonts w:cs="Calibri"/>
          <w:sz w:val="22"/>
          <w:szCs w:val="22"/>
        </w:rPr>
        <w:t>Y.ElecMon-Reqts</w:t>
      </w:r>
      <w:proofErr w:type="spellEnd"/>
      <w:r w:rsidR="009F4CB6" w:rsidRPr="00074A0E">
        <w:rPr>
          <w:rFonts w:cs="Calibri"/>
          <w:sz w:val="22"/>
          <w:szCs w:val="22"/>
        </w:rPr>
        <w:t>), Y.4496 (ex Y.RA-PHE), Y.4497 (ex</w:t>
      </w:r>
      <w:r w:rsidR="0067278D">
        <w:rPr>
          <w:rFonts w:cs="Calibri"/>
          <w:sz w:val="22"/>
          <w:szCs w:val="22"/>
        </w:rPr>
        <w:t> </w:t>
      </w:r>
      <w:proofErr w:type="spellStart"/>
      <w:r w:rsidR="009F4CB6" w:rsidRPr="00074A0E">
        <w:rPr>
          <w:rFonts w:cs="Calibri"/>
          <w:sz w:val="22"/>
          <w:szCs w:val="22"/>
        </w:rPr>
        <w:t>Y.Smart</w:t>
      </w:r>
      <w:proofErr w:type="spellEnd"/>
      <w:r w:rsidR="0067278D">
        <w:rPr>
          <w:rFonts w:cs="Calibri"/>
          <w:sz w:val="22"/>
          <w:szCs w:val="22"/>
        </w:rPr>
        <w:noBreakHyphen/>
      </w:r>
      <w:r w:rsidR="009F4CB6" w:rsidRPr="00074A0E">
        <w:rPr>
          <w:rFonts w:cs="Calibri"/>
          <w:sz w:val="22"/>
          <w:szCs w:val="22"/>
        </w:rPr>
        <w:t xml:space="preserve">SBS), Y.4498 (ex </w:t>
      </w:r>
      <w:proofErr w:type="spellStart"/>
      <w:r w:rsidR="009F4CB6" w:rsidRPr="00074A0E">
        <w:rPr>
          <w:rFonts w:cs="Calibri"/>
          <w:sz w:val="22"/>
          <w:szCs w:val="22"/>
        </w:rPr>
        <w:t>Y.energy</w:t>
      </w:r>
      <w:proofErr w:type="spellEnd"/>
      <w:r w:rsidR="009F4CB6" w:rsidRPr="00074A0E">
        <w:rPr>
          <w:rFonts w:cs="Calibri"/>
          <w:sz w:val="22"/>
          <w:szCs w:val="22"/>
        </w:rPr>
        <w:t xml:space="preserve">-data), Y.4499 (ex Y.UIM-cs-framework) and Y.4488 (ex </w:t>
      </w:r>
      <w:proofErr w:type="spellStart"/>
      <w:r w:rsidR="009F4CB6" w:rsidRPr="00074A0E">
        <w:rPr>
          <w:rFonts w:cs="Calibri"/>
          <w:sz w:val="22"/>
          <w:szCs w:val="22"/>
        </w:rPr>
        <w:t>Y.IoT</w:t>
      </w:r>
      <w:proofErr w:type="spellEnd"/>
      <w:r w:rsidR="009F4CB6" w:rsidRPr="00074A0E">
        <w:rPr>
          <w:rFonts w:cs="Calibri"/>
          <w:sz w:val="22"/>
          <w:szCs w:val="22"/>
        </w:rPr>
        <w:t>-SPWE)</w:t>
      </w:r>
      <w:r w:rsidRPr="00074A0E">
        <w:rPr>
          <w:rFonts w:cs="Calibri"/>
          <w:sz w:val="22"/>
          <w:szCs w:val="22"/>
        </w:rPr>
        <w:t>, proposed for approval can be found in Annex 1.</w:t>
      </w:r>
    </w:p>
    <w:p w14:paraId="6274048D" w14:textId="0B1424FD" w:rsidR="00B60460" w:rsidRPr="00074A0E" w:rsidRDefault="00B60460" w:rsidP="00B60460">
      <w:pPr>
        <w:rPr>
          <w:rFonts w:cs="Calibri"/>
          <w:sz w:val="22"/>
          <w:szCs w:val="22"/>
        </w:rPr>
      </w:pPr>
      <w:r w:rsidRPr="00074A0E">
        <w:rPr>
          <w:rFonts w:cs="Calibri"/>
          <w:sz w:val="22"/>
          <w:szCs w:val="22"/>
        </w:rPr>
        <w:t>3</w:t>
      </w:r>
      <w:r w:rsidRPr="00074A0E">
        <w:rPr>
          <w:rFonts w:cs="Calibri"/>
          <w:sz w:val="22"/>
          <w:szCs w:val="22"/>
        </w:rPr>
        <w:tab/>
      </w:r>
      <w:proofErr w:type="gramStart"/>
      <w:r w:rsidRPr="00074A0E">
        <w:rPr>
          <w:rFonts w:cs="Calibri"/>
          <w:sz w:val="22"/>
          <w:szCs w:val="22"/>
        </w:rPr>
        <w:t>This Circular initiates</w:t>
      </w:r>
      <w:proofErr w:type="gramEnd"/>
      <w:r w:rsidRPr="00074A0E">
        <w:rPr>
          <w:rFonts w:cs="Calibri"/>
          <w:sz w:val="22"/>
          <w:szCs w:val="22"/>
        </w:rPr>
        <w:t xml:space="preserve"> the formal consultation with ITU Member States on whether these texts may be considered for approval at the upcoming meeting, in accordance with clause 9.4 of Resolution 1. Member</w:t>
      </w:r>
      <w:r w:rsidR="00776EDA" w:rsidRPr="00074A0E">
        <w:rPr>
          <w:rFonts w:cs="Calibri"/>
          <w:sz w:val="22"/>
          <w:szCs w:val="22"/>
        </w:rPr>
        <w:t> </w:t>
      </w:r>
      <w:r w:rsidRPr="00074A0E">
        <w:rPr>
          <w:rFonts w:cs="Calibri"/>
          <w:sz w:val="22"/>
          <w:szCs w:val="22"/>
        </w:rPr>
        <w:t xml:space="preserve">States are kindly requested to complete and return the form in Annex 2 by 2359 hours UTC on </w:t>
      </w:r>
      <w:r w:rsidR="009F4CB6" w:rsidRPr="00074A0E">
        <w:rPr>
          <w:rFonts w:cs="Calibri"/>
          <w:b/>
          <w:bCs/>
          <w:sz w:val="22"/>
          <w:szCs w:val="22"/>
        </w:rPr>
        <w:t>19</w:t>
      </w:r>
      <w:r w:rsidR="0067278D">
        <w:rPr>
          <w:rFonts w:cs="Calibri"/>
          <w:b/>
          <w:bCs/>
          <w:sz w:val="22"/>
          <w:szCs w:val="22"/>
        </w:rPr>
        <w:t> </w:t>
      </w:r>
      <w:r w:rsidR="009F4CB6" w:rsidRPr="00074A0E">
        <w:rPr>
          <w:rFonts w:cs="Calibri"/>
          <w:b/>
          <w:bCs/>
          <w:sz w:val="22"/>
          <w:szCs w:val="22"/>
        </w:rPr>
        <w:t>June 2024</w:t>
      </w:r>
      <w:r w:rsidRPr="00074A0E">
        <w:rPr>
          <w:rFonts w:cs="Calibri"/>
          <w:sz w:val="22"/>
          <w:szCs w:val="22"/>
        </w:rPr>
        <w:t>.</w:t>
      </w:r>
    </w:p>
    <w:p w14:paraId="17DF8D8F" w14:textId="572FEA06" w:rsidR="00B60460" w:rsidRPr="00074A0E" w:rsidRDefault="00B60460" w:rsidP="00B60460">
      <w:pPr>
        <w:rPr>
          <w:rFonts w:cs="Calibri"/>
          <w:sz w:val="22"/>
          <w:szCs w:val="22"/>
        </w:rPr>
      </w:pPr>
      <w:r w:rsidRPr="00074A0E">
        <w:rPr>
          <w:rFonts w:cs="Calibri"/>
          <w:sz w:val="22"/>
          <w:szCs w:val="22"/>
        </w:rPr>
        <w:t>4</w:t>
      </w:r>
      <w:r w:rsidRPr="00074A0E">
        <w:rPr>
          <w:rFonts w:cs="Calibri"/>
          <w:sz w:val="22"/>
          <w:szCs w:val="22"/>
        </w:rPr>
        <w:tab/>
        <w:t xml:space="preserve">If 70% or more of the replies from Member States support consideration for approval, one Plenary session will be devoted to </w:t>
      </w:r>
      <w:proofErr w:type="gramStart"/>
      <w:r w:rsidRPr="00074A0E">
        <w:rPr>
          <w:rFonts w:cs="Calibri"/>
          <w:sz w:val="22"/>
          <w:szCs w:val="22"/>
        </w:rPr>
        <w:t>apply</w:t>
      </w:r>
      <w:proofErr w:type="gramEnd"/>
      <w:r w:rsidRPr="00074A0E">
        <w:rPr>
          <w:rFonts w:cs="Calibri"/>
          <w:sz w:val="22"/>
          <w:szCs w:val="22"/>
        </w:rPr>
        <w:t xml:space="preserve"> the approval procedure. Member States that do not assign authority to proceed should inform the Director of TSB of the reasons for this opinion and indicate the possible changes that would enable the work to progress.</w:t>
      </w:r>
    </w:p>
    <w:p w14:paraId="764675D9" w14:textId="2A5F0B1A" w:rsidR="00B60460" w:rsidRPr="00074A0E" w:rsidRDefault="00B60460" w:rsidP="00B60460">
      <w:pPr>
        <w:spacing w:before="100"/>
        <w:rPr>
          <w:rFonts w:cs="Calibri"/>
          <w:sz w:val="22"/>
          <w:szCs w:val="22"/>
        </w:rPr>
      </w:pPr>
      <w:r w:rsidRPr="00074A0E">
        <w:rPr>
          <w:rFonts w:cs="Calibri"/>
          <w:sz w:val="22"/>
          <w:szCs w:val="22"/>
        </w:rPr>
        <w:t xml:space="preserve">TSB NOTE 1– As of the date of this Circular, no IPR statements had been received by TSB regarding any of these draft texts. For up-to-date information, members are invited to consult the IPR database at </w:t>
      </w:r>
      <w:hyperlink r:id="rId11" w:history="1">
        <w:r w:rsidRPr="00074A0E">
          <w:rPr>
            <w:rStyle w:val="Hyperlink"/>
            <w:rFonts w:cs="Calibri"/>
            <w:sz w:val="22"/>
            <w:szCs w:val="22"/>
          </w:rPr>
          <w:t>www.itu.int/ipr/</w:t>
        </w:r>
      </w:hyperlink>
      <w:r w:rsidRPr="00074A0E">
        <w:rPr>
          <w:rFonts w:cs="Calibri"/>
          <w:sz w:val="22"/>
          <w:szCs w:val="22"/>
        </w:rPr>
        <w:t>.</w:t>
      </w:r>
    </w:p>
    <w:p w14:paraId="3C1D2EDD" w14:textId="78B23724" w:rsidR="00B60460" w:rsidRPr="00074A0E" w:rsidRDefault="00B60460" w:rsidP="00776EDA">
      <w:pPr>
        <w:pStyle w:val="Tabletext"/>
        <w:spacing w:before="120"/>
        <w:rPr>
          <w:rFonts w:cs="Calibri"/>
          <w:sz w:val="22"/>
          <w:szCs w:val="22"/>
        </w:rPr>
      </w:pPr>
      <w:r w:rsidRPr="00074A0E">
        <w:rPr>
          <w:rFonts w:cs="Calibri"/>
          <w:sz w:val="22"/>
          <w:szCs w:val="22"/>
        </w:rPr>
        <w:t>Yours faithfully</w:t>
      </w:r>
    </w:p>
    <w:p w14:paraId="7723D1F0" w14:textId="67FA5F28" w:rsidR="00B60460" w:rsidRPr="0012501E" w:rsidRDefault="005B7569" w:rsidP="00634658">
      <w:pPr>
        <w:pStyle w:val="Tabletext"/>
        <w:spacing w:before="840" w:after="0"/>
        <w:rPr>
          <w:rFonts w:cs="Calibri"/>
          <w:sz w:val="22"/>
          <w:szCs w:val="22"/>
        </w:rPr>
      </w:pPr>
      <w:r>
        <w:rPr>
          <w:rFonts w:cs="Calibri"/>
          <w:noProof/>
          <w:sz w:val="22"/>
          <w:szCs w:val="22"/>
        </w:rPr>
        <w:drawing>
          <wp:anchor distT="0" distB="0" distL="114300" distR="114300" simplePos="0" relativeHeight="251658240" behindDoc="1" locked="0" layoutInCell="1" allowOverlap="1" wp14:anchorId="44AC4756" wp14:editId="69552921">
            <wp:simplePos x="0" y="0"/>
            <wp:positionH relativeFrom="column">
              <wp:posOffset>3810</wp:posOffset>
            </wp:positionH>
            <wp:positionV relativeFrom="paragraph">
              <wp:posOffset>77470</wp:posOffset>
            </wp:positionV>
            <wp:extent cx="721399" cy="304729"/>
            <wp:effectExtent l="0" t="0" r="2540" b="635"/>
            <wp:wrapNone/>
            <wp:docPr id="622874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74516" name="Picture 622874516"/>
                    <pic:cNvPicPr/>
                  </pic:nvPicPr>
                  <pic:blipFill>
                    <a:blip r:embed="rId12">
                      <a:extLst>
                        <a:ext uri="{28A0092B-C50C-407E-A947-70E740481C1C}">
                          <a14:useLocalDpi xmlns:a14="http://schemas.microsoft.com/office/drawing/2010/main" val="0"/>
                        </a:ext>
                      </a:extLst>
                    </a:blip>
                    <a:stretch>
                      <a:fillRect/>
                    </a:stretch>
                  </pic:blipFill>
                  <pic:spPr>
                    <a:xfrm>
                      <a:off x="0" y="0"/>
                      <a:ext cx="724328" cy="305966"/>
                    </a:xfrm>
                    <a:prstGeom prst="rect">
                      <a:avLst/>
                    </a:prstGeom>
                  </pic:spPr>
                </pic:pic>
              </a:graphicData>
            </a:graphic>
            <wp14:sizeRelH relativeFrom="margin">
              <wp14:pctWidth>0</wp14:pctWidth>
            </wp14:sizeRelH>
            <wp14:sizeRelV relativeFrom="margin">
              <wp14:pctHeight>0</wp14:pctHeight>
            </wp14:sizeRelV>
          </wp:anchor>
        </w:drawing>
      </w:r>
      <w:r w:rsidR="00820981" w:rsidRPr="00074A0E">
        <w:rPr>
          <w:rFonts w:cs="Calibri"/>
          <w:noProof/>
          <w:sz w:val="22"/>
          <w:szCs w:val="22"/>
        </w:rPr>
        <w:t>Seizo Onoe</w:t>
      </w:r>
      <w:r w:rsidR="00820981" w:rsidRPr="007C4274">
        <w:rPr>
          <w:rFonts w:cs="Calibri"/>
          <w:sz w:val="22"/>
          <w:szCs w:val="22"/>
        </w:rPr>
        <w:t xml:space="preserve"> </w:t>
      </w:r>
      <w:r w:rsidR="00B60460" w:rsidRPr="007C4274">
        <w:rPr>
          <w:rFonts w:cs="Calibri"/>
          <w:sz w:val="22"/>
          <w:szCs w:val="22"/>
        </w:rPr>
        <w:br/>
      </w:r>
      <w:r w:rsidR="00B60460" w:rsidRPr="0012501E">
        <w:rPr>
          <w:rFonts w:cs="Calibri"/>
          <w:sz w:val="22"/>
          <w:szCs w:val="22"/>
        </w:rPr>
        <w:t>Director of the Telecommunication</w:t>
      </w:r>
      <w:r w:rsidR="00B60460" w:rsidRPr="0012501E">
        <w:rPr>
          <w:rFonts w:cs="Calibri"/>
          <w:sz w:val="22"/>
          <w:szCs w:val="22"/>
        </w:rPr>
        <w:br/>
        <w:t>Standardization Bureau</w:t>
      </w:r>
    </w:p>
    <w:p w14:paraId="31653AC6" w14:textId="6F2DE15C" w:rsidR="002D69A3" w:rsidRPr="005B4CA0" w:rsidRDefault="00B60460" w:rsidP="00634658">
      <w:pPr>
        <w:spacing w:before="240"/>
        <w:rPr>
          <w:rFonts w:cs="Calibri"/>
          <w:bCs/>
          <w:sz w:val="22"/>
          <w:szCs w:val="22"/>
        </w:rPr>
      </w:pPr>
      <w:r w:rsidRPr="005B4CA0">
        <w:rPr>
          <w:rFonts w:cs="Calibri"/>
          <w:b/>
          <w:sz w:val="22"/>
          <w:szCs w:val="22"/>
        </w:rPr>
        <w:t xml:space="preserve">Annexes: </w:t>
      </w:r>
      <w:r w:rsidRPr="005B4CA0">
        <w:rPr>
          <w:rFonts w:cs="Calibri"/>
          <w:bCs/>
          <w:sz w:val="22"/>
          <w:szCs w:val="22"/>
        </w:rPr>
        <w:t>2</w:t>
      </w:r>
    </w:p>
    <w:p w14:paraId="28506383" w14:textId="77777777" w:rsidR="00B60460" w:rsidRPr="005B4CA0" w:rsidRDefault="00B60460" w:rsidP="00B60460">
      <w:pPr>
        <w:keepNext/>
        <w:keepLines/>
        <w:spacing w:before="240" w:after="280"/>
        <w:jc w:val="center"/>
        <w:rPr>
          <w:rFonts w:eastAsia="Times New Roman"/>
          <w:b/>
          <w:sz w:val="28"/>
        </w:rPr>
      </w:pPr>
      <w:r w:rsidRPr="005B4CA0">
        <w:rPr>
          <w:rFonts w:eastAsia="Times New Roman"/>
          <w:b/>
          <w:sz w:val="28"/>
        </w:rPr>
        <w:lastRenderedPageBreak/>
        <w:t>Annex 1</w:t>
      </w:r>
    </w:p>
    <w:p w14:paraId="2F066E02" w14:textId="3C9C5345" w:rsidR="00B60460" w:rsidRPr="005B4CA0" w:rsidRDefault="00B60460" w:rsidP="00B60460">
      <w:pPr>
        <w:keepNext/>
        <w:keepLines/>
        <w:spacing w:before="240" w:after="280"/>
        <w:jc w:val="center"/>
        <w:rPr>
          <w:rFonts w:eastAsia="Times New Roman"/>
          <w:b/>
          <w:sz w:val="28"/>
        </w:rPr>
      </w:pPr>
      <w:r w:rsidRPr="005B4CA0">
        <w:rPr>
          <w:rFonts w:eastAsia="Times New Roman"/>
          <w:b/>
          <w:sz w:val="28"/>
        </w:rPr>
        <w:t xml:space="preserve">Summary and location of Determined draft new Recommendations </w:t>
      </w:r>
      <w:r w:rsidR="00E609F7" w:rsidRPr="005B4CA0">
        <w:rPr>
          <w:rFonts w:eastAsia="Times New Roman"/>
          <w:b/>
          <w:sz w:val="28"/>
        </w:rPr>
        <w:t xml:space="preserve">ITU-T </w:t>
      </w:r>
      <w:r w:rsidR="007C4274" w:rsidRPr="005B4CA0">
        <w:rPr>
          <w:rFonts w:eastAsia="Times New Roman"/>
          <w:b/>
          <w:sz w:val="28"/>
        </w:rPr>
        <w:t>Y.4607 (ex Y.DRI-</w:t>
      </w:r>
      <w:proofErr w:type="spellStart"/>
      <w:r w:rsidR="007C4274" w:rsidRPr="005B4CA0">
        <w:rPr>
          <w:rFonts w:eastAsia="Times New Roman"/>
          <w:b/>
          <w:sz w:val="28"/>
        </w:rPr>
        <w:t>reqts</w:t>
      </w:r>
      <w:proofErr w:type="spellEnd"/>
      <w:r w:rsidR="007C4274" w:rsidRPr="005B4CA0">
        <w:rPr>
          <w:rFonts w:eastAsia="Times New Roman"/>
          <w:b/>
          <w:sz w:val="28"/>
        </w:rPr>
        <w:t xml:space="preserve">), Y.4225 (ex </w:t>
      </w:r>
      <w:proofErr w:type="spellStart"/>
      <w:r w:rsidR="007C4274" w:rsidRPr="005B4CA0">
        <w:rPr>
          <w:rFonts w:eastAsia="Times New Roman"/>
          <w:b/>
          <w:sz w:val="28"/>
        </w:rPr>
        <w:t>Y.dt</w:t>
      </w:r>
      <w:proofErr w:type="spellEnd"/>
      <w:r w:rsidR="007C4274" w:rsidRPr="005B4CA0">
        <w:rPr>
          <w:rFonts w:eastAsia="Times New Roman"/>
          <w:b/>
          <w:sz w:val="28"/>
        </w:rPr>
        <w:t xml:space="preserve">-ITS), Y.4221 (ex </w:t>
      </w:r>
      <w:proofErr w:type="spellStart"/>
      <w:r w:rsidR="007C4274" w:rsidRPr="005B4CA0">
        <w:rPr>
          <w:rFonts w:eastAsia="Times New Roman"/>
          <w:b/>
          <w:sz w:val="28"/>
        </w:rPr>
        <w:t>Y.ElecMon-Reqts</w:t>
      </w:r>
      <w:proofErr w:type="spellEnd"/>
      <w:r w:rsidR="007C4274" w:rsidRPr="005B4CA0">
        <w:rPr>
          <w:rFonts w:eastAsia="Times New Roman"/>
          <w:b/>
          <w:sz w:val="28"/>
        </w:rPr>
        <w:t xml:space="preserve">), Y.4496 (ex Y.RA-PHE), Y.4497 (ex </w:t>
      </w:r>
      <w:proofErr w:type="spellStart"/>
      <w:r w:rsidR="007C4274" w:rsidRPr="005B4CA0">
        <w:rPr>
          <w:rFonts w:eastAsia="Times New Roman"/>
          <w:b/>
          <w:sz w:val="28"/>
        </w:rPr>
        <w:t>Y.Smart</w:t>
      </w:r>
      <w:proofErr w:type="spellEnd"/>
      <w:r w:rsidR="007C4274" w:rsidRPr="005B4CA0">
        <w:rPr>
          <w:rFonts w:eastAsia="Times New Roman"/>
          <w:b/>
          <w:sz w:val="28"/>
        </w:rPr>
        <w:t xml:space="preserve">-SBS), Y.4498 (ex </w:t>
      </w:r>
      <w:proofErr w:type="spellStart"/>
      <w:r w:rsidR="007C4274" w:rsidRPr="005B4CA0">
        <w:rPr>
          <w:rFonts w:eastAsia="Times New Roman"/>
          <w:b/>
          <w:sz w:val="28"/>
        </w:rPr>
        <w:t>Y.energy</w:t>
      </w:r>
      <w:proofErr w:type="spellEnd"/>
      <w:r w:rsidR="007C4274" w:rsidRPr="005B4CA0">
        <w:rPr>
          <w:rFonts w:eastAsia="Times New Roman"/>
          <w:b/>
          <w:sz w:val="28"/>
        </w:rPr>
        <w:t xml:space="preserve">-data), Y.4499 (ex Y.UIM-cs-framework) and Y.4488 (ex </w:t>
      </w:r>
      <w:proofErr w:type="spellStart"/>
      <w:r w:rsidR="007C4274" w:rsidRPr="005B4CA0">
        <w:rPr>
          <w:rFonts w:eastAsia="Times New Roman"/>
          <w:b/>
          <w:sz w:val="28"/>
        </w:rPr>
        <w:t>Y.IoT</w:t>
      </w:r>
      <w:proofErr w:type="spellEnd"/>
      <w:r w:rsidR="007C4274" w:rsidRPr="005B4CA0">
        <w:rPr>
          <w:rFonts w:eastAsia="Times New Roman"/>
          <w:b/>
          <w:sz w:val="28"/>
        </w:rPr>
        <w:t>-SPWE)</w:t>
      </w:r>
    </w:p>
    <w:p w14:paraId="24B71F44" w14:textId="67B1A696" w:rsidR="00B60460" w:rsidRPr="00B008C5" w:rsidRDefault="00B60460" w:rsidP="00E17C88">
      <w:pPr>
        <w:spacing w:before="280"/>
        <w:ind w:left="1134" w:hanging="1134"/>
        <w:outlineLvl w:val="0"/>
        <w:rPr>
          <w:rFonts w:eastAsia="Times New Roman" w:cs="Calibri"/>
          <w:b/>
          <w:sz w:val="28"/>
          <w:lang w:val="fr-CH"/>
        </w:rPr>
      </w:pPr>
      <w:r w:rsidRPr="00B008C5">
        <w:rPr>
          <w:rFonts w:eastAsia="Times New Roman" w:cs="Calibri"/>
          <w:b/>
          <w:sz w:val="28"/>
          <w:lang w:val="fr-CH"/>
        </w:rPr>
        <w:t>1</w:t>
      </w:r>
      <w:r w:rsidRPr="00B008C5">
        <w:rPr>
          <w:rFonts w:eastAsia="Times New Roman" w:cs="Calibri"/>
          <w:b/>
          <w:sz w:val="28"/>
          <w:lang w:val="fr-CH"/>
        </w:rPr>
        <w:tab/>
        <w:t xml:space="preserve">Draft new </w:t>
      </w:r>
      <w:proofErr w:type="spellStart"/>
      <w:r w:rsidRPr="00B008C5">
        <w:rPr>
          <w:rFonts w:eastAsia="Times New Roman" w:cs="Calibri"/>
          <w:b/>
          <w:sz w:val="28"/>
          <w:lang w:val="fr-CH"/>
        </w:rPr>
        <w:t>Recommendation</w:t>
      </w:r>
      <w:proofErr w:type="spellEnd"/>
      <w:r w:rsidRPr="00B008C5">
        <w:rPr>
          <w:rFonts w:eastAsia="Times New Roman" w:cs="Calibri"/>
          <w:b/>
          <w:sz w:val="28"/>
          <w:lang w:val="fr-CH"/>
        </w:rPr>
        <w:t xml:space="preserve"> ITU-T </w:t>
      </w:r>
      <w:r w:rsidR="006355C2" w:rsidRPr="00B008C5">
        <w:rPr>
          <w:rFonts w:eastAsia="Times New Roman"/>
          <w:b/>
          <w:sz w:val="28"/>
          <w:lang w:val="fr-CH"/>
        </w:rPr>
        <w:t>Y.4607 (ex Y.DRI-</w:t>
      </w:r>
      <w:proofErr w:type="spellStart"/>
      <w:r w:rsidR="006355C2" w:rsidRPr="00B008C5">
        <w:rPr>
          <w:rFonts w:eastAsia="Times New Roman"/>
          <w:b/>
          <w:sz w:val="28"/>
          <w:lang w:val="fr-CH"/>
        </w:rPr>
        <w:t>reqts</w:t>
      </w:r>
      <w:proofErr w:type="spellEnd"/>
      <w:proofErr w:type="gramStart"/>
      <w:r w:rsidR="006355C2" w:rsidRPr="00B008C5">
        <w:rPr>
          <w:rFonts w:eastAsia="Times New Roman"/>
          <w:b/>
          <w:sz w:val="28"/>
          <w:lang w:val="fr-CH"/>
        </w:rPr>
        <w:t>)</w:t>
      </w:r>
      <w:r w:rsidR="00572180" w:rsidRPr="00B008C5">
        <w:rPr>
          <w:rFonts w:eastAsia="Times New Roman"/>
          <w:b/>
          <w:sz w:val="28"/>
          <w:lang w:val="fr-CH"/>
        </w:rPr>
        <w:t>:</w:t>
      </w:r>
      <w:proofErr w:type="gramEnd"/>
      <w:r w:rsidR="00572180" w:rsidRPr="00B008C5">
        <w:rPr>
          <w:rFonts w:eastAsia="Times New Roman"/>
          <w:b/>
          <w:sz w:val="28"/>
          <w:lang w:val="fr-CH"/>
        </w:rPr>
        <w:t xml:space="preserve"> </w:t>
      </w:r>
      <w:r w:rsidRPr="00B008C5">
        <w:rPr>
          <w:rFonts w:eastAsia="Times New Roman" w:cs="Calibri"/>
          <w:b/>
          <w:sz w:val="28"/>
          <w:lang w:val="fr-CH"/>
        </w:rPr>
        <w:t>[</w:t>
      </w:r>
      <w:hyperlink r:id="rId13" w:history="1">
        <w:r w:rsidR="00E609F7" w:rsidRPr="00B008C5">
          <w:rPr>
            <w:rStyle w:val="Hyperlink"/>
            <w:rFonts w:eastAsia="Times New Roman" w:cs="Calibri"/>
            <w:b/>
            <w:sz w:val="28"/>
            <w:lang w:val="fr-CH"/>
          </w:rPr>
          <w:t>R</w:t>
        </w:r>
        <w:r w:rsidR="006355C2" w:rsidRPr="00B008C5">
          <w:rPr>
            <w:rStyle w:val="Hyperlink"/>
            <w:rFonts w:eastAsia="Times New Roman" w:cs="Calibri"/>
            <w:b/>
            <w:sz w:val="28"/>
            <w:lang w:val="fr-CH"/>
          </w:rPr>
          <w:t>12</w:t>
        </w:r>
      </w:hyperlink>
      <w:r w:rsidRPr="00B008C5">
        <w:rPr>
          <w:rFonts w:eastAsia="Times New Roman" w:cs="Calibri"/>
          <w:b/>
          <w:sz w:val="28"/>
          <w:lang w:val="fr-CH"/>
        </w:rPr>
        <w:t>]</w:t>
      </w:r>
    </w:p>
    <w:p w14:paraId="5BE64C6C" w14:textId="77777777" w:rsidR="006355C2" w:rsidRPr="00B008C5" w:rsidRDefault="006355C2" w:rsidP="00E17C88">
      <w:pPr>
        <w:ind w:left="1134" w:hanging="1134"/>
        <w:outlineLvl w:val="1"/>
        <w:rPr>
          <w:rFonts w:eastAsia="Times New Roman" w:cs="Calibri"/>
          <w:b/>
          <w:szCs w:val="24"/>
          <w:lang w:val="en-US"/>
        </w:rPr>
      </w:pPr>
      <w:r w:rsidRPr="00B008C5">
        <w:rPr>
          <w:rFonts w:eastAsia="Times New Roman" w:cs="Calibri"/>
          <w:b/>
          <w:szCs w:val="24"/>
          <w:lang w:val="en-US"/>
        </w:rPr>
        <w:t xml:space="preserve">Requirements for the interworking of autonomous urban delivery robots </w:t>
      </w:r>
    </w:p>
    <w:p w14:paraId="00C6EBCA" w14:textId="79FC3766" w:rsidR="00B60460" w:rsidRPr="00B008C5" w:rsidRDefault="00B60460" w:rsidP="00E17C88">
      <w:pPr>
        <w:ind w:left="1134" w:hanging="1134"/>
        <w:outlineLvl w:val="1"/>
        <w:rPr>
          <w:rFonts w:eastAsia="Times New Roman" w:cs="Calibri"/>
          <w:b/>
          <w:szCs w:val="24"/>
        </w:rPr>
      </w:pPr>
      <w:r w:rsidRPr="00B008C5">
        <w:rPr>
          <w:rFonts w:eastAsia="Times New Roman" w:cs="Calibri"/>
          <w:b/>
          <w:szCs w:val="24"/>
        </w:rPr>
        <w:t>Summary</w:t>
      </w:r>
    </w:p>
    <w:p w14:paraId="293DF4C7" w14:textId="77777777" w:rsidR="006355C2" w:rsidRPr="007427B0" w:rsidRDefault="006355C2" w:rsidP="006355C2">
      <w:pPr>
        <w:rPr>
          <w:i/>
          <w:lang w:eastAsia="zh-CN"/>
        </w:rPr>
      </w:pPr>
      <w:r w:rsidRPr="00B008C5">
        <w:rPr>
          <w:rFonts w:eastAsia="Malgun Gothic"/>
          <w:iCs/>
          <w:lang w:eastAsia="ko-KR"/>
        </w:rPr>
        <w:t xml:space="preserve">This </w:t>
      </w:r>
      <w:r w:rsidRPr="007427B0">
        <w:rPr>
          <w:rFonts w:eastAsia="Malgun Gothic"/>
          <w:iCs/>
          <w:lang w:eastAsia="ko-KR"/>
        </w:rPr>
        <w:t xml:space="preserve">Recommendation specifies the requirements for autonomous delivery robots that interwork </w:t>
      </w:r>
      <w:r w:rsidRPr="007427B0">
        <w:rPr>
          <w:lang w:eastAsia="ko-KR"/>
        </w:rPr>
        <w:t>with delivery robot service providers, user devices and urban infrastructure to facilitate the delivery of goods without human intervention.</w:t>
      </w:r>
    </w:p>
    <w:p w14:paraId="3DCB5757" w14:textId="458B7566" w:rsidR="00B60460" w:rsidRPr="007427B0" w:rsidRDefault="00B60460" w:rsidP="00E17C88">
      <w:pPr>
        <w:spacing w:before="280"/>
        <w:ind w:left="1134" w:hanging="1134"/>
        <w:outlineLvl w:val="0"/>
        <w:rPr>
          <w:rFonts w:eastAsia="Times New Roman" w:cs="Calibri"/>
          <w:b/>
          <w:sz w:val="28"/>
        </w:rPr>
      </w:pPr>
      <w:r w:rsidRPr="007427B0">
        <w:rPr>
          <w:rFonts w:eastAsia="Times New Roman" w:cs="Calibri"/>
          <w:b/>
          <w:sz w:val="28"/>
        </w:rPr>
        <w:t>2</w:t>
      </w:r>
      <w:r w:rsidRPr="007427B0">
        <w:rPr>
          <w:rFonts w:eastAsia="Times New Roman" w:cs="Calibri"/>
          <w:b/>
          <w:sz w:val="28"/>
        </w:rPr>
        <w:tab/>
        <w:t xml:space="preserve">Draft new Recommendation ITU-T </w:t>
      </w:r>
      <w:r w:rsidR="00572180" w:rsidRPr="007427B0">
        <w:rPr>
          <w:rFonts w:eastAsia="Times New Roman"/>
          <w:b/>
          <w:sz w:val="28"/>
        </w:rPr>
        <w:t>Y.</w:t>
      </w:r>
      <w:r w:rsidR="00E05288" w:rsidRPr="007427B0">
        <w:rPr>
          <w:rFonts w:eastAsia="Times New Roman"/>
          <w:b/>
          <w:sz w:val="28"/>
        </w:rPr>
        <w:t>4225</w:t>
      </w:r>
      <w:r w:rsidR="00572180" w:rsidRPr="007427B0">
        <w:rPr>
          <w:rFonts w:eastAsia="Times New Roman"/>
          <w:b/>
          <w:sz w:val="28"/>
        </w:rPr>
        <w:t xml:space="preserve"> (ex </w:t>
      </w:r>
      <w:proofErr w:type="spellStart"/>
      <w:proofErr w:type="gramStart"/>
      <w:r w:rsidR="00E05288" w:rsidRPr="007427B0">
        <w:rPr>
          <w:rFonts w:eastAsia="Times New Roman"/>
          <w:b/>
          <w:sz w:val="28"/>
        </w:rPr>
        <w:t>Y.dt</w:t>
      </w:r>
      <w:proofErr w:type="spellEnd"/>
      <w:proofErr w:type="gramEnd"/>
      <w:r w:rsidR="00E05288" w:rsidRPr="007427B0">
        <w:rPr>
          <w:rFonts w:eastAsia="Times New Roman"/>
          <w:b/>
          <w:sz w:val="28"/>
        </w:rPr>
        <w:t>-ITS</w:t>
      </w:r>
      <w:r w:rsidR="00572180" w:rsidRPr="007427B0">
        <w:rPr>
          <w:rFonts w:eastAsia="Times New Roman"/>
          <w:b/>
          <w:sz w:val="28"/>
        </w:rPr>
        <w:t>)</w:t>
      </w:r>
      <w:r w:rsidR="0054116D" w:rsidRPr="007427B0">
        <w:rPr>
          <w:rFonts w:eastAsia="Times New Roman"/>
          <w:b/>
          <w:sz w:val="28"/>
        </w:rPr>
        <w:t>:</w:t>
      </w:r>
      <w:r w:rsidR="00572180" w:rsidRPr="007427B0">
        <w:rPr>
          <w:rFonts w:eastAsia="Times New Roman"/>
          <w:b/>
          <w:sz w:val="28"/>
        </w:rPr>
        <w:t xml:space="preserve"> </w:t>
      </w:r>
      <w:r w:rsidRPr="007427B0">
        <w:rPr>
          <w:rFonts w:eastAsia="Times New Roman" w:cs="Calibri"/>
          <w:b/>
          <w:sz w:val="28"/>
        </w:rPr>
        <w:t>[</w:t>
      </w:r>
      <w:hyperlink r:id="rId14" w:history="1">
        <w:r w:rsidRPr="007427B0">
          <w:rPr>
            <w:rStyle w:val="Hyperlink"/>
            <w:rFonts w:eastAsia="Times New Roman" w:cs="Calibri"/>
            <w:b/>
            <w:sz w:val="28"/>
          </w:rPr>
          <w:t>R</w:t>
        </w:r>
        <w:r w:rsidR="006355C2" w:rsidRPr="007427B0">
          <w:rPr>
            <w:rStyle w:val="Hyperlink"/>
            <w:rFonts w:eastAsia="Times New Roman" w:cs="Calibri"/>
            <w:b/>
            <w:sz w:val="28"/>
          </w:rPr>
          <w:t>13</w:t>
        </w:r>
      </w:hyperlink>
      <w:r w:rsidRPr="007427B0">
        <w:rPr>
          <w:rFonts w:eastAsia="Times New Roman" w:cs="Calibri"/>
          <w:b/>
          <w:sz w:val="28"/>
        </w:rPr>
        <w:t>]</w:t>
      </w:r>
    </w:p>
    <w:p w14:paraId="077FA942" w14:textId="77777777" w:rsidR="003A6B5E" w:rsidRPr="007427B0" w:rsidRDefault="003A6B5E" w:rsidP="00E17C88">
      <w:pPr>
        <w:ind w:left="1134" w:hanging="1134"/>
        <w:outlineLvl w:val="1"/>
        <w:rPr>
          <w:rFonts w:eastAsia="Times New Roman" w:cs="Calibri"/>
          <w:b/>
          <w:szCs w:val="24"/>
        </w:rPr>
      </w:pPr>
      <w:r w:rsidRPr="007427B0">
        <w:rPr>
          <w:rFonts w:eastAsia="Times New Roman" w:cs="Calibri"/>
          <w:b/>
          <w:szCs w:val="24"/>
        </w:rPr>
        <w:t>Requirements and capability framework of digital twin for intelligent transport system</w:t>
      </w:r>
    </w:p>
    <w:p w14:paraId="568FDECD" w14:textId="208E2073" w:rsidR="00B60460" w:rsidRPr="007427B0" w:rsidRDefault="00B60460" w:rsidP="00E17C88">
      <w:pPr>
        <w:ind w:left="1134" w:hanging="1134"/>
        <w:outlineLvl w:val="1"/>
        <w:rPr>
          <w:rFonts w:eastAsia="Times New Roman" w:cs="Calibri"/>
          <w:b/>
          <w:szCs w:val="24"/>
        </w:rPr>
      </w:pPr>
      <w:r w:rsidRPr="007427B0">
        <w:rPr>
          <w:rFonts w:eastAsia="Times New Roman" w:cs="Calibri"/>
          <w:b/>
          <w:szCs w:val="24"/>
        </w:rPr>
        <w:t>Summary</w:t>
      </w:r>
    </w:p>
    <w:p w14:paraId="3A99863B" w14:textId="77777777" w:rsidR="003A6B5E" w:rsidRPr="007427B0" w:rsidRDefault="003A6B5E" w:rsidP="003A6B5E">
      <w:pPr>
        <w:jc w:val="both"/>
        <w:rPr>
          <w:rFonts w:cs="Calibri"/>
          <w:color w:val="000000"/>
          <w:szCs w:val="24"/>
          <w:lang w:eastAsia="zh-CN"/>
        </w:rPr>
      </w:pPr>
      <w:bookmarkStart w:id="1" w:name="_Hlk53129002"/>
      <w:r w:rsidRPr="007427B0">
        <w:rPr>
          <w:rFonts w:cs="Calibri"/>
          <w:color w:val="000000"/>
          <w:szCs w:val="24"/>
        </w:rPr>
        <w:t xml:space="preserve">This </w:t>
      </w:r>
      <w:r w:rsidRPr="007427B0">
        <w:rPr>
          <w:rFonts w:cs="Calibri"/>
          <w:color w:val="000000"/>
          <w:szCs w:val="24"/>
          <w:lang w:eastAsia="zh-CN"/>
        </w:rPr>
        <w:t>R</w:t>
      </w:r>
      <w:r w:rsidRPr="007427B0">
        <w:rPr>
          <w:rFonts w:cs="Calibri"/>
          <w:color w:val="000000"/>
          <w:szCs w:val="24"/>
        </w:rPr>
        <w:t xml:space="preserve">ecommendation specifies the requirements and capability </w:t>
      </w:r>
      <w:r w:rsidRPr="007427B0">
        <w:rPr>
          <w:rFonts w:cs="Calibri"/>
          <w:color w:val="000000"/>
          <w:szCs w:val="24"/>
          <w:lang w:eastAsia="zh-CN"/>
        </w:rPr>
        <w:t xml:space="preserve">framework of </w:t>
      </w:r>
      <w:r w:rsidRPr="007427B0">
        <w:rPr>
          <w:rFonts w:eastAsia="Malgun Gothic" w:cs="Calibri"/>
          <w:szCs w:val="24"/>
          <w:lang w:eastAsia="ko-KR"/>
        </w:rPr>
        <w:t>digital twin for intelligent transport system</w:t>
      </w:r>
      <w:r w:rsidRPr="007427B0">
        <w:rPr>
          <w:rFonts w:cs="Calibri"/>
          <w:color w:val="000000"/>
          <w:szCs w:val="24"/>
          <w:lang w:eastAsia="zh-CN"/>
        </w:rPr>
        <w:t>.</w:t>
      </w:r>
    </w:p>
    <w:p w14:paraId="2EBF56CF" w14:textId="77777777" w:rsidR="003A6B5E" w:rsidRPr="007427B0" w:rsidRDefault="003A6B5E" w:rsidP="003A6B5E">
      <w:pPr>
        <w:jc w:val="both"/>
        <w:rPr>
          <w:rFonts w:cs="Calibri"/>
          <w:szCs w:val="24"/>
          <w:lang w:eastAsia="zh-CN"/>
        </w:rPr>
      </w:pPr>
      <w:r w:rsidRPr="007427B0">
        <w:rPr>
          <w:rFonts w:cs="Calibri"/>
          <w:szCs w:val="24"/>
          <w:lang w:eastAsia="zh-CN"/>
        </w:rPr>
        <w:t xml:space="preserve">Digital twin (DT) for intelligent transport system (ITS) can provide a digital representation of the physical transportation world. With meaningful and full-scale understanding of historical, real-time and statistical traffic related data in digital twin for intelligent transport system (DT-ITS), the awareness of physical transportation is significantly enhanced, problems of transportation system can be discovered in advance, various traffic situations can be simulated, different long term, medium, short term strategies can be properly decided, and a lot of applications supported by intelligent transport systems can be better provided and be more intelligent. </w:t>
      </w:r>
    </w:p>
    <w:bookmarkEnd w:id="1"/>
    <w:p w14:paraId="1FEF0E59" w14:textId="15AE961E" w:rsidR="009D7100" w:rsidRPr="007427B0" w:rsidRDefault="009D7100" w:rsidP="00E17C88">
      <w:pPr>
        <w:spacing w:before="280"/>
        <w:ind w:left="1134" w:hanging="1134"/>
        <w:outlineLvl w:val="0"/>
        <w:rPr>
          <w:rFonts w:eastAsia="Times New Roman" w:cs="Calibri"/>
          <w:b/>
          <w:sz w:val="28"/>
          <w:lang w:val="fr-CH"/>
        </w:rPr>
      </w:pPr>
      <w:r w:rsidRPr="007427B0">
        <w:rPr>
          <w:rFonts w:eastAsia="Times New Roman" w:cs="Calibri"/>
          <w:b/>
          <w:sz w:val="28"/>
          <w:lang w:val="fr-CH"/>
        </w:rPr>
        <w:t>3</w:t>
      </w:r>
      <w:r w:rsidRPr="007427B0">
        <w:rPr>
          <w:rFonts w:eastAsia="Times New Roman" w:cs="Calibri"/>
          <w:b/>
          <w:sz w:val="28"/>
          <w:lang w:val="fr-CH"/>
        </w:rPr>
        <w:tab/>
        <w:t xml:space="preserve">Draft new </w:t>
      </w:r>
      <w:proofErr w:type="spellStart"/>
      <w:r w:rsidRPr="007427B0">
        <w:rPr>
          <w:rFonts w:eastAsia="Times New Roman" w:cs="Calibri"/>
          <w:b/>
          <w:sz w:val="28"/>
          <w:lang w:val="fr-CH"/>
        </w:rPr>
        <w:t>Recommendation</w:t>
      </w:r>
      <w:proofErr w:type="spellEnd"/>
      <w:r w:rsidRPr="007427B0">
        <w:rPr>
          <w:rFonts w:eastAsia="Times New Roman" w:cs="Calibri"/>
          <w:b/>
          <w:sz w:val="28"/>
          <w:lang w:val="fr-CH"/>
        </w:rPr>
        <w:t xml:space="preserve"> ITU-T </w:t>
      </w:r>
      <w:r w:rsidR="0093070E" w:rsidRPr="007427B0">
        <w:rPr>
          <w:rFonts w:eastAsia="Times New Roman"/>
          <w:b/>
          <w:sz w:val="28"/>
          <w:lang w:val="fr-CH"/>
        </w:rPr>
        <w:t xml:space="preserve">Y.4221 (ex </w:t>
      </w:r>
      <w:proofErr w:type="spellStart"/>
      <w:proofErr w:type="gramStart"/>
      <w:r w:rsidR="0093070E" w:rsidRPr="007427B0">
        <w:rPr>
          <w:rFonts w:eastAsia="Times New Roman"/>
          <w:b/>
          <w:sz w:val="28"/>
          <w:lang w:val="fr-CH"/>
        </w:rPr>
        <w:t>Y.ElecMon</w:t>
      </w:r>
      <w:proofErr w:type="gramEnd"/>
      <w:r w:rsidR="0093070E" w:rsidRPr="007427B0">
        <w:rPr>
          <w:rFonts w:eastAsia="Times New Roman"/>
          <w:b/>
          <w:sz w:val="28"/>
          <w:lang w:val="fr-CH"/>
        </w:rPr>
        <w:t>-Reqts</w:t>
      </w:r>
      <w:proofErr w:type="spellEnd"/>
      <w:r w:rsidR="0093070E" w:rsidRPr="007427B0">
        <w:rPr>
          <w:rFonts w:eastAsia="Times New Roman"/>
          <w:b/>
          <w:sz w:val="28"/>
          <w:lang w:val="fr-CH"/>
        </w:rPr>
        <w:t>)</w:t>
      </w:r>
      <w:r w:rsidR="0054116D" w:rsidRPr="007427B0">
        <w:rPr>
          <w:rFonts w:eastAsia="Times New Roman"/>
          <w:b/>
          <w:sz w:val="28"/>
          <w:lang w:val="fr-CH"/>
        </w:rPr>
        <w:t>:</w:t>
      </w:r>
      <w:r w:rsidRPr="007427B0">
        <w:rPr>
          <w:rFonts w:eastAsia="Times New Roman"/>
          <w:b/>
          <w:sz w:val="28"/>
          <w:lang w:val="fr-CH"/>
        </w:rPr>
        <w:t xml:space="preserve"> </w:t>
      </w:r>
      <w:r w:rsidRPr="007427B0">
        <w:rPr>
          <w:rFonts w:eastAsia="Times New Roman" w:cs="Calibri"/>
          <w:b/>
          <w:sz w:val="28"/>
          <w:lang w:val="fr-CH"/>
        </w:rPr>
        <w:t>[</w:t>
      </w:r>
      <w:hyperlink r:id="rId15" w:history="1">
        <w:r w:rsidRPr="007427B0">
          <w:rPr>
            <w:rStyle w:val="Hyperlink"/>
            <w:rFonts w:eastAsia="Times New Roman" w:cs="Calibri"/>
            <w:b/>
            <w:sz w:val="28"/>
            <w:lang w:val="fr-CH"/>
          </w:rPr>
          <w:t>R</w:t>
        </w:r>
        <w:r w:rsidR="0093070E" w:rsidRPr="007427B0">
          <w:rPr>
            <w:rStyle w:val="Hyperlink"/>
            <w:rFonts w:eastAsia="Times New Roman" w:cs="Calibri"/>
            <w:b/>
            <w:sz w:val="28"/>
            <w:lang w:val="fr-CH"/>
          </w:rPr>
          <w:t>14</w:t>
        </w:r>
      </w:hyperlink>
      <w:r w:rsidRPr="007427B0">
        <w:rPr>
          <w:rFonts w:eastAsia="Times New Roman" w:cs="Calibri"/>
          <w:b/>
          <w:sz w:val="28"/>
          <w:lang w:val="fr-CH"/>
        </w:rPr>
        <w:t>]</w:t>
      </w:r>
    </w:p>
    <w:p w14:paraId="1B3A72AE" w14:textId="77777777" w:rsidR="0093070E" w:rsidRPr="007427B0" w:rsidRDefault="0093070E" w:rsidP="00E17C88">
      <w:pPr>
        <w:ind w:left="1134" w:hanging="1134"/>
        <w:outlineLvl w:val="1"/>
        <w:rPr>
          <w:rFonts w:eastAsia="Times New Roman" w:cs="Calibri"/>
          <w:b/>
          <w:bCs/>
        </w:rPr>
      </w:pPr>
      <w:r w:rsidRPr="007427B0">
        <w:rPr>
          <w:rFonts w:eastAsia="Times New Roman" w:cs="Calibri"/>
          <w:b/>
          <w:bCs/>
        </w:rPr>
        <w:t xml:space="preserve">Requirements of IoT-based electric power infrastructure monitoring </w:t>
      </w:r>
      <w:proofErr w:type="gramStart"/>
      <w:r w:rsidRPr="007427B0">
        <w:rPr>
          <w:rFonts w:eastAsia="Times New Roman" w:cs="Calibri"/>
          <w:b/>
          <w:bCs/>
        </w:rPr>
        <w:t>system</w:t>
      </w:r>
      <w:proofErr w:type="gramEnd"/>
    </w:p>
    <w:p w14:paraId="545DCA18" w14:textId="1A0DB737" w:rsidR="009D7100" w:rsidRPr="007427B0" w:rsidRDefault="009D7100" w:rsidP="00E17C88">
      <w:pPr>
        <w:ind w:left="1134" w:hanging="1134"/>
        <w:outlineLvl w:val="1"/>
        <w:rPr>
          <w:rFonts w:eastAsia="Times New Roman" w:cs="Calibri"/>
          <w:b/>
        </w:rPr>
      </w:pPr>
      <w:r w:rsidRPr="007427B0">
        <w:rPr>
          <w:rFonts w:eastAsia="Times New Roman" w:cs="Calibri"/>
          <w:b/>
        </w:rPr>
        <w:t>Summary</w:t>
      </w:r>
    </w:p>
    <w:p w14:paraId="72A62615" w14:textId="77777777" w:rsidR="0093070E" w:rsidRPr="007427B0" w:rsidRDefault="0093070E" w:rsidP="00E17C88">
      <w:pPr>
        <w:jc w:val="both"/>
        <w:rPr>
          <w:noProof/>
        </w:rPr>
      </w:pPr>
      <w:r w:rsidRPr="007427B0">
        <w:rPr>
          <w:noProof/>
        </w:rPr>
        <w:t xml:space="preserve">An Internet of things (IoT)-based electric power infrastructure monitoring system is an effective means to obtain the operational health status of electric power infrastructures. It provides advanced and efficient auxiliary monitoring and diagnosis methods for maintaining the safe and stable operation of an electric power system. </w:t>
      </w:r>
    </w:p>
    <w:p w14:paraId="0384617B" w14:textId="77777777" w:rsidR="00D1289B" w:rsidRPr="007427B0" w:rsidRDefault="0093070E" w:rsidP="00E17C88">
      <w:pPr>
        <w:jc w:val="both"/>
        <w:rPr>
          <w:noProof/>
        </w:rPr>
      </w:pPr>
      <w:r w:rsidRPr="007427B0">
        <w:rPr>
          <w:noProof/>
        </w:rPr>
        <w:t>This Recommendation specifies the requirements for an IoT-based electric power infrastructure monitoring system for the purposes of maintaining electric power infrastructure.</w:t>
      </w:r>
    </w:p>
    <w:p w14:paraId="173A1315" w14:textId="650B7495" w:rsidR="009D7100" w:rsidRPr="007427B0" w:rsidRDefault="009D7100" w:rsidP="00E17C88">
      <w:pPr>
        <w:jc w:val="both"/>
        <w:rPr>
          <w:rFonts w:eastAsia="Times New Roman" w:cs="Calibri"/>
          <w:b/>
          <w:sz w:val="28"/>
          <w:lang w:val="fr-CH"/>
        </w:rPr>
      </w:pPr>
      <w:r w:rsidRPr="007427B0">
        <w:rPr>
          <w:rFonts w:eastAsia="Times New Roman" w:cs="Calibri"/>
          <w:b/>
          <w:sz w:val="28"/>
          <w:lang w:val="fr-CH"/>
        </w:rPr>
        <w:t>4</w:t>
      </w:r>
      <w:r w:rsidRPr="007427B0">
        <w:rPr>
          <w:rFonts w:eastAsia="Times New Roman" w:cs="Calibri"/>
          <w:b/>
          <w:sz w:val="28"/>
          <w:lang w:val="fr-CH"/>
        </w:rPr>
        <w:tab/>
        <w:t xml:space="preserve">Draft new </w:t>
      </w:r>
      <w:proofErr w:type="spellStart"/>
      <w:r w:rsidRPr="007427B0">
        <w:rPr>
          <w:rFonts w:eastAsia="Times New Roman" w:cs="Calibri"/>
          <w:b/>
          <w:sz w:val="28"/>
          <w:lang w:val="fr-CH"/>
        </w:rPr>
        <w:t>Recommendation</w:t>
      </w:r>
      <w:proofErr w:type="spellEnd"/>
      <w:r w:rsidRPr="007427B0">
        <w:rPr>
          <w:rFonts w:eastAsia="Times New Roman" w:cs="Calibri"/>
          <w:b/>
          <w:sz w:val="28"/>
          <w:lang w:val="fr-CH"/>
        </w:rPr>
        <w:t xml:space="preserve"> ITU-T </w:t>
      </w:r>
      <w:r w:rsidR="00D1289B" w:rsidRPr="007427B0">
        <w:rPr>
          <w:b/>
          <w:bCs/>
          <w:sz w:val="28"/>
          <w:szCs w:val="28"/>
          <w:lang w:val="fr-CH" w:eastAsia="zh-CN"/>
        </w:rPr>
        <w:t>Y.4496 (ex Y.RA-PHE</w:t>
      </w:r>
      <w:proofErr w:type="gramStart"/>
      <w:r w:rsidR="00D1289B" w:rsidRPr="007427B0">
        <w:rPr>
          <w:b/>
          <w:bCs/>
          <w:sz w:val="28"/>
          <w:szCs w:val="28"/>
          <w:lang w:val="fr-CH" w:eastAsia="zh-CN"/>
        </w:rPr>
        <w:t>)</w:t>
      </w:r>
      <w:r w:rsidR="0054116D" w:rsidRPr="007427B0">
        <w:rPr>
          <w:rFonts w:eastAsia="Times New Roman"/>
          <w:b/>
          <w:sz w:val="28"/>
          <w:lang w:val="fr-CH"/>
        </w:rPr>
        <w:t>:</w:t>
      </w:r>
      <w:proofErr w:type="gramEnd"/>
      <w:r w:rsidR="00A256EF" w:rsidRPr="007427B0">
        <w:rPr>
          <w:rFonts w:eastAsia="Times New Roman"/>
          <w:b/>
          <w:sz w:val="28"/>
          <w:lang w:val="fr-CH"/>
        </w:rPr>
        <w:t xml:space="preserve"> </w:t>
      </w:r>
      <w:r w:rsidRPr="007427B0">
        <w:rPr>
          <w:rFonts w:eastAsia="Times New Roman" w:cs="Calibri"/>
          <w:b/>
          <w:sz w:val="28"/>
          <w:lang w:val="fr-CH"/>
        </w:rPr>
        <w:t>[</w:t>
      </w:r>
      <w:hyperlink r:id="rId16" w:history="1">
        <w:r w:rsidRPr="007427B0">
          <w:rPr>
            <w:rStyle w:val="Hyperlink"/>
            <w:rFonts w:eastAsia="Times New Roman" w:cs="Calibri"/>
            <w:b/>
            <w:sz w:val="28"/>
            <w:lang w:val="fr-CH"/>
          </w:rPr>
          <w:t>R</w:t>
        </w:r>
        <w:r w:rsidR="00D1289B" w:rsidRPr="007427B0">
          <w:rPr>
            <w:rStyle w:val="Hyperlink"/>
            <w:rFonts w:eastAsia="Times New Roman" w:cs="Calibri"/>
            <w:b/>
            <w:sz w:val="28"/>
            <w:lang w:val="fr-CH"/>
          </w:rPr>
          <w:t>15</w:t>
        </w:r>
      </w:hyperlink>
      <w:r w:rsidRPr="007427B0">
        <w:rPr>
          <w:rFonts w:eastAsia="Times New Roman" w:cs="Calibri"/>
          <w:b/>
          <w:sz w:val="28"/>
          <w:lang w:val="fr-CH"/>
        </w:rPr>
        <w:t>]</w:t>
      </w:r>
    </w:p>
    <w:p w14:paraId="2AC7E427" w14:textId="77777777" w:rsidR="00D1289B" w:rsidRPr="007427B0" w:rsidRDefault="00D1289B" w:rsidP="00E17C88">
      <w:pPr>
        <w:ind w:left="1134" w:hanging="1134"/>
        <w:outlineLvl w:val="1"/>
        <w:rPr>
          <w:rFonts w:eastAsia="Times New Roman" w:cs="Calibri"/>
          <w:b/>
          <w:bCs/>
        </w:rPr>
      </w:pPr>
      <w:r w:rsidRPr="007427B0">
        <w:rPr>
          <w:rFonts w:eastAsia="Times New Roman" w:cs="Calibri"/>
          <w:b/>
          <w:bCs/>
        </w:rPr>
        <w:t>Requirements and reference architecture for a smart service for public health emergency system</w:t>
      </w:r>
    </w:p>
    <w:p w14:paraId="1629A0A5" w14:textId="1A1B7799" w:rsidR="009D7100" w:rsidRPr="007427B0" w:rsidRDefault="009D7100" w:rsidP="00E17C88">
      <w:pPr>
        <w:ind w:left="1134" w:hanging="1134"/>
        <w:outlineLvl w:val="1"/>
        <w:rPr>
          <w:rFonts w:eastAsia="Times New Roman" w:cs="Calibri"/>
          <w:b/>
        </w:rPr>
      </w:pPr>
      <w:r w:rsidRPr="007427B0">
        <w:rPr>
          <w:rFonts w:eastAsia="Times New Roman" w:cs="Calibri"/>
          <w:b/>
        </w:rPr>
        <w:t>Summary</w:t>
      </w:r>
    </w:p>
    <w:p w14:paraId="7A1D13D7" w14:textId="77777777" w:rsidR="00D1289B" w:rsidRPr="007427B0" w:rsidRDefault="00D1289B" w:rsidP="00E17C88">
      <w:pPr>
        <w:jc w:val="both"/>
        <w:rPr>
          <w:lang w:eastAsia="zh-CN"/>
        </w:rPr>
      </w:pPr>
      <w:r w:rsidRPr="007427B0">
        <w:rPr>
          <w:rFonts w:eastAsia="SimSun"/>
          <w:lang w:eastAsia="zh-CN"/>
        </w:rPr>
        <w:t>Recommendation ITU-T Y.4496 is intended to provide the requirements and architecture for a smart service for public health emergency system that can be implemented to address current and future potential public health risks.</w:t>
      </w:r>
    </w:p>
    <w:p w14:paraId="6FF1E678" w14:textId="62817593" w:rsidR="009D7100" w:rsidRPr="007427B0" w:rsidRDefault="009D7100" w:rsidP="00E17C88">
      <w:pPr>
        <w:spacing w:before="280"/>
        <w:ind w:left="1134" w:hanging="1134"/>
        <w:outlineLvl w:val="0"/>
        <w:rPr>
          <w:rFonts w:eastAsia="Times New Roman" w:cs="Calibri"/>
          <w:b/>
          <w:sz w:val="28"/>
          <w:lang w:val="fr-CH"/>
        </w:rPr>
      </w:pPr>
      <w:r w:rsidRPr="007427B0">
        <w:rPr>
          <w:rFonts w:eastAsia="Times New Roman" w:cs="Calibri"/>
          <w:b/>
          <w:sz w:val="28"/>
          <w:lang w:val="fr-CH"/>
        </w:rPr>
        <w:lastRenderedPageBreak/>
        <w:t>5</w:t>
      </w:r>
      <w:r w:rsidRPr="007427B0">
        <w:rPr>
          <w:rFonts w:eastAsia="Times New Roman" w:cs="Calibri"/>
          <w:b/>
          <w:sz w:val="28"/>
          <w:lang w:val="fr-CH"/>
        </w:rPr>
        <w:tab/>
        <w:t xml:space="preserve">Draft new </w:t>
      </w:r>
      <w:proofErr w:type="spellStart"/>
      <w:r w:rsidRPr="007427B0">
        <w:rPr>
          <w:rFonts w:eastAsia="Times New Roman" w:cs="Calibri"/>
          <w:b/>
          <w:sz w:val="28"/>
          <w:lang w:val="fr-CH"/>
        </w:rPr>
        <w:t>Recommendation</w:t>
      </w:r>
      <w:proofErr w:type="spellEnd"/>
      <w:r w:rsidRPr="007427B0">
        <w:rPr>
          <w:rFonts w:eastAsia="Times New Roman" w:cs="Calibri"/>
          <w:b/>
          <w:sz w:val="28"/>
          <w:lang w:val="fr-CH"/>
        </w:rPr>
        <w:t xml:space="preserve"> ITU-T </w:t>
      </w:r>
      <w:r w:rsidR="00DF272D" w:rsidRPr="007427B0">
        <w:rPr>
          <w:rFonts w:eastAsia="Times New Roman"/>
          <w:b/>
          <w:sz w:val="28"/>
          <w:lang w:val="fr-CH"/>
        </w:rPr>
        <w:t xml:space="preserve">Y.4497 (ex </w:t>
      </w:r>
      <w:proofErr w:type="spellStart"/>
      <w:proofErr w:type="gramStart"/>
      <w:r w:rsidR="00DF272D" w:rsidRPr="007427B0">
        <w:rPr>
          <w:rFonts w:eastAsia="Times New Roman"/>
          <w:b/>
          <w:sz w:val="28"/>
          <w:lang w:val="fr-CH"/>
        </w:rPr>
        <w:t>Y.Smart</w:t>
      </w:r>
      <w:proofErr w:type="spellEnd"/>
      <w:proofErr w:type="gramEnd"/>
      <w:r w:rsidR="00DF272D" w:rsidRPr="007427B0">
        <w:rPr>
          <w:rFonts w:eastAsia="Times New Roman"/>
          <w:b/>
          <w:sz w:val="28"/>
          <w:lang w:val="fr-CH"/>
        </w:rPr>
        <w:t>-SBS)</w:t>
      </w:r>
      <w:r w:rsidR="0054116D" w:rsidRPr="007427B0">
        <w:rPr>
          <w:rFonts w:eastAsia="Times New Roman"/>
          <w:b/>
          <w:sz w:val="28"/>
          <w:lang w:val="fr-CH"/>
        </w:rPr>
        <w:t>:</w:t>
      </w:r>
      <w:r w:rsidR="0024614D" w:rsidRPr="007427B0">
        <w:rPr>
          <w:rFonts w:eastAsia="Times New Roman"/>
          <w:b/>
          <w:sz w:val="28"/>
          <w:lang w:val="fr-CH"/>
        </w:rPr>
        <w:t xml:space="preserve"> </w:t>
      </w:r>
      <w:r w:rsidRPr="007427B0">
        <w:rPr>
          <w:rFonts w:eastAsia="Times New Roman" w:cs="Calibri"/>
          <w:b/>
          <w:sz w:val="28"/>
          <w:lang w:val="fr-CH"/>
        </w:rPr>
        <w:t>[</w:t>
      </w:r>
      <w:hyperlink r:id="rId17" w:history="1">
        <w:r w:rsidRPr="007427B0">
          <w:rPr>
            <w:rStyle w:val="Hyperlink"/>
            <w:rFonts w:eastAsia="Times New Roman" w:cs="Calibri"/>
            <w:b/>
            <w:sz w:val="28"/>
            <w:lang w:val="fr-CH"/>
          </w:rPr>
          <w:t>R</w:t>
        </w:r>
        <w:r w:rsidR="00DF272D" w:rsidRPr="007427B0">
          <w:rPr>
            <w:rStyle w:val="Hyperlink"/>
            <w:rFonts w:eastAsia="Times New Roman" w:cs="Calibri"/>
            <w:b/>
            <w:sz w:val="28"/>
            <w:lang w:val="fr-CH"/>
          </w:rPr>
          <w:t>16</w:t>
        </w:r>
      </w:hyperlink>
      <w:r w:rsidRPr="007427B0">
        <w:rPr>
          <w:rFonts w:eastAsia="Times New Roman" w:cs="Calibri"/>
          <w:b/>
          <w:sz w:val="28"/>
          <w:lang w:val="fr-CH"/>
        </w:rPr>
        <w:t>]</w:t>
      </w:r>
    </w:p>
    <w:p w14:paraId="50CA47CB" w14:textId="77777777" w:rsidR="00DF272D" w:rsidRPr="007427B0" w:rsidRDefault="00DF272D" w:rsidP="00E17C88">
      <w:pPr>
        <w:ind w:left="1134" w:hanging="1134"/>
        <w:outlineLvl w:val="1"/>
        <w:rPr>
          <w:rFonts w:eastAsia="Times New Roman" w:cs="Calibri"/>
          <w:b/>
          <w:bCs/>
        </w:rPr>
      </w:pPr>
      <w:r w:rsidRPr="007427B0">
        <w:rPr>
          <w:rFonts w:eastAsia="Times New Roman" w:cs="Calibri"/>
          <w:b/>
          <w:bCs/>
        </w:rPr>
        <w:t>Requirements and functional architecture of smart sharing bicycle service</w:t>
      </w:r>
    </w:p>
    <w:p w14:paraId="247E4807" w14:textId="1AF1FED7" w:rsidR="009D7100" w:rsidRPr="007427B0" w:rsidRDefault="009D7100" w:rsidP="00E17C88">
      <w:pPr>
        <w:ind w:left="1134" w:hanging="1134"/>
        <w:outlineLvl w:val="1"/>
        <w:rPr>
          <w:rFonts w:eastAsia="Times New Roman" w:cs="Calibri"/>
          <w:b/>
        </w:rPr>
      </w:pPr>
      <w:r w:rsidRPr="007427B0">
        <w:rPr>
          <w:rFonts w:eastAsia="Times New Roman" w:cs="Calibri"/>
          <w:b/>
        </w:rPr>
        <w:t>Summary</w:t>
      </w:r>
    </w:p>
    <w:p w14:paraId="24042FE4" w14:textId="77777777" w:rsidR="00DF272D" w:rsidRPr="007427B0" w:rsidRDefault="00DF272D" w:rsidP="00E17C88">
      <w:pPr>
        <w:spacing w:before="160"/>
        <w:jc w:val="both"/>
        <w:outlineLvl w:val="0"/>
        <w:rPr>
          <w:rFonts w:eastAsia="SimSun"/>
          <w:color w:val="000000"/>
          <w:lang w:eastAsia="zh-CN"/>
        </w:rPr>
      </w:pPr>
      <w:r w:rsidRPr="007427B0">
        <w:rPr>
          <w:rFonts w:eastAsia="SimSun"/>
          <w:iCs/>
          <w:lang w:eastAsia="ko-KR"/>
        </w:rPr>
        <w:t>Recommendation ITU-T Y.4497 describes the requirements</w:t>
      </w:r>
      <w:r w:rsidRPr="007427B0">
        <w:rPr>
          <w:rFonts w:eastAsia="SimSun"/>
          <w:iCs/>
          <w:lang w:eastAsia="zh-CN"/>
        </w:rPr>
        <w:t xml:space="preserve"> and</w:t>
      </w:r>
      <w:r w:rsidRPr="007427B0">
        <w:rPr>
          <w:rFonts w:eastAsia="SimSun"/>
          <w:iCs/>
          <w:lang w:eastAsia="ko-KR"/>
        </w:rPr>
        <w:t xml:space="preserve"> functional architecture</w:t>
      </w:r>
      <w:r w:rsidRPr="007427B0">
        <w:rPr>
          <w:rFonts w:eastAsia="SimSun"/>
          <w:color w:val="000000"/>
        </w:rPr>
        <w:t xml:space="preserve"> </w:t>
      </w:r>
      <w:r w:rsidRPr="007427B0">
        <w:rPr>
          <w:rFonts w:eastAsia="SimSun"/>
          <w:iCs/>
          <w:lang w:eastAsia="ko-KR"/>
        </w:rPr>
        <w:t>of the smart sharing bicycle (S</w:t>
      </w:r>
      <w:r w:rsidRPr="007427B0">
        <w:rPr>
          <w:rFonts w:eastAsia="SimSun"/>
          <w:iCs/>
          <w:lang w:eastAsia="zh-CN"/>
        </w:rPr>
        <w:t>SB</w:t>
      </w:r>
      <w:r w:rsidRPr="007427B0">
        <w:rPr>
          <w:rFonts w:eastAsia="SimSun"/>
          <w:iCs/>
          <w:lang w:eastAsia="ko-KR"/>
        </w:rPr>
        <w:t xml:space="preserve">) service intended to </w:t>
      </w:r>
      <w:r w:rsidRPr="007427B0">
        <w:rPr>
          <w:rFonts w:eastAsia="SimSun"/>
          <w:color w:val="000000"/>
          <w:lang w:eastAsia="zh-CN"/>
        </w:rPr>
        <w:t>meet people's daily travel needs, provide a positive user experience, and create significant market opportunities.</w:t>
      </w:r>
      <w:r w:rsidRPr="007427B0">
        <w:rPr>
          <w:rFonts w:eastAsia="SimSun"/>
          <w:iCs/>
          <w:lang w:eastAsia="zh-CN"/>
        </w:rPr>
        <w:t xml:space="preserve"> This Recommendation</w:t>
      </w:r>
      <w:r w:rsidRPr="007427B0">
        <w:rPr>
          <w:rFonts w:eastAsia="SimSun"/>
          <w:iCs/>
          <w:lang w:eastAsia="ko-KR"/>
        </w:rPr>
        <w:t xml:space="preserve"> includes the service requirements</w:t>
      </w:r>
      <w:r w:rsidRPr="007427B0">
        <w:rPr>
          <w:rFonts w:eastAsia="SimSun"/>
          <w:iCs/>
          <w:lang w:eastAsia="zh-CN"/>
        </w:rPr>
        <w:t xml:space="preserve"> and the </w:t>
      </w:r>
      <w:r w:rsidRPr="007427B0">
        <w:rPr>
          <w:rFonts w:eastAsia="SimSun"/>
          <w:iCs/>
          <w:lang w:eastAsia="ko-KR"/>
        </w:rPr>
        <w:t>functional architecture of the smart sharing bicycle service</w:t>
      </w:r>
      <w:r w:rsidRPr="007427B0">
        <w:rPr>
          <w:rFonts w:eastAsia="SimSun"/>
          <w:iCs/>
          <w:lang w:eastAsia="zh-CN"/>
        </w:rPr>
        <w:t>.</w:t>
      </w:r>
    </w:p>
    <w:p w14:paraId="2FF7A9EA" w14:textId="3E5A30CA" w:rsidR="009D7100" w:rsidRPr="007427B0" w:rsidRDefault="009D7100" w:rsidP="00E17C88">
      <w:pPr>
        <w:spacing w:before="280"/>
        <w:ind w:left="1134" w:hanging="1134"/>
        <w:outlineLvl w:val="0"/>
        <w:rPr>
          <w:rFonts w:eastAsia="Times New Roman" w:cs="Calibri"/>
          <w:b/>
          <w:sz w:val="28"/>
        </w:rPr>
      </w:pPr>
      <w:r w:rsidRPr="007427B0">
        <w:rPr>
          <w:rFonts w:eastAsia="Times New Roman" w:cs="Calibri"/>
          <w:b/>
          <w:sz w:val="28"/>
        </w:rPr>
        <w:t>6</w:t>
      </w:r>
      <w:r w:rsidRPr="007427B0">
        <w:rPr>
          <w:rFonts w:eastAsia="Times New Roman" w:cs="Calibri"/>
          <w:b/>
          <w:sz w:val="28"/>
        </w:rPr>
        <w:tab/>
        <w:t xml:space="preserve">Draft new Recommendation ITU-T </w:t>
      </w:r>
      <w:r w:rsidR="00E17C88" w:rsidRPr="007427B0">
        <w:rPr>
          <w:rFonts w:eastAsia="Times New Roman"/>
          <w:b/>
          <w:sz w:val="28"/>
        </w:rPr>
        <w:t xml:space="preserve">Y.4498 (ex </w:t>
      </w:r>
      <w:proofErr w:type="spellStart"/>
      <w:proofErr w:type="gramStart"/>
      <w:r w:rsidR="00E17C88" w:rsidRPr="007427B0">
        <w:rPr>
          <w:rFonts w:eastAsia="Times New Roman"/>
          <w:b/>
          <w:sz w:val="28"/>
        </w:rPr>
        <w:t>Y.energy</w:t>
      </w:r>
      <w:proofErr w:type="spellEnd"/>
      <w:proofErr w:type="gramEnd"/>
      <w:r w:rsidR="00E17C88" w:rsidRPr="007427B0">
        <w:rPr>
          <w:rFonts w:eastAsia="Times New Roman"/>
          <w:b/>
          <w:sz w:val="28"/>
        </w:rPr>
        <w:t>-data)</w:t>
      </w:r>
      <w:r w:rsidR="0054116D" w:rsidRPr="007427B0">
        <w:rPr>
          <w:rFonts w:eastAsia="Times New Roman"/>
          <w:b/>
          <w:sz w:val="28"/>
        </w:rPr>
        <w:t>:</w:t>
      </w:r>
      <w:r w:rsidR="0024614D" w:rsidRPr="007427B0">
        <w:rPr>
          <w:rFonts w:eastAsia="Times New Roman"/>
          <w:b/>
          <w:sz w:val="28"/>
        </w:rPr>
        <w:t xml:space="preserve"> </w:t>
      </w:r>
      <w:r w:rsidRPr="007427B0">
        <w:rPr>
          <w:rFonts w:eastAsia="Times New Roman" w:cs="Calibri"/>
          <w:b/>
          <w:sz w:val="28"/>
        </w:rPr>
        <w:t>[</w:t>
      </w:r>
      <w:hyperlink r:id="rId18" w:history="1">
        <w:r w:rsidRPr="007427B0">
          <w:rPr>
            <w:rStyle w:val="Hyperlink"/>
            <w:rFonts w:eastAsia="Times New Roman" w:cs="Calibri"/>
            <w:b/>
            <w:sz w:val="28"/>
          </w:rPr>
          <w:t>R</w:t>
        </w:r>
        <w:r w:rsidR="0024614D" w:rsidRPr="007427B0">
          <w:rPr>
            <w:rStyle w:val="Hyperlink"/>
            <w:rFonts w:eastAsia="Times New Roman" w:cs="Calibri"/>
            <w:b/>
            <w:sz w:val="28"/>
          </w:rPr>
          <w:t>1</w:t>
        </w:r>
        <w:r w:rsidR="00E17C88" w:rsidRPr="007427B0">
          <w:rPr>
            <w:rStyle w:val="Hyperlink"/>
            <w:rFonts w:eastAsia="Times New Roman" w:cs="Calibri"/>
            <w:b/>
            <w:sz w:val="28"/>
          </w:rPr>
          <w:t>7</w:t>
        </w:r>
      </w:hyperlink>
      <w:r w:rsidRPr="007427B0">
        <w:rPr>
          <w:rFonts w:eastAsia="Times New Roman" w:cs="Calibri"/>
          <w:b/>
          <w:sz w:val="28"/>
        </w:rPr>
        <w:t>]</w:t>
      </w:r>
    </w:p>
    <w:p w14:paraId="715A534C" w14:textId="77777777" w:rsidR="00E17C88" w:rsidRPr="007427B0" w:rsidRDefault="00E17C88" w:rsidP="00E17C88">
      <w:pPr>
        <w:ind w:left="1134" w:hanging="1134"/>
        <w:outlineLvl w:val="1"/>
        <w:rPr>
          <w:rFonts w:eastAsia="Times New Roman" w:cs="Calibri"/>
          <w:b/>
          <w:bCs/>
        </w:rPr>
      </w:pPr>
      <w:bookmarkStart w:id="2" w:name="_Toc114821059"/>
      <w:bookmarkStart w:id="3" w:name="_Toc115958173"/>
      <w:bookmarkStart w:id="4" w:name="_Toc122271969"/>
      <w:bookmarkStart w:id="5" w:name="_Toc146627691"/>
      <w:bookmarkStart w:id="6" w:name="_Toc146627870"/>
      <w:bookmarkStart w:id="7" w:name="_Toc149572145"/>
      <w:bookmarkStart w:id="8" w:name="_Toc150262997"/>
      <w:bookmarkStart w:id="9" w:name="_Toc150435038"/>
      <w:r w:rsidRPr="007427B0">
        <w:rPr>
          <w:rFonts w:eastAsia="Times New Roman" w:cs="Calibri"/>
          <w:b/>
          <w:bCs/>
        </w:rPr>
        <w:t>Framework for city-level energy data sharing and analytics among buildings</w:t>
      </w:r>
      <w:bookmarkEnd w:id="2"/>
      <w:bookmarkEnd w:id="3"/>
      <w:bookmarkEnd w:id="4"/>
      <w:bookmarkEnd w:id="5"/>
      <w:bookmarkEnd w:id="6"/>
      <w:bookmarkEnd w:id="7"/>
      <w:bookmarkEnd w:id="8"/>
      <w:bookmarkEnd w:id="9"/>
    </w:p>
    <w:p w14:paraId="2BCA2036" w14:textId="78FE71F7" w:rsidR="009D7100" w:rsidRPr="007427B0" w:rsidRDefault="009D7100" w:rsidP="00E17C88">
      <w:pPr>
        <w:ind w:left="1134" w:hanging="1134"/>
        <w:outlineLvl w:val="1"/>
        <w:rPr>
          <w:rFonts w:eastAsia="Times New Roman" w:cs="Calibri"/>
          <w:b/>
        </w:rPr>
      </w:pPr>
      <w:r w:rsidRPr="007427B0">
        <w:rPr>
          <w:rFonts w:eastAsia="Times New Roman" w:cs="Calibri"/>
          <w:b/>
        </w:rPr>
        <w:t>Summary</w:t>
      </w:r>
    </w:p>
    <w:p w14:paraId="7DFC08DB" w14:textId="77777777" w:rsidR="00E17C88" w:rsidRPr="007427B0" w:rsidRDefault="00E17C88" w:rsidP="00E17C88">
      <w:pPr>
        <w:spacing w:after="120"/>
        <w:rPr>
          <w:lang w:eastAsia="zh-CN"/>
        </w:rPr>
      </w:pPr>
      <w:r w:rsidRPr="007427B0">
        <w:rPr>
          <w:lang w:eastAsia="zh-CN"/>
        </w:rPr>
        <w:t xml:space="preserve">Recommendation ITU-T Y.4498 specifies requirements and architectural models for city-level energy management that facilitates data exchange, sharing and analytics among buildings in smart cities. Recommendation ITU-T Y.4498 also provides use cases to support energy planning, </w:t>
      </w:r>
      <w:proofErr w:type="gramStart"/>
      <w:r w:rsidRPr="007427B0">
        <w:rPr>
          <w:lang w:eastAsia="zh-CN"/>
        </w:rPr>
        <w:t>management</w:t>
      </w:r>
      <w:proofErr w:type="gramEnd"/>
      <w:r w:rsidRPr="007427B0">
        <w:rPr>
          <w:lang w:eastAsia="zh-CN"/>
        </w:rPr>
        <w:t xml:space="preserve"> and energy data sharing through city energy services for smart sustainable cities.</w:t>
      </w:r>
    </w:p>
    <w:p w14:paraId="48ECB7D0" w14:textId="77777777" w:rsidR="00E17C88" w:rsidRPr="007427B0" w:rsidRDefault="00E17C88" w:rsidP="00E17C88">
      <w:pPr>
        <w:spacing w:after="240"/>
        <w:rPr>
          <w:lang w:eastAsia="zh-CN"/>
        </w:rPr>
      </w:pPr>
      <w:r w:rsidRPr="007427B0">
        <w:rPr>
          <w:lang w:eastAsia="zh-CN"/>
        </w:rPr>
        <w:t xml:space="preserve">As the sector accounts for a significant portion of total energy consumption, efforts are being made to increase energy efficiency in the built environment through smart solutions in homes, office and commercial premises, and factories. To effectively support energy efficiency in smart cities, it is crucial to have city-level data sharing and analytics for services and intelligent applications. This allows information to be shared among buildings with different consumption patterns or renewable production to increase energy efficiency. To enable city-level data sharing and analytics, standardized specifications for energy data types and exchange methods are essential. </w:t>
      </w:r>
    </w:p>
    <w:p w14:paraId="6458F808" w14:textId="6FA4D663" w:rsidR="00E17C88" w:rsidRPr="007427B0" w:rsidRDefault="00E17C88" w:rsidP="00E17C88">
      <w:pPr>
        <w:spacing w:before="280"/>
        <w:ind w:left="1134" w:hanging="1134"/>
        <w:outlineLvl w:val="0"/>
        <w:rPr>
          <w:rFonts w:eastAsia="Times New Roman" w:cs="Calibri"/>
          <w:b/>
          <w:sz w:val="28"/>
        </w:rPr>
      </w:pPr>
      <w:r w:rsidRPr="007427B0">
        <w:rPr>
          <w:rFonts w:eastAsia="Times New Roman" w:cs="Calibri"/>
          <w:b/>
          <w:sz w:val="28"/>
        </w:rPr>
        <w:t>7</w:t>
      </w:r>
      <w:r w:rsidRPr="007427B0">
        <w:rPr>
          <w:rFonts w:eastAsia="Times New Roman" w:cs="Calibri"/>
          <w:b/>
          <w:sz w:val="28"/>
        </w:rPr>
        <w:tab/>
        <w:t xml:space="preserve">Draft new Recommendation ITU-T </w:t>
      </w:r>
      <w:r w:rsidRPr="007427B0">
        <w:rPr>
          <w:b/>
          <w:sz w:val="28"/>
          <w:lang w:eastAsia="zh-CN"/>
        </w:rPr>
        <w:t>Y.4499 (ex Y.UIM-cs-framework)</w:t>
      </w:r>
      <w:r w:rsidRPr="007427B0">
        <w:rPr>
          <w:rFonts w:eastAsia="Times New Roman"/>
          <w:b/>
          <w:sz w:val="28"/>
        </w:rPr>
        <w:t xml:space="preserve">: </w:t>
      </w:r>
      <w:r w:rsidRPr="007427B0">
        <w:rPr>
          <w:rFonts w:eastAsia="Times New Roman" w:cs="Calibri"/>
          <w:b/>
          <w:sz w:val="28"/>
        </w:rPr>
        <w:t>[</w:t>
      </w:r>
      <w:hyperlink r:id="rId19" w:history="1">
        <w:r w:rsidRPr="007427B0">
          <w:rPr>
            <w:rStyle w:val="Hyperlink"/>
            <w:rFonts w:eastAsia="Times New Roman" w:cs="Calibri"/>
            <w:b/>
            <w:sz w:val="28"/>
          </w:rPr>
          <w:t>R18</w:t>
        </w:r>
      </w:hyperlink>
      <w:r w:rsidRPr="007427B0">
        <w:rPr>
          <w:rFonts w:eastAsia="Times New Roman" w:cs="Calibri"/>
          <w:b/>
          <w:sz w:val="28"/>
        </w:rPr>
        <w:t>]</w:t>
      </w:r>
    </w:p>
    <w:p w14:paraId="3A26C96C" w14:textId="77777777" w:rsidR="00E17C88" w:rsidRPr="007427B0" w:rsidRDefault="00E17C88" w:rsidP="00E17C88">
      <w:pPr>
        <w:ind w:left="1134" w:hanging="1134"/>
        <w:outlineLvl w:val="1"/>
        <w:rPr>
          <w:rFonts w:eastAsia="Times New Roman" w:cs="Calibri"/>
          <w:b/>
          <w:bCs/>
        </w:rPr>
      </w:pPr>
      <w:r w:rsidRPr="007427B0">
        <w:rPr>
          <w:rFonts w:eastAsia="Times New Roman" w:cs="Calibri"/>
          <w:b/>
          <w:bCs/>
        </w:rPr>
        <w:t xml:space="preserve">Framework for urban infrastructure monitoring based on </w:t>
      </w:r>
      <w:proofErr w:type="gramStart"/>
      <w:r w:rsidRPr="007427B0">
        <w:rPr>
          <w:rFonts w:eastAsia="Times New Roman" w:cs="Calibri"/>
          <w:b/>
          <w:bCs/>
        </w:rPr>
        <w:t>crowdsourcing</w:t>
      </w:r>
      <w:proofErr w:type="gramEnd"/>
    </w:p>
    <w:p w14:paraId="08AD8627" w14:textId="77777777" w:rsidR="00E17C88" w:rsidRPr="007427B0" w:rsidRDefault="00E17C88" w:rsidP="00E17C88">
      <w:pPr>
        <w:ind w:left="1134" w:hanging="1134"/>
        <w:outlineLvl w:val="1"/>
        <w:rPr>
          <w:rFonts w:eastAsia="Times New Roman" w:cs="Calibri"/>
          <w:b/>
        </w:rPr>
      </w:pPr>
      <w:r w:rsidRPr="007427B0">
        <w:rPr>
          <w:rFonts w:eastAsia="Times New Roman" w:cs="Calibri"/>
          <w:b/>
        </w:rPr>
        <w:t>Summary</w:t>
      </w:r>
    </w:p>
    <w:p w14:paraId="035E6125" w14:textId="77777777" w:rsidR="00E17C88" w:rsidRPr="007427B0" w:rsidRDefault="00E17C88" w:rsidP="00E17C88">
      <w:pPr>
        <w:rPr>
          <w:rFonts w:eastAsia="SimSun"/>
          <w:lang w:eastAsia="zh-CN"/>
        </w:rPr>
      </w:pPr>
      <w:r w:rsidRPr="007427B0">
        <w:rPr>
          <w:lang w:eastAsia="zh-CN"/>
        </w:rPr>
        <w:t xml:space="preserve">Recommendation ITU-T Y.4499 specifies a framework for </w:t>
      </w:r>
      <w:r w:rsidRPr="007427B0">
        <w:t>urban infrastructure</w:t>
      </w:r>
      <w:r w:rsidRPr="007427B0">
        <w:rPr>
          <w:lang w:eastAsia="zh-CN"/>
        </w:rPr>
        <w:t xml:space="preserve"> monitoring based on crowdsourcing</w:t>
      </w:r>
      <w:r w:rsidRPr="007427B0">
        <w:rPr>
          <w:color w:val="000000" w:themeColor="text1"/>
          <w:lang w:eastAsia="zh-CN"/>
        </w:rPr>
        <w:t>,</w:t>
      </w:r>
      <w:r w:rsidRPr="007427B0">
        <w:rPr>
          <w:lang w:eastAsia="zh-CN"/>
        </w:rPr>
        <w:t xml:space="preserve"> </w:t>
      </w:r>
      <w:r w:rsidRPr="007427B0">
        <w:rPr>
          <w:rFonts w:eastAsia="SimSun"/>
          <w:lang w:eastAsia="zh-CN"/>
        </w:rPr>
        <w:t>including</w:t>
      </w:r>
      <w:r w:rsidRPr="007427B0">
        <w:rPr>
          <w:lang w:eastAsia="zh-CN"/>
        </w:rPr>
        <w:t xml:space="preserve"> requirements, functional architecture, common procedures, as well as security and privacy considerations.</w:t>
      </w:r>
    </w:p>
    <w:p w14:paraId="56C1879B" w14:textId="77777777" w:rsidR="00E17C88" w:rsidRPr="007427B0" w:rsidRDefault="00E17C88" w:rsidP="00E17C88">
      <w:pPr>
        <w:rPr>
          <w:lang w:eastAsia="zh-CN"/>
        </w:rPr>
      </w:pPr>
      <w:r w:rsidRPr="007427B0">
        <w:rPr>
          <w:rFonts w:eastAsia="SimSun"/>
          <w:lang w:eastAsia="zh-CN"/>
        </w:rPr>
        <w:t xml:space="preserve">Urban infrastructure includes the </w:t>
      </w:r>
      <w:r w:rsidRPr="007427B0">
        <w:rPr>
          <w:rFonts w:eastAsia="SimSun"/>
          <w:color w:val="000000"/>
          <w:lang w:eastAsia="zh-CN"/>
        </w:rPr>
        <w:t>fundamental facilities and systems</w:t>
      </w:r>
      <w:r w:rsidRPr="007427B0">
        <w:rPr>
          <w:rFonts w:eastAsia="SimSun"/>
          <w:lang w:eastAsia="zh-CN"/>
        </w:rPr>
        <w:t xml:space="preserve"> that a city must have for its operation and development. It has the characteristics of large quantity, wide </w:t>
      </w:r>
      <w:proofErr w:type="gramStart"/>
      <w:r w:rsidRPr="007427B0">
        <w:rPr>
          <w:rFonts w:eastAsia="SimSun"/>
          <w:lang w:eastAsia="zh-CN"/>
        </w:rPr>
        <w:t>distribution</w:t>
      </w:r>
      <w:proofErr w:type="gramEnd"/>
      <w:r w:rsidRPr="007427B0">
        <w:rPr>
          <w:rFonts w:eastAsia="SimSun"/>
          <w:lang w:eastAsia="zh-CN"/>
        </w:rPr>
        <w:t xml:space="preserve"> and high management difficulty. </w:t>
      </w:r>
      <w:r w:rsidRPr="007427B0">
        <w:t>Crowd</w:t>
      </w:r>
      <w:r w:rsidRPr="007427B0">
        <w:rPr>
          <w:rFonts w:eastAsia="SimSun"/>
          <w:color w:val="000000"/>
          <w:lang w:eastAsia="zh-CN"/>
        </w:rPr>
        <w:t xml:space="preserve">sourcing is the practice of engaging a group of people for a common goal. It can </w:t>
      </w:r>
      <w:r w:rsidRPr="007427B0">
        <w:t>provide a scalable and financially viable way to monitor urban infrastructure.</w:t>
      </w:r>
      <w:r w:rsidRPr="007427B0">
        <w:rPr>
          <w:lang w:eastAsia="zh-CN"/>
        </w:rPr>
        <w:t xml:space="preserve"> </w:t>
      </w:r>
    </w:p>
    <w:p w14:paraId="72D563C2" w14:textId="743E1F08" w:rsidR="00E17C88" w:rsidRPr="0067278D" w:rsidRDefault="00E17C88" w:rsidP="00E17C88">
      <w:pPr>
        <w:spacing w:before="280"/>
        <w:ind w:left="1134" w:hanging="1134"/>
        <w:outlineLvl w:val="0"/>
        <w:rPr>
          <w:rFonts w:eastAsia="Times New Roman" w:cs="Calibri"/>
          <w:b/>
          <w:sz w:val="28"/>
          <w:lang w:val="fr-CH"/>
        </w:rPr>
      </w:pPr>
      <w:r w:rsidRPr="0067278D">
        <w:rPr>
          <w:rFonts w:eastAsia="Times New Roman" w:cs="Calibri"/>
          <w:b/>
          <w:sz w:val="28"/>
          <w:lang w:val="fr-CH"/>
        </w:rPr>
        <w:t>8</w:t>
      </w:r>
      <w:r w:rsidRPr="0067278D">
        <w:rPr>
          <w:rFonts w:eastAsia="Times New Roman" w:cs="Calibri"/>
          <w:b/>
          <w:sz w:val="28"/>
          <w:lang w:val="fr-CH"/>
        </w:rPr>
        <w:tab/>
        <w:t xml:space="preserve">Draft new </w:t>
      </w:r>
      <w:proofErr w:type="spellStart"/>
      <w:r w:rsidRPr="0067278D">
        <w:rPr>
          <w:rFonts w:eastAsia="Times New Roman" w:cs="Calibri"/>
          <w:b/>
          <w:sz w:val="28"/>
          <w:lang w:val="fr-CH"/>
        </w:rPr>
        <w:t>Recommendation</w:t>
      </w:r>
      <w:proofErr w:type="spellEnd"/>
      <w:r w:rsidRPr="0067278D">
        <w:rPr>
          <w:rFonts w:eastAsia="Times New Roman" w:cs="Calibri"/>
          <w:b/>
          <w:sz w:val="28"/>
          <w:lang w:val="fr-CH"/>
        </w:rPr>
        <w:t xml:space="preserve"> ITU-T </w:t>
      </w:r>
      <w:r w:rsidR="00E05288" w:rsidRPr="0067278D">
        <w:rPr>
          <w:rFonts w:eastAsia="Times New Roman"/>
          <w:b/>
          <w:sz w:val="28"/>
          <w:lang w:val="fr-CH"/>
        </w:rPr>
        <w:t xml:space="preserve">Y.4488 (ex </w:t>
      </w:r>
      <w:proofErr w:type="spellStart"/>
      <w:proofErr w:type="gramStart"/>
      <w:r w:rsidR="00E05288" w:rsidRPr="0067278D">
        <w:rPr>
          <w:rFonts w:eastAsia="Times New Roman"/>
          <w:b/>
          <w:sz w:val="28"/>
          <w:lang w:val="fr-CH"/>
        </w:rPr>
        <w:t>Y.IoT</w:t>
      </w:r>
      <w:proofErr w:type="spellEnd"/>
      <w:proofErr w:type="gramEnd"/>
      <w:r w:rsidR="00E05288" w:rsidRPr="0067278D">
        <w:rPr>
          <w:rFonts w:eastAsia="Times New Roman"/>
          <w:b/>
          <w:sz w:val="28"/>
          <w:lang w:val="fr-CH"/>
        </w:rPr>
        <w:t>-SPWE)</w:t>
      </w:r>
      <w:r w:rsidRPr="0067278D">
        <w:rPr>
          <w:rFonts w:eastAsia="Times New Roman"/>
          <w:b/>
          <w:sz w:val="28"/>
          <w:lang w:val="fr-CH"/>
        </w:rPr>
        <w:t xml:space="preserve">: </w:t>
      </w:r>
      <w:r w:rsidRPr="0067278D">
        <w:rPr>
          <w:rFonts w:eastAsia="Times New Roman" w:cs="Calibri"/>
          <w:b/>
          <w:sz w:val="28"/>
          <w:lang w:val="fr-CH"/>
        </w:rPr>
        <w:t>[</w:t>
      </w:r>
      <w:hyperlink r:id="rId20" w:history="1">
        <w:r w:rsidRPr="0067278D">
          <w:rPr>
            <w:rStyle w:val="Hyperlink"/>
            <w:rFonts w:eastAsia="Times New Roman" w:cs="Calibri"/>
            <w:b/>
            <w:sz w:val="28"/>
            <w:lang w:val="fr-CH"/>
          </w:rPr>
          <w:t>R1</w:t>
        </w:r>
        <w:r w:rsidR="006355C2" w:rsidRPr="0067278D">
          <w:rPr>
            <w:rStyle w:val="Hyperlink"/>
            <w:rFonts w:eastAsia="Times New Roman" w:cs="Calibri"/>
            <w:b/>
            <w:sz w:val="28"/>
            <w:lang w:val="fr-CH"/>
          </w:rPr>
          <w:t>9</w:t>
        </w:r>
      </w:hyperlink>
      <w:r w:rsidRPr="0067278D">
        <w:rPr>
          <w:rFonts w:eastAsia="Times New Roman" w:cs="Calibri"/>
          <w:b/>
          <w:sz w:val="28"/>
          <w:lang w:val="fr-CH"/>
        </w:rPr>
        <w:t>]</w:t>
      </w:r>
    </w:p>
    <w:p w14:paraId="7F854666" w14:textId="77777777" w:rsidR="0054019D" w:rsidRPr="007427B0" w:rsidRDefault="0054019D" w:rsidP="0054019D">
      <w:pPr>
        <w:tabs>
          <w:tab w:val="clear" w:pos="1191"/>
          <w:tab w:val="left" w:pos="0"/>
        </w:tabs>
        <w:outlineLvl w:val="1"/>
        <w:rPr>
          <w:rFonts w:eastAsia="Times New Roman" w:cs="Calibri"/>
          <w:b/>
          <w:bCs/>
          <w:szCs w:val="24"/>
        </w:rPr>
      </w:pPr>
      <w:r w:rsidRPr="007427B0">
        <w:rPr>
          <w:rFonts w:eastAsia="Times New Roman" w:cs="Calibri"/>
          <w:b/>
          <w:bCs/>
          <w:szCs w:val="24"/>
        </w:rPr>
        <w:t xml:space="preserve">Requirements and functional architecture of data services provided via IoT-based technologies for the safety of working </w:t>
      </w:r>
      <w:proofErr w:type="gramStart"/>
      <w:r w:rsidRPr="007427B0">
        <w:rPr>
          <w:rFonts w:eastAsia="Times New Roman" w:cs="Calibri"/>
          <w:b/>
          <w:bCs/>
          <w:szCs w:val="24"/>
        </w:rPr>
        <w:t>environments</w:t>
      </w:r>
      <w:proofErr w:type="gramEnd"/>
    </w:p>
    <w:p w14:paraId="460E3FDF" w14:textId="6E4F9EA0" w:rsidR="00E17C88" w:rsidRPr="007427B0" w:rsidRDefault="00E17C88" w:rsidP="00E17C88">
      <w:pPr>
        <w:ind w:left="1134" w:hanging="1134"/>
        <w:outlineLvl w:val="1"/>
        <w:rPr>
          <w:rFonts w:eastAsia="Times New Roman" w:cs="Calibri"/>
          <w:b/>
          <w:szCs w:val="24"/>
        </w:rPr>
      </w:pPr>
      <w:r w:rsidRPr="007427B0">
        <w:rPr>
          <w:rFonts w:eastAsia="Times New Roman" w:cs="Calibri"/>
          <w:b/>
          <w:szCs w:val="24"/>
        </w:rPr>
        <w:t>Summary</w:t>
      </w:r>
    </w:p>
    <w:p w14:paraId="5B180C1A" w14:textId="77777777" w:rsidR="0054019D" w:rsidRPr="0054019D" w:rsidRDefault="0054019D" w:rsidP="0054019D">
      <w:pPr>
        <w:keepNext/>
        <w:keepLines/>
        <w:spacing w:after="120"/>
        <w:rPr>
          <w:rFonts w:cs="Calibri"/>
          <w:szCs w:val="24"/>
          <w:lang w:eastAsia="zh-CN"/>
        </w:rPr>
      </w:pPr>
      <w:bookmarkStart w:id="10" w:name="_Toc13043"/>
      <w:bookmarkStart w:id="11" w:name="_Toc146628077"/>
      <w:bookmarkStart w:id="12" w:name="_Toc151132004"/>
      <w:bookmarkStart w:id="13" w:name="_Toc152232854"/>
      <w:r w:rsidRPr="0054019D">
        <w:rPr>
          <w:rFonts w:cs="Calibri"/>
          <w:szCs w:val="24"/>
          <w:lang w:eastAsia="zh-CN"/>
        </w:rPr>
        <w:lastRenderedPageBreak/>
        <w:t>This Recommendation specifies the requirements and functional architecture of data services provided via IOT-based technologies to ensure the safety of three typical working environments, namely working environments with high temperature, high dust concentrations or harmful gases.</w:t>
      </w:r>
      <w:bookmarkEnd w:id="10"/>
      <w:bookmarkEnd w:id="11"/>
      <w:bookmarkEnd w:id="12"/>
      <w:bookmarkEnd w:id="13"/>
    </w:p>
    <w:p w14:paraId="44953A3B" w14:textId="77777777" w:rsidR="0054019D" w:rsidRPr="0054019D" w:rsidRDefault="0054019D" w:rsidP="0054019D">
      <w:pPr>
        <w:keepNext/>
        <w:keepLines/>
        <w:spacing w:after="120"/>
        <w:rPr>
          <w:rFonts w:cs="Calibri"/>
          <w:szCs w:val="24"/>
          <w:lang w:eastAsia="zh-CN"/>
        </w:rPr>
      </w:pPr>
      <w:bookmarkStart w:id="14" w:name="_Toc146628078"/>
      <w:bookmarkStart w:id="15" w:name="_Toc32729"/>
      <w:bookmarkStart w:id="16" w:name="_Toc151132005"/>
      <w:bookmarkStart w:id="17" w:name="_Toc152232855"/>
      <w:r w:rsidRPr="0054019D">
        <w:rPr>
          <w:rFonts w:cs="Calibri"/>
          <w:szCs w:val="24"/>
          <w:lang w:eastAsia="zh-CN"/>
        </w:rPr>
        <w:t>By deploying data services provided via IoT-based technologies, workplaces with these kinds of working environments can make use of IoT technologies to collect information remotely, identify risky behaviour, control items of equipment remotely, and so on. These technologies could support intelligent services such as safety protection information monitoring including of workers and the environment and predictive maintenance, which can help to reduce incidents and casualties and improve the safety level of working environments.</w:t>
      </w:r>
      <w:bookmarkEnd w:id="14"/>
      <w:bookmarkEnd w:id="15"/>
      <w:bookmarkEnd w:id="16"/>
      <w:bookmarkEnd w:id="17"/>
      <w:r w:rsidRPr="0054019D">
        <w:rPr>
          <w:rFonts w:cs="Calibri"/>
          <w:szCs w:val="24"/>
          <w:lang w:eastAsia="zh-CN"/>
        </w:rPr>
        <w:t xml:space="preserve"> </w:t>
      </w:r>
    </w:p>
    <w:p w14:paraId="34A8EE5D" w14:textId="47C9E2A7" w:rsidR="00B60460" w:rsidRPr="00CB6994" w:rsidRDefault="00B60460" w:rsidP="00B60460">
      <w:pPr>
        <w:keepNext/>
        <w:keepLines/>
        <w:spacing w:after="280"/>
        <w:jc w:val="center"/>
        <w:rPr>
          <w:rFonts w:eastAsia="Times New Roman"/>
          <w:b/>
          <w:sz w:val="28"/>
        </w:rPr>
      </w:pPr>
      <w:r w:rsidRPr="007427B0">
        <w:rPr>
          <w:rFonts w:eastAsia="Times New Roman"/>
          <w:b/>
          <w:sz w:val="28"/>
        </w:rPr>
        <w:br w:type="page"/>
      </w:r>
      <w:r w:rsidRPr="00CB6994">
        <w:rPr>
          <w:rFonts w:eastAsia="Times New Roman"/>
          <w:b/>
          <w:sz w:val="28"/>
        </w:rPr>
        <w:lastRenderedPageBreak/>
        <w:t>Annex 2</w:t>
      </w:r>
    </w:p>
    <w:p w14:paraId="4FCD2C38" w14:textId="7348E37F" w:rsidR="00B60460" w:rsidRPr="00AC528E" w:rsidRDefault="00B60460" w:rsidP="00B60460">
      <w:pPr>
        <w:keepNext/>
        <w:keepLines/>
        <w:spacing w:before="240" w:after="280"/>
        <w:jc w:val="center"/>
        <w:rPr>
          <w:rFonts w:eastAsia="Times New Roman"/>
          <w:b/>
          <w:sz w:val="28"/>
          <w:highlight w:val="yellow"/>
        </w:rPr>
      </w:pPr>
      <w:r w:rsidRPr="00CB6994">
        <w:rPr>
          <w:rFonts w:eastAsia="Times New Roman"/>
          <w:b/>
          <w:sz w:val="28"/>
        </w:rPr>
        <w:t>Subject: Member State response to TS</w:t>
      </w:r>
      <w:r w:rsidRPr="009A48C0">
        <w:rPr>
          <w:rFonts w:eastAsia="Times New Roman"/>
          <w:b/>
          <w:sz w:val="28"/>
        </w:rPr>
        <w:t>B Circular</w:t>
      </w:r>
      <w:r w:rsidR="0054116D" w:rsidRPr="009A48C0">
        <w:rPr>
          <w:rFonts w:eastAsia="Times New Roman"/>
          <w:b/>
          <w:sz w:val="28"/>
        </w:rPr>
        <w:t xml:space="preserve"> </w:t>
      </w:r>
      <w:r w:rsidR="009A48C0" w:rsidRPr="009A48C0">
        <w:rPr>
          <w:rFonts w:eastAsia="Times New Roman"/>
          <w:b/>
          <w:sz w:val="28"/>
        </w:rPr>
        <w:t>162</w:t>
      </w:r>
      <w:r w:rsidRPr="009A48C0">
        <w:rPr>
          <w:rFonts w:eastAsia="Times New Roman"/>
          <w:b/>
          <w:sz w:val="28"/>
        </w:rPr>
        <w:t>:</w:t>
      </w:r>
      <w:r w:rsidRPr="00AC528E">
        <w:rPr>
          <w:rFonts w:eastAsia="Times New Roman"/>
          <w:b/>
          <w:sz w:val="28"/>
          <w:highlight w:val="yellow"/>
        </w:rPr>
        <w:br/>
      </w:r>
      <w:r w:rsidRPr="00CB6994">
        <w:rPr>
          <w:rFonts w:eastAsia="Times New Roman"/>
          <w:b/>
          <w:sz w:val="28"/>
        </w:rPr>
        <w:t xml:space="preserve">Consultation on Determined draft new Recommendations </w:t>
      </w:r>
      <w:r w:rsidR="00256582" w:rsidRPr="00CB6994">
        <w:rPr>
          <w:rFonts w:eastAsia="Times New Roman"/>
          <w:b/>
          <w:sz w:val="28"/>
        </w:rPr>
        <w:t xml:space="preserve">ITU-T </w:t>
      </w:r>
      <w:r w:rsidR="00CB6994" w:rsidRPr="00CB6994">
        <w:rPr>
          <w:rFonts w:eastAsia="Times New Roman"/>
          <w:b/>
          <w:sz w:val="28"/>
        </w:rPr>
        <w:t>Y.4607 (ex Y.DRI-</w:t>
      </w:r>
      <w:proofErr w:type="spellStart"/>
      <w:r w:rsidR="00CB6994" w:rsidRPr="00CB6994">
        <w:rPr>
          <w:rFonts w:eastAsia="Times New Roman"/>
          <w:b/>
          <w:sz w:val="28"/>
        </w:rPr>
        <w:t>reqts</w:t>
      </w:r>
      <w:proofErr w:type="spellEnd"/>
      <w:r w:rsidR="00CB6994" w:rsidRPr="00CB6994">
        <w:rPr>
          <w:rFonts w:eastAsia="Times New Roman"/>
          <w:b/>
          <w:sz w:val="28"/>
        </w:rPr>
        <w:t xml:space="preserve">), Y.4225 (ex </w:t>
      </w:r>
      <w:proofErr w:type="spellStart"/>
      <w:r w:rsidR="00CB6994" w:rsidRPr="00CB6994">
        <w:rPr>
          <w:rFonts w:eastAsia="Times New Roman"/>
          <w:b/>
          <w:sz w:val="28"/>
        </w:rPr>
        <w:t>Y.dt</w:t>
      </w:r>
      <w:proofErr w:type="spellEnd"/>
      <w:r w:rsidR="00CB6994" w:rsidRPr="00CB6994">
        <w:rPr>
          <w:rFonts w:eastAsia="Times New Roman"/>
          <w:b/>
          <w:sz w:val="28"/>
        </w:rPr>
        <w:t xml:space="preserve">-ITS), Y.4221 (ex </w:t>
      </w:r>
      <w:proofErr w:type="spellStart"/>
      <w:r w:rsidR="00CB6994" w:rsidRPr="00CB6994">
        <w:rPr>
          <w:rFonts w:eastAsia="Times New Roman"/>
          <w:b/>
          <w:sz w:val="28"/>
        </w:rPr>
        <w:t>Y.ElecMon-Reqts</w:t>
      </w:r>
      <w:proofErr w:type="spellEnd"/>
      <w:r w:rsidR="00CB6994" w:rsidRPr="00CB6994">
        <w:rPr>
          <w:rFonts w:eastAsia="Times New Roman"/>
          <w:b/>
          <w:sz w:val="28"/>
        </w:rPr>
        <w:t xml:space="preserve">), Y.4496 (ex Y.RA-PHE), Y.4497 (ex </w:t>
      </w:r>
      <w:proofErr w:type="spellStart"/>
      <w:r w:rsidR="00CB6994" w:rsidRPr="00CB6994">
        <w:rPr>
          <w:rFonts w:eastAsia="Times New Roman"/>
          <w:b/>
          <w:sz w:val="28"/>
        </w:rPr>
        <w:t>Y.Smart</w:t>
      </w:r>
      <w:proofErr w:type="spellEnd"/>
      <w:r w:rsidR="00CB6994" w:rsidRPr="00CB6994">
        <w:rPr>
          <w:rFonts w:eastAsia="Times New Roman"/>
          <w:b/>
          <w:sz w:val="28"/>
        </w:rPr>
        <w:t xml:space="preserve">-SBS), Y.4498 (ex </w:t>
      </w:r>
      <w:proofErr w:type="spellStart"/>
      <w:r w:rsidR="00CB6994" w:rsidRPr="00CB6994">
        <w:rPr>
          <w:rFonts w:eastAsia="Times New Roman"/>
          <w:b/>
          <w:sz w:val="28"/>
        </w:rPr>
        <w:t>Y.energy</w:t>
      </w:r>
      <w:proofErr w:type="spellEnd"/>
      <w:r w:rsidR="00CB6994" w:rsidRPr="00CB6994">
        <w:rPr>
          <w:rFonts w:eastAsia="Times New Roman"/>
          <w:b/>
          <w:sz w:val="28"/>
        </w:rPr>
        <w:t xml:space="preserve">-data), Y.4499 (ex Y.UIM-cs-framework) and Y.4488 (ex </w:t>
      </w:r>
      <w:proofErr w:type="spellStart"/>
      <w:r w:rsidR="00CB6994" w:rsidRPr="00CB6994">
        <w:rPr>
          <w:rFonts w:eastAsia="Times New Roman"/>
          <w:b/>
          <w:sz w:val="28"/>
        </w:rPr>
        <w:t>Y.IoT</w:t>
      </w:r>
      <w:proofErr w:type="spellEnd"/>
      <w:r w:rsidR="00CB6994" w:rsidRPr="00CB6994">
        <w:rPr>
          <w:rFonts w:eastAsia="Times New Roman"/>
          <w:b/>
          <w:sz w:val="28"/>
        </w:rPr>
        <w:t>-SPWE)</w:t>
      </w:r>
    </w:p>
    <w:tbl>
      <w:tblPr>
        <w:tblW w:w="9957" w:type="dxa"/>
        <w:tblInd w:w="-176" w:type="dxa"/>
        <w:tblLayout w:type="fixed"/>
        <w:tblLook w:val="04A0" w:firstRow="1" w:lastRow="0" w:firstColumn="1" w:lastColumn="0" w:noHBand="0" w:noVBand="1"/>
      </w:tblPr>
      <w:tblGrid>
        <w:gridCol w:w="1005"/>
        <w:gridCol w:w="4558"/>
        <w:gridCol w:w="992"/>
        <w:gridCol w:w="3402"/>
      </w:tblGrid>
      <w:tr w:rsidR="00B60460" w:rsidRPr="00AC528E" w14:paraId="6FE50E3D" w14:textId="77777777" w:rsidTr="004A76B1">
        <w:tc>
          <w:tcPr>
            <w:tcW w:w="1005" w:type="dxa"/>
            <w:shd w:val="clear" w:color="auto" w:fill="auto"/>
          </w:tcPr>
          <w:p w14:paraId="0D26304C" w14:textId="77777777" w:rsidR="00B60460" w:rsidRPr="001604A8" w:rsidRDefault="00B60460" w:rsidP="00B60460">
            <w:pPr>
              <w:jc w:val="right"/>
              <w:rPr>
                <w:rFonts w:eastAsia="Times New Roman"/>
                <w:szCs w:val="24"/>
              </w:rPr>
            </w:pPr>
            <w:r w:rsidRPr="001604A8">
              <w:rPr>
                <w:rFonts w:eastAsia="Times New Roman"/>
                <w:b/>
                <w:bCs/>
                <w:szCs w:val="24"/>
              </w:rPr>
              <w:t>To</w:t>
            </w:r>
            <w:r w:rsidRPr="001604A8">
              <w:rPr>
                <w:rFonts w:eastAsia="Times New Roman"/>
                <w:szCs w:val="24"/>
              </w:rPr>
              <w:t>:</w:t>
            </w:r>
          </w:p>
        </w:tc>
        <w:tc>
          <w:tcPr>
            <w:tcW w:w="4558" w:type="dxa"/>
            <w:tcBorders>
              <w:right w:val="single" w:sz="8" w:space="0" w:color="auto"/>
            </w:tcBorders>
            <w:shd w:val="clear" w:color="auto" w:fill="auto"/>
          </w:tcPr>
          <w:p w14:paraId="0D177FD2" w14:textId="77777777" w:rsidR="00B60460" w:rsidRPr="001604A8" w:rsidRDefault="00B60460" w:rsidP="00B60460">
            <w:pPr>
              <w:rPr>
                <w:rFonts w:eastAsia="Times New Roman"/>
                <w:szCs w:val="24"/>
              </w:rPr>
            </w:pPr>
            <w:r w:rsidRPr="001604A8">
              <w:rPr>
                <w:rFonts w:eastAsia="Times New Roman"/>
                <w:szCs w:val="24"/>
              </w:rPr>
              <w:t xml:space="preserve">Director of the </w:t>
            </w:r>
            <w:r w:rsidRPr="001604A8">
              <w:rPr>
                <w:rFonts w:eastAsia="Times New Roman"/>
                <w:szCs w:val="24"/>
              </w:rPr>
              <w:br/>
              <w:t>Telecommunication Standardization Bureau,</w:t>
            </w:r>
          </w:p>
          <w:p w14:paraId="598F5535" w14:textId="77777777" w:rsidR="00B60460" w:rsidRPr="001604A8" w:rsidRDefault="00B60460" w:rsidP="00B60460">
            <w:pPr>
              <w:spacing w:before="0"/>
              <w:rPr>
                <w:rFonts w:eastAsia="Times New Roman"/>
                <w:szCs w:val="24"/>
                <w:lang w:val="fr-CH"/>
              </w:rPr>
            </w:pPr>
            <w:r w:rsidRPr="001604A8">
              <w:rPr>
                <w:rFonts w:eastAsia="Times New Roman"/>
                <w:szCs w:val="24"/>
                <w:lang w:val="fr-CH"/>
              </w:rPr>
              <w:t xml:space="preserve">International </w:t>
            </w:r>
            <w:proofErr w:type="spellStart"/>
            <w:r w:rsidRPr="001604A8">
              <w:rPr>
                <w:rFonts w:eastAsia="Times New Roman"/>
                <w:szCs w:val="24"/>
                <w:lang w:val="fr-CH"/>
              </w:rPr>
              <w:t>Telecommunication</w:t>
            </w:r>
            <w:proofErr w:type="spellEnd"/>
            <w:r w:rsidRPr="001604A8">
              <w:rPr>
                <w:rFonts w:eastAsia="Times New Roman"/>
                <w:szCs w:val="24"/>
                <w:lang w:val="fr-CH"/>
              </w:rPr>
              <w:t xml:space="preserve"> Union</w:t>
            </w:r>
          </w:p>
          <w:p w14:paraId="6AC4BBC0" w14:textId="77777777" w:rsidR="00B60460" w:rsidRPr="001604A8" w:rsidRDefault="00B60460" w:rsidP="00B60460">
            <w:pPr>
              <w:spacing w:before="0"/>
              <w:rPr>
                <w:rFonts w:eastAsia="Times New Roman"/>
                <w:szCs w:val="24"/>
                <w:lang w:val="fr-CH"/>
              </w:rPr>
            </w:pPr>
            <w:r w:rsidRPr="001604A8">
              <w:rPr>
                <w:rFonts w:eastAsia="Times New Roman"/>
                <w:szCs w:val="24"/>
                <w:lang w:val="fr-CH"/>
              </w:rPr>
              <w:t>Place des Nations</w:t>
            </w:r>
          </w:p>
          <w:p w14:paraId="1863AB5D" w14:textId="77777777" w:rsidR="00B60460" w:rsidRPr="001604A8" w:rsidRDefault="00B60460" w:rsidP="00B60460">
            <w:pPr>
              <w:spacing w:before="0"/>
              <w:rPr>
                <w:rFonts w:eastAsia="Times New Roman"/>
                <w:szCs w:val="24"/>
              </w:rPr>
            </w:pPr>
            <w:r w:rsidRPr="001604A8">
              <w:rPr>
                <w:rFonts w:eastAsia="Times New Roman"/>
                <w:szCs w:val="24"/>
              </w:rPr>
              <w:t>CH 1211 Geneva 20, Switzerland</w:t>
            </w:r>
          </w:p>
        </w:tc>
        <w:tc>
          <w:tcPr>
            <w:tcW w:w="992" w:type="dxa"/>
            <w:tcBorders>
              <w:left w:val="single" w:sz="8" w:space="0" w:color="auto"/>
            </w:tcBorders>
            <w:shd w:val="clear" w:color="auto" w:fill="auto"/>
          </w:tcPr>
          <w:p w14:paraId="42B1D6F1" w14:textId="77777777" w:rsidR="00B60460" w:rsidRPr="001604A8" w:rsidRDefault="00B60460" w:rsidP="00B60460">
            <w:pPr>
              <w:jc w:val="right"/>
              <w:rPr>
                <w:rFonts w:eastAsia="Times New Roman"/>
                <w:szCs w:val="24"/>
              </w:rPr>
            </w:pPr>
            <w:r w:rsidRPr="001604A8">
              <w:rPr>
                <w:rFonts w:eastAsia="Times New Roman"/>
                <w:b/>
                <w:bCs/>
                <w:szCs w:val="24"/>
              </w:rPr>
              <w:t>From</w:t>
            </w:r>
            <w:r w:rsidRPr="001604A8">
              <w:rPr>
                <w:rFonts w:eastAsia="Times New Roman"/>
                <w:szCs w:val="24"/>
              </w:rPr>
              <w:t>:</w:t>
            </w:r>
          </w:p>
        </w:tc>
        <w:tc>
          <w:tcPr>
            <w:tcW w:w="3402" w:type="dxa"/>
            <w:shd w:val="clear" w:color="auto" w:fill="auto"/>
          </w:tcPr>
          <w:p w14:paraId="3B8FB251" w14:textId="77777777" w:rsidR="00B60460" w:rsidRPr="001604A8" w:rsidRDefault="00B60460" w:rsidP="00B60460">
            <w:pPr>
              <w:rPr>
                <w:rFonts w:eastAsia="Times New Roman"/>
                <w:szCs w:val="24"/>
              </w:rPr>
            </w:pPr>
            <w:r w:rsidRPr="001604A8">
              <w:rPr>
                <w:rFonts w:eastAsia="Times New Roman"/>
                <w:szCs w:val="24"/>
              </w:rPr>
              <w:t>[Name]</w:t>
            </w:r>
          </w:p>
          <w:p w14:paraId="12B8B44E" w14:textId="77777777" w:rsidR="00B60460" w:rsidRPr="001604A8" w:rsidRDefault="00B60460" w:rsidP="00B60460">
            <w:pPr>
              <w:spacing w:before="0"/>
              <w:rPr>
                <w:rFonts w:eastAsia="Times New Roman"/>
                <w:szCs w:val="24"/>
              </w:rPr>
            </w:pPr>
            <w:r w:rsidRPr="001604A8">
              <w:rPr>
                <w:rFonts w:eastAsia="Times New Roman"/>
                <w:szCs w:val="24"/>
              </w:rPr>
              <w:t>[Official role/title]</w:t>
            </w:r>
          </w:p>
          <w:p w14:paraId="52E9D6DF" w14:textId="77777777" w:rsidR="00B60460" w:rsidRPr="001604A8" w:rsidRDefault="00B60460" w:rsidP="00B60460">
            <w:pPr>
              <w:spacing w:before="0"/>
              <w:rPr>
                <w:rFonts w:eastAsia="Times New Roman"/>
                <w:szCs w:val="24"/>
              </w:rPr>
            </w:pPr>
            <w:r w:rsidRPr="001604A8">
              <w:rPr>
                <w:rFonts w:eastAsia="Times New Roman"/>
                <w:szCs w:val="24"/>
              </w:rPr>
              <w:t>[Address]</w:t>
            </w:r>
          </w:p>
        </w:tc>
      </w:tr>
      <w:tr w:rsidR="00B60460" w:rsidRPr="00AC528E" w14:paraId="5BE1C14F" w14:textId="77777777" w:rsidTr="004A76B1">
        <w:tc>
          <w:tcPr>
            <w:tcW w:w="1005" w:type="dxa"/>
            <w:shd w:val="clear" w:color="auto" w:fill="auto"/>
          </w:tcPr>
          <w:p w14:paraId="41602336" w14:textId="77777777" w:rsidR="00B60460" w:rsidRPr="001604A8" w:rsidRDefault="00B60460" w:rsidP="00B60460">
            <w:pPr>
              <w:spacing w:before="0"/>
              <w:jc w:val="right"/>
              <w:rPr>
                <w:rFonts w:eastAsia="Times New Roman"/>
                <w:szCs w:val="24"/>
              </w:rPr>
            </w:pPr>
            <w:r w:rsidRPr="001604A8">
              <w:rPr>
                <w:rFonts w:eastAsia="Times New Roman"/>
                <w:b/>
                <w:bCs/>
                <w:szCs w:val="24"/>
              </w:rPr>
              <w:t>Fax</w:t>
            </w:r>
            <w:r w:rsidRPr="001604A8">
              <w:rPr>
                <w:rFonts w:eastAsia="Times New Roman"/>
                <w:szCs w:val="24"/>
              </w:rPr>
              <w:t>:</w:t>
            </w:r>
          </w:p>
          <w:p w14:paraId="20339B92" w14:textId="77777777" w:rsidR="00B60460" w:rsidRPr="001604A8" w:rsidRDefault="00B60460" w:rsidP="00B60460">
            <w:pPr>
              <w:spacing w:before="0"/>
              <w:jc w:val="right"/>
              <w:rPr>
                <w:rFonts w:eastAsia="Times New Roman"/>
                <w:szCs w:val="24"/>
              </w:rPr>
            </w:pPr>
            <w:r w:rsidRPr="001604A8">
              <w:rPr>
                <w:rFonts w:eastAsia="Times New Roman"/>
                <w:b/>
                <w:bCs/>
                <w:szCs w:val="24"/>
              </w:rPr>
              <w:t>E-mail</w:t>
            </w:r>
            <w:r w:rsidRPr="001604A8">
              <w:rPr>
                <w:rFonts w:eastAsia="Times New Roman"/>
                <w:szCs w:val="24"/>
              </w:rPr>
              <w:t>:</w:t>
            </w:r>
          </w:p>
        </w:tc>
        <w:tc>
          <w:tcPr>
            <w:tcW w:w="4558" w:type="dxa"/>
            <w:tcBorders>
              <w:right w:val="single" w:sz="8" w:space="0" w:color="auto"/>
            </w:tcBorders>
            <w:shd w:val="clear" w:color="auto" w:fill="auto"/>
          </w:tcPr>
          <w:p w14:paraId="76E3F86B" w14:textId="77777777" w:rsidR="00B60460" w:rsidRPr="001604A8" w:rsidRDefault="00B60460" w:rsidP="00B60460">
            <w:pPr>
              <w:spacing w:before="0"/>
              <w:rPr>
                <w:rFonts w:eastAsia="Times New Roman"/>
                <w:szCs w:val="24"/>
              </w:rPr>
            </w:pPr>
            <w:r w:rsidRPr="001604A8">
              <w:rPr>
                <w:rFonts w:eastAsia="Times New Roman"/>
                <w:szCs w:val="24"/>
              </w:rPr>
              <w:t>+41-22-730-5853</w:t>
            </w:r>
          </w:p>
          <w:p w14:paraId="22BE0C8C" w14:textId="6357D75B" w:rsidR="00B60460" w:rsidRPr="001604A8" w:rsidRDefault="005B7569" w:rsidP="00B60460">
            <w:pPr>
              <w:spacing w:before="0"/>
              <w:rPr>
                <w:rFonts w:eastAsia="Times New Roman"/>
                <w:szCs w:val="24"/>
              </w:rPr>
            </w:pPr>
            <w:hyperlink r:id="rId21" w:history="1">
              <w:r w:rsidR="00E609F7" w:rsidRPr="001604A8">
                <w:rPr>
                  <w:rStyle w:val="Hyperlink"/>
                  <w:rFonts w:eastAsia="Times New Roman"/>
                  <w:szCs w:val="24"/>
                </w:rPr>
                <w:t>tsbdir@itu.int</w:t>
              </w:r>
            </w:hyperlink>
            <w:r w:rsidR="00B60460" w:rsidRPr="001604A8">
              <w:rPr>
                <w:rFonts w:eastAsia="Times New Roman"/>
                <w:szCs w:val="24"/>
              </w:rPr>
              <w:t xml:space="preserve"> </w:t>
            </w:r>
          </w:p>
        </w:tc>
        <w:tc>
          <w:tcPr>
            <w:tcW w:w="992" w:type="dxa"/>
            <w:tcBorders>
              <w:left w:val="single" w:sz="8" w:space="0" w:color="auto"/>
            </w:tcBorders>
            <w:shd w:val="clear" w:color="auto" w:fill="auto"/>
          </w:tcPr>
          <w:p w14:paraId="6FF40B15" w14:textId="77777777" w:rsidR="00B60460" w:rsidRPr="001604A8" w:rsidRDefault="00B60460" w:rsidP="00B60460">
            <w:pPr>
              <w:spacing w:before="0"/>
              <w:jc w:val="right"/>
              <w:rPr>
                <w:rFonts w:eastAsia="Times New Roman"/>
                <w:szCs w:val="24"/>
              </w:rPr>
            </w:pPr>
            <w:r w:rsidRPr="001604A8">
              <w:rPr>
                <w:rFonts w:eastAsia="Times New Roman"/>
                <w:b/>
                <w:bCs/>
                <w:szCs w:val="24"/>
              </w:rPr>
              <w:t>Fax</w:t>
            </w:r>
            <w:r w:rsidRPr="001604A8">
              <w:rPr>
                <w:rFonts w:eastAsia="Times New Roman"/>
                <w:szCs w:val="24"/>
              </w:rPr>
              <w:t>:</w:t>
            </w:r>
          </w:p>
          <w:p w14:paraId="005A15A0" w14:textId="77777777" w:rsidR="00B60460" w:rsidRPr="001604A8" w:rsidRDefault="00B60460" w:rsidP="00B60460">
            <w:pPr>
              <w:spacing w:before="0"/>
              <w:jc w:val="right"/>
              <w:rPr>
                <w:rFonts w:eastAsia="Times New Roman"/>
                <w:szCs w:val="24"/>
              </w:rPr>
            </w:pPr>
            <w:r w:rsidRPr="001604A8">
              <w:rPr>
                <w:rFonts w:eastAsia="Times New Roman"/>
                <w:b/>
                <w:bCs/>
                <w:szCs w:val="24"/>
              </w:rPr>
              <w:t>E-mail</w:t>
            </w:r>
            <w:r w:rsidRPr="001604A8">
              <w:rPr>
                <w:rFonts w:eastAsia="Times New Roman"/>
                <w:szCs w:val="24"/>
              </w:rPr>
              <w:t>:</w:t>
            </w:r>
          </w:p>
        </w:tc>
        <w:tc>
          <w:tcPr>
            <w:tcW w:w="3402" w:type="dxa"/>
            <w:shd w:val="clear" w:color="auto" w:fill="auto"/>
          </w:tcPr>
          <w:p w14:paraId="1AFC4B4E" w14:textId="77777777" w:rsidR="00B60460" w:rsidRPr="001604A8" w:rsidRDefault="00B60460" w:rsidP="00B60460">
            <w:pPr>
              <w:spacing w:before="0"/>
              <w:rPr>
                <w:rFonts w:eastAsia="Times New Roman"/>
                <w:szCs w:val="24"/>
              </w:rPr>
            </w:pPr>
          </w:p>
        </w:tc>
      </w:tr>
      <w:tr w:rsidR="00B60460" w:rsidRPr="00AC528E" w14:paraId="2D693535" w14:textId="77777777" w:rsidTr="004A76B1">
        <w:tc>
          <w:tcPr>
            <w:tcW w:w="1005" w:type="dxa"/>
            <w:shd w:val="clear" w:color="auto" w:fill="auto"/>
          </w:tcPr>
          <w:p w14:paraId="7EC1D0FB" w14:textId="77777777" w:rsidR="00B60460" w:rsidRPr="001604A8" w:rsidRDefault="00B60460" w:rsidP="00B60460">
            <w:pPr>
              <w:spacing w:before="0"/>
              <w:jc w:val="right"/>
              <w:rPr>
                <w:rFonts w:eastAsia="Times New Roman"/>
                <w:szCs w:val="24"/>
              </w:rPr>
            </w:pPr>
          </w:p>
        </w:tc>
        <w:tc>
          <w:tcPr>
            <w:tcW w:w="4558" w:type="dxa"/>
            <w:tcBorders>
              <w:right w:val="single" w:sz="8" w:space="0" w:color="auto"/>
            </w:tcBorders>
            <w:shd w:val="clear" w:color="auto" w:fill="auto"/>
          </w:tcPr>
          <w:p w14:paraId="6C7B32DA" w14:textId="77777777" w:rsidR="00B60460" w:rsidRPr="001604A8" w:rsidRDefault="00B60460" w:rsidP="00B60460">
            <w:pPr>
              <w:spacing w:before="0"/>
              <w:rPr>
                <w:rFonts w:eastAsia="Times New Roman"/>
                <w:szCs w:val="24"/>
              </w:rPr>
            </w:pPr>
          </w:p>
        </w:tc>
        <w:tc>
          <w:tcPr>
            <w:tcW w:w="992" w:type="dxa"/>
            <w:tcBorders>
              <w:left w:val="single" w:sz="8" w:space="0" w:color="auto"/>
            </w:tcBorders>
            <w:shd w:val="clear" w:color="auto" w:fill="auto"/>
          </w:tcPr>
          <w:p w14:paraId="4D5AD732" w14:textId="77777777" w:rsidR="00B60460" w:rsidRPr="001604A8" w:rsidRDefault="00B60460" w:rsidP="00B60460">
            <w:pPr>
              <w:spacing w:before="0"/>
              <w:jc w:val="right"/>
              <w:rPr>
                <w:rFonts w:eastAsia="Times New Roman"/>
                <w:szCs w:val="24"/>
              </w:rPr>
            </w:pPr>
            <w:r w:rsidRPr="001604A8">
              <w:rPr>
                <w:rFonts w:eastAsia="Times New Roman"/>
                <w:b/>
                <w:bCs/>
                <w:szCs w:val="24"/>
              </w:rPr>
              <w:t>Date</w:t>
            </w:r>
            <w:r w:rsidRPr="001604A8">
              <w:rPr>
                <w:rFonts w:eastAsia="Times New Roman"/>
                <w:szCs w:val="24"/>
              </w:rPr>
              <w:t>:</w:t>
            </w:r>
          </w:p>
        </w:tc>
        <w:tc>
          <w:tcPr>
            <w:tcW w:w="3402" w:type="dxa"/>
            <w:shd w:val="clear" w:color="auto" w:fill="auto"/>
          </w:tcPr>
          <w:p w14:paraId="30FE78B3" w14:textId="77777777" w:rsidR="00B60460" w:rsidRPr="001604A8" w:rsidRDefault="00B60460" w:rsidP="00B60460">
            <w:pPr>
              <w:spacing w:before="0"/>
              <w:rPr>
                <w:rFonts w:eastAsia="Times New Roman"/>
                <w:szCs w:val="24"/>
              </w:rPr>
            </w:pPr>
            <w:r w:rsidRPr="001604A8">
              <w:rPr>
                <w:rFonts w:eastAsia="Times New Roman"/>
                <w:szCs w:val="24"/>
              </w:rPr>
              <w:t>[Place,] [Date]</w:t>
            </w:r>
          </w:p>
        </w:tc>
      </w:tr>
    </w:tbl>
    <w:p w14:paraId="382B055A" w14:textId="77777777" w:rsidR="00B60460" w:rsidRPr="001604A8" w:rsidRDefault="00B60460" w:rsidP="00B60460">
      <w:pPr>
        <w:spacing w:before="360"/>
        <w:rPr>
          <w:rFonts w:eastAsia="Times New Roman"/>
          <w:szCs w:val="24"/>
        </w:rPr>
      </w:pPr>
      <w:r w:rsidRPr="001604A8">
        <w:rPr>
          <w:rFonts w:eastAsia="Times New Roman"/>
          <w:szCs w:val="24"/>
        </w:rPr>
        <w:t>Dear Sir/Madam,</w:t>
      </w:r>
    </w:p>
    <w:p w14:paraId="65791207" w14:textId="1FFC2A6A" w:rsidR="00B60460" w:rsidRPr="00AC528E" w:rsidRDefault="00B60460" w:rsidP="00B60460">
      <w:pPr>
        <w:rPr>
          <w:rFonts w:eastAsia="Times New Roman"/>
          <w:szCs w:val="24"/>
          <w:highlight w:val="yellow"/>
        </w:rPr>
      </w:pPr>
      <w:r w:rsidRPr="009A48C0">
        <w:rPr>
          <w:rFonts w:eastAsia="Times New Roman"/>
          <w:szCs w:val="24"/>
        </w:rPr>
        <w:t xml:space="preserve">With respect to the Member State consultation on the Determined draft texts listed in TSB Circular </w:t>
      </w:r>
      <w:r w:rsidR="009A48C0" w:rsidRPr="009A48C0">
        <w:rPr>
          <w:rFonts w:eastAsia="Times New Roman"/>
          <w:szCs w:val="24"/>
        </w:rPr>
        <w:t>162</w:t>
      </w:r>
      <w:r w:rsidRPr="009A48C0">
        <w:rPr>
          <w:rFonts w:eastAsia="Times New Roman"/>
          <w:szCs w:val="24"/>
        </w:rPr>
        <w:t>, I would</w:t>
      </w:r>
      <w:r w:rsidRPr="001604A8">
        <w:rPr>
          <w:rFonts w:eastAsia="Times New Roman"/>
          <w:szCs w:val="24"/>
        </w:rPr>
        <w:t xml:space="preserve">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634"/>
      </w:tblGrid>
      <w:tr w:rsidR="00B60460" w:rsidRPr="001604A8" w14:paraId="47CB1F3B" w14:textId="77777777" w:rsidTr="004A76B1">
        <w:trPr>
          <w:tblHeader/>
        </w:trPr>
        <w:tc>
          <w:tcPr>
            <w:tcW w:w="2085" w:type="dxa"/>
            <w:shd w:val="clear" w:color="auto" w:fill="auto"/>
            <w:vAlign w:val="center"/>
          </w:tcPr>
          <w:p w14:paraId="70B5898E" w14:textId="77777777" w:rsidR="00B60460" w:rsidRPr="001604A8" w:rsidRDefault="00B60460" w:rsidP="00B60460">
            <w:pPr>
              <w:spacing w:after="120"/>
              <w:jc w:val="center"/>
              <w:rPr>
                <w:rFonts w:eastAsia="Times New Roman"/>
                <w:b/>
                <w:bCs/>
                <w:szCs w:val="24"/>
                <w:lang w:val="en-US"/>
              </w:rPr>
            </w:pPr>
          </w:p>
        </w:tc>
        <w:tc>
          <w:tcPr>
            <w:tcW w:w="7634" w:type="dxa"/>
            <w:shd w:val="clear" w:color="auto" w:fill="auto"/>
            <w:vAlign w:val="center"/>
          </w:tcPr>
          <w:p w14:paraId="7F6B05D1" w14:textId="77777777" w:rsidR="00B60460" w:rsidRPr="001604A8" w:rsidRDefault="00B60460" w:rsidP="00B60460">
            <w:pPr>
              <w:tabs>
                <w:tab w:val="clear" w:pos="794"/>
                <w:tab w:val="clear" w:pos="1191"/>
                <w:tab w:val="clear" w:pos="1588"/>
                <w:tab w:val="clear" w:pos="1985"/>
              </w:tabs>
              <w:spacing w:after="120"/>
              <w:ind w:left="939" w:hanging="459"/>
              <w:jc w:val="center"/>
              <w:rPr>
                <w:rFonts w:eastAsia="Times New Roman"/>
                <w:b/>
                <w:bCs/>
                <w:szCs w:val="24"/>
              </w:rPr>
            </w:pPr>
            <w:r w:rsidRPr="001604A8">
              <w:rPr>
                <w:rFonts w:eastAsia="Times New Roman"/>
                <w:b/>
                <w:bCs/>
                <w:szCs w:val="24"/>
              </w:rPr>
              <w:t>Select one of the two boxes</w:t>
            </w:r>
          </w:p>
        </w:tc>
      </w:tr>
      <w:tr w:rsidR="00B60460" w:rsidRPr="001604A8" w14:paraId="1580F6CB" w14:textId="77777777" w:rsidTr="004A76B1">
        <w:trPr>
          <w:trHeight w:val="748"/>
        </w:trPr>
        <w:tc>
          <w:tcPr>
            <w:tcW w:w="2085" w:type="dxa"/>
            <w:vMerge w:val="restart"/>
            <w:shd w:val="clear" w:color="auto" w:fill="auto"/>
            <w:vAlign w:val="center"/>
          </w:tcPr>
          <w:p w14:paraId="567A0175" w14:textId="28463366" w:rsidR="00B60460" w:rsidRPr="001604A8" w:rsidRDefault="00B60460" w:rsidP="00B60460">
            <w:pPr>
              <w:spacing w:before="60" w:after="60"/>
              <w:jc w:val="center"/>
              <w:rPr>
                <w:rFonts w:eastAsia="Times New Roman"/>
                <w:b/>
                <w:bCs/>
                <w:szCs w:val="24"/>
                <w:lang w:val="fr-CH"/>
              </w:rPr>
            </w:pPr>
            <w:r w:rsidRPr="001604A8">
              <w:rPr>
                <w:rFonts w:eastAsia="Times New Roman"/>
                <w:b/>
                <w:bCs/>
                <w:szCs w:val="24"/>
                <w:lang w:val="fr-CH"/>
              </w:rPr>
              <w:t xml:space="preserve">Draft new </w:t>
            </w:r>
            <w:proofErr w:type="spellStart"/>
            <w:r w:rsidRPr="001604A8">
              <w:rPr>
                <w:rFonts w:eastAsia="Times New Roman"/>
                <w:b/>
                <w:bCs/>
                <w:szCs w:val="24"/>
                <w:lang w:val="fr-CH"/>
              </w:rPr>
              <w:t>Recommendation</w:t>
            </w:r>
            <w:proofErr w:type="spellEnd"/>
            <w:r w:rsidRPr="001604A8">
              <w:rPr>
                <w:rFonts w:eastAsia="Times New Roman"/>
                <w:b/>
                <w:bCs/>
                <w:szCs w:val="24"/>
                <w:lang w:val="fr-CH"/>
              </w:rPr>
              <w:t xml:space="preserve"> ITU-T </w:t>
            </w:r>
            <w:r w:rsidR="001604A8" w:rsidRPr="001604A8">
              <w:rPr>
                <w:rFonts w:eastAsia="Times New Roman"/>
                <w:b/>
                <w:bCs/>
                <w:szCs w:val="24"/>
                <w:lang w:val="fr-CH"/>
              </w:rPr>
              <w:t>Y.4607 (ex Y.DRI-</w:t>
            </w:r>
            <w:proofErr w:type="spellStart"/>
            <w:r w:rsidR="001604A8" w:rsidRPr="001604A8">
              <w:rPr>
                <w:rFonts w:eastAsia="Times New Roman"/>
                <w:b/>
                <w:bCs/>
                <w:szCs w:val="24"/>
                <w:lang w:val="fr-CH"/>
              </w:rPr>
              <w:t>reqts</w:t>
            </w:r>
            <w:proofErr w:type="spellEnd"/>
            <w:r w:rsidR="001604A8" w:rsidRPr="001604A8">
              <w:rPr>
                <w:rFonts w:eastAsia="Times New Roman"/>
                <w:b/>
                <w:bCs/>
                <w:szCs w:val="24"/>
                <w:lang w:val="fr-CH"/>
              </w:rPr>
              <w:t>)</w:t>
            </w:r>
          </w:p>
        </w:tc>
        <w:tc>
          <w:tcPr>
            <w:tcW w:w="7634" w:type="dxa"/>
            <w:shd w:val="clear" w:color="auto" w:fill="auto"/>
            <w:vAlign w:val="center"/>
          </w:tcPr>
          <w:p w14:paraId="2196DC58" w14:textId="77777777" w:rsidR="00B60460" w:rsidRPr="001604A8" w:rsidRDefault="00B60460" w:rsidP="00B60460">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338FD298" w14:textId="77777777" w:rsidR="00B60460" w:rsidRPr="001604A8" w:rsidRDefault="00B60460" w:rsidP="00B60460">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2F8ED4A8" w14:textId="77777777" w:rsidR="00B60460" w:rsidRPr="001604A8" w:rsidRDefault="00B60460" w:rsidP="00B60460">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B60460" w:rsidRPr="001604A8" w14:paraId="0819B39E" w14:textId="77777777" w:rsidTr="004A76B1">
        <w:trPr>
          <w:trHeight w:val="747"/>
        </w:trPr>
        <w:tc>
          <w:tcPr>
            <w:tcW w:w="2085" w:type="dxa"/>
            <w:vMerge/>
            <w:shd w:val="clear" w:color="auto" w:fill="auto"/>
            <w:vAlign w:val="center"/>
          </w:tcPr>
          <w:p w14:paraId="0F888159" w14:textId="77777777" w:rsidR="00B60460" w:rsidRPr="001604A8" w:rsidRDefault="00B60460" w:rsidP="00B60460">
            <w:pPr>
              <w:spacing w:before="60" w:after="60"/>
              <w:jc w:val="center"/>
              <w:rPr>
                <w:rFonts w:eastAsia="Times New Roman"/>
                <w:b/>
                <w:bCs/>
                <w:szCs w:val="24"/>
                <w:lang w:val="en-US"/>
              </w:rPr>
            </w:pPr>
          </w:p>
        </w:tc>
        <w:tc>
          <w:tcPr>
            <w:tcW w:w="7634" w:type="dxa"/>
            <w:shd w:val="clear" w:color="auto" w:fill="auto"/>
            <w:vAlign w:val="center"/>
          </w:tcPr>
          <w:p w14:paraId="02D6DE45" w14:textId="77777777" w:rsidR="00B60460" w:rsidRPr="001604A8"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r w:rsidR="00B60460" w:rsidRPr="001604A8" w14:paraId="17656D5F" w14:textId="77777777" w:rsidTr="004A76B1">
        <w:trPr>
          <w:trHeight w:val="748"/>
        </w:trPr>
        <w:tc>
          <w:tcPr>
            <w:tcW w:w="2085" w:type="dxa"/>
            <w:vMerge w:val="restart"/>
            <w:shd w:val="clear" w:color="auto" w:fill="auto"/>
            <w:vAlign w:val="center"/>
          </w:tcPr>
          <w:p w14:paraId="5D0C70DE" w14:textId="4F037735" w:rsidR="00B60460" w:rsidRPr="001604A8" w:rsidRDefault="00B60460" w:rsidP="00B60460">
            <w:pPr>
              <w:spacing w:before="60" w:after="60"/>
              <w:jc w:val="center"/>
              <w:rPr>
                <w:rFonts w:eastAsia="Times New Roman"/>
                <w:b/>
                <w:bCs/>
                <w:szCs w:val="24"/>
                <w:lang w:val="fr-CH"/>
              </w:rPr>
            </w:pPr>
            <w:r w:rsidRPr="001604A8">
              <w:rPr>
                <w:rFonts w:eastAsia="Times New Roman"/>
                <w:b/>
                <w:bCs/>
                <w:szCs w:val="24"/>
                <w:lang w:val="fr-FR"/>
              </w:rPr>
              <w:t xml:space="preserve">Draft new </w:t>
            </w:r>
            <w:proofErr w:type="spellStart"/>
            <w:r w:rsidRPr="001604A8">
              <w:rPr>
                <w:rFonts w:eastAsia="Times New Roman"/>
                <w:b/>
                <w:bCs/>
                <w:szCs w:val="24"/>
                <w:lang w:val="fr-FR"/>
              </w:rPr>
              <w:t>Recommendation</w:t>
            </w:r>
            <w:proofErr w:type="spellEnd"/>
            <w:r w:rsidRPr="001604A8">
              <w:rPr>
                <w:rFonts w:eastAsia="Times New Roman"/>
                <w:b/>
                <w:bCs/>
                <w:szCs w:val="24"/>
                <w:lang w:val="fr-FR"/>
              </w:rPr>
              <w:t xml:space="preserve"> ITU-T </w:t>
            </w:r>
            <w:r w:rsidR="001604A8" w:rsidRPr="001604A8">
              <w:rPr>
                <w:rFonts w:eastAsia="Times New Roman"/>
                <w:b/>
                <w:bCs/>
                <w:szCs w:val="24"/>
              </w:rPr>
              <w:t xml:space="preserve">Y.4225 (ex </w:t>
            </w:r>
            <w:proofErr w:type="spellStart"/>
            <w:proofErr w:type="gramStart"/>
            <w:r w:rsidR="001604A8" w:rsidRPr="001604A8">
              <w:rPr>
                <w:rFonts w:eastAsia="Times New Roman"/>
                <w:b/>
                <w:bCs/>
                <w:szCs w:val="24"/>
              </w:rPr>
              <w:t>Y.dt</w:t>
            </w:r>
            <w:proofErr w:type="spellEnd"/>
            <w:proofErr w:type="gramEnd"/>
            <w:r w:rsidR="001604A8" w:rsidRPr="001604A8">
              <w:rPr>
                <w:rFonts w:eastAsia="Times New Roman"/>
                <w:b/>
                <w:bCs/>
                <w:szCs w:val="24"/>
              </w:rPr>
              <w:t>-ITS)</w:t>
            </w:r>
          </w:p>
        </w:tc>
        <w:tc>
          <w:tcPr>
            <w:tcW w:w="7634" w:type="dxa"/>
            <w:shd w:val="clear" w:color="auto" w:fill="auto"/>
            <w:vAlign w:val="center"/>
          </w:tcPr>
          <w:p w14:paraId="4152D586" w14:textId="77777777" w:rsidR="00B60460" w:rsidRPr="001604A8" w:rsidRDefault="00B60460" w:rsidP="00B60460">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21D63AEA" w14:textId="77777777" w:rsidR="00B60460" w:rsidRPr="001604A8" w:rsidRDefault="00B60460" w:rsidP="00B60460">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329EF68E" w14:textId="77777777" w:rsidR="00B60460" w:rsidRPr="001604A8" w:rsidRDefault="00B60460" w:rsidP="00B60460">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B60460" w:rsidRPr="001604A8" w14:paraId="1EB55FDD" w14:textId="77777777" w:rsidTr="004A76B1">
        <w:trPr>
          <w:trHeight w:val="747"/>
        </w:trPr>
        <w:tc>
          <w:tcPr>
            <w:tcW w:w="2085" w:type="dxa"/>
            <w:vMerge/>
            <w:shd w:val="clear" w:color="auto" w:fill="auto"/>
            <w:vAlign w:val="center"/>
          </w:tcPr>
          <w:p w14:paraId="29218970" w14:textId="77777777" w:rsidR="00B60460" w:rsidRPr="001604A8" w:rsidRDefault="00B60460" w:rsidP="00B60460">
            <w:pPr>
              <w:spacing w:before="60" w:after="60"/>
              <w:jc w:val="center"/>
              <w:rPr>
                <w:rFonts w:eastAsia="Times New Roman"/>
                <w:b/>
                <w:bCs/>
                <w:szCs w:val="24"/>
                <w:lang w:val="en-US"/>
              </w:rPr>
            </w:pPr>
          </w:p>
        </w:tc>
        <w:tc>
          <w:tcPr>
            <w:tcW w:w="7634" w:type="dxa"/>
            <w:shd w:val="clear" w:color="auto" w:fill="auto"/>
            <w:vAlign w:val="center"/>
          </w:tcPr>
          <w:p w14:paraId="06A262CF" w14:textId="77777777" w:rsidR="00B60460" w:rsidRPr="001604A8"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r w:rsidR="0054116D" w:rsidRPr="001604A8" w14:paraId="73F347FC" w14:textId="77777777" w:rsidTr="005A602F">
        <w:trPr>
          <w:trHeight w:val="748"/>
        </w:trPr>
        <w:tc>
          <w:tcPr>
            <w:tcW w:w="2085" w:type="dxa"/>
            <w:vMerge w:val="restart"/>
            <w:shd w:val="clear" w:color="auto" w:fill="auto"/>
            <w:vAlign w:val="center"/>
          </w:tcPr>
          <w:p w14:paraId="611E1657" w14:textId="487173AC" w:rsidR="0054116D" w:rsidRPr="001604A8" w:rsidRDefault="0054116D" w:rsidP="005A602F">
            <w:pPr>
              <w:spacing w:before="60" w:after="60"/>
              <w:jc w:val="center"/>
              <w:rPr>
                <w:rFonts w:eastAsia="Times New Roman"/>
                <w:b/>
                <w:bCs/>
                <w:szCs w:val="24"/>
                <w:lang w:val="fr-CH"/>
              </w:rPr>
            </w:pPr>
            <w:r w:rsidRPr="001604A8">
              <w:rPr>
                <w:rFonts w:eastAsia="Times New Roman"/>
                <w:b/>
                <w:bCs/>
                <w:szCs w:val="24"/>
                <w:lang w:val="fr-FR"/>
              </w:rPr>
              <w:t xml:space="preserve">Draft new </w:t>
            </w:r>
            <w:proofErr w:type="spellStart"/>
            <w:r w:rsidRPr="001604A8">
              <w:rPr>
                <w:rFonts w:eastAsia="Times New Roman"/>
                <w:b/>
                <w:bCs/>
                <w:szCs w:val="24"/>
                <w:lang w:val="fr-FR"/>
              </w:rPr>
              <w:t>Recommendation</w:t>
            </w:r>
            <w:proofErr w:type="spellEnd"/>
            <w:r w:rsidRPr="001604A8">
              <w:rPr>
                <w:rFonts w:eastAsia="Times New Roman"/>
                <w:b/>
                <w:bCs/>
                <w:szCs w:val="24"/>
                <w:lang w:val="fr-FR"/>
              </w:rPr>
              <w:t xml:space="preserve"> ITU-T </w:t>
            </w:r>
            <w:r w:rsidR="001604A8" w:rsidRPr="001604A8">
              <w:rPr>
                <w:rFonts w:eastAsia="Times New Roman"/>
                <w:b/>
                <w:bCs/>
                <w:szCs w:val="24"/>
                <w:lang w:val="fr-CH"/>
              </w:rPr>
              <w:t xml:space="preserve">Y.4221 (ex </w:t>
            </w:r>
            <w:proofErr w:type="spellStart"/>
            <w:proofErr w:type="gramStart"/>
            <w:r w:rsidR="001604A8" w:rsidRPr="001604A8">
              <w:rPr>
                <w:rFonts w:eastAsia="Times New Roman"/>
                <w:b/>
                <w:bCs/>
                <w:szCs w:val="24"/>
                <w:lang w:val="fr-CH"/>
              </w:rPr>
              <w:t>Y.ElecMon</w:t>
            </w:r>
            <w:proofErr w:type="gramEnd"/>
            <w:r w:rsidR="001604A8" w:rsidRPr="001604A8">
              <w:rPr>
                <w:rFonts w:eastAsia="Times New Roman"/>
                <w:b/>
                <w:bCs/>
                <w:szCs w:val="24"/>
                <w:lang w:val="fr-CH"/>
              </w:rPr>
              <w:t>-Reqts</w:t>
            </w:r>
            <w:proofErr w:type="spellEnd"/>
            <w:r w:rsidR="001604A8" w:rsidRPr="001604A8">
              <w:rPr>
                <w:rFonts w:eastAsia="Times New Roman"/>
                <w:b/>
                <w:bCs/>
                <w:szCs w:val="24"/>
                <w:lang w:val="fr-CH"/>
              </w:rPr>
              <w:t>)</w:t>
            </w:r>
          </w:p>
        </w:tc>
        <w:tc>
          <w:tcPr>
            <w:tcW w:w="7634" w:type="dxa"/>
            <w:shd w:val="clear" w:color="auto" w:fill="auto"/>
            <w:vAlign w:val="center"/>
          </w:tcPr>
          <w:p w14:paraId="5A4C00EA" w14:textId="77777777" w:rsidR="0054116D" w:rsidRPr="001604A8" w:rsidRDefault="0054116D" w:rsidP="005A602F">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30CBEDC5"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1A6D7376"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54116D" w:rsidRPr="001604A8" w14:paraId="0AB0CD20" w14:textId="77777777" w:rsidTr="005A602F">
        <w:trPr>
          <w:trHeight w:val="747"/>
        </w:trPr>
        <w:tc>
          <w:tcPr>
            <w:tcW w:w="2085" w:type="dxa"/>
            <w:vMerge/>
            <w:shd w:val="clear" w:color="auto" w:fill="auto"/>
            <w:vAlign w:val="center"/>
          </w:tcPr>
          <w:p w14:paraId="571D91BF" w14:textId="77777777" w:rsidR="0054116D" w:rsidRPr="001604A8"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246D2853" w14:textId="77777777" w:rsidR="0054116D" w:rsidRPr="001604A8"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r w:rsidR="0054116D" w:rsidRPr="001604A8" w14:paraId="6943E13D" w14:textId="77777777" w:rsidTr="005A602F">
        <w:trPr>
          <w:trHeight w:val="748"/>
        </w:trPr>
        <w:tc>
          <w:tcPr>
            <w:tcW w:w="2085" w:type="dxa"/>
            <w:vMerge w:val="restart"/>
            <w:shd w:val="clear" w:color="auto" w:fill="auto"/>
            <w:vAlign w:val="center"/>
          </w:tcPr>
          <w:p w14:paraId="55A96861" w14:textId="6E88F004" w:rsidR="0054116D" w:rsidRPr="001604A8" w:rsidRDefault="0054116D" w:rsidP="005A602F">
            <w:pPr>
              <w:spacing w:before="60" w:after="60"/>
              <w:jc w:val="center"/>
              <w:rPr>
                <w:rFonts w:eastAsia="Times New Roman"/>
                <w:b/>
                <w:bCs/>
                <w:szCs w:val="24"/>
                <w:lang w:val="fr-CH"/>
              </w:rPr>
            </w:pPr>
            <w:r w:rsidRPr="001604A8">
              <w:rPr>
                <w:rFonts w:eastAsia="Times New Roman"/>
                <w:b/>
                <w:bCs/>
                <w:szCs w:val="24"/>
                <w:lang w:val="fr-FR"/>
              </w:rPr>
              <w:lastRenderedPageBreak/>
              <w:t xml:space="preserve">Draft new </w:t>
            </w:r>
            <w:proofErr w:type="spellStart"/>
            <w:r w:rsidRPr="001604A8">
              <w:rPr>
                <w:rFonts w:eastAsia="Times New Roman"/>
                <w:b/>
                <w:bCs/>
                <w:szCs w:val="24"/>
                <w:lang w:val="fr-FR"/>
              </w:rPr>
              <w:t>Recommendation</w:t>
            </w:r>
            <w:proofErr w:type="spellEnd"/>
            <w:r w:rsidRPr="001604A8">
              <w:rPr>
                <w:rFonts w:eastAsia="Times New Roman"/>
                <w:b/>
                <w:bCs/>
                <w:szCs w:val="24"/>
                <w:lang w:val="fr-FR"/>
              </w:rPr>
              <w:t xml:space="preserve"> ITU-T </w:t>
            </w:r>
            <w:r w:rsidR="001604A8" w:rsidRPr="001604A8">
              <w:rPr>
                <w:rFonts w:eastAsia="Times New Roman"/>
                <w:b/>
                <w:bCs/>
                <w:szCs w:val="24"/>
                <w:lang w:val="fr-CH"/>
              </w:rPr>
              <w:t>Y.4496 (ex Y.RA-PHE)</w:t>
            </w:r>
          </w:p>
        </w:tc>
        <w:tc>
          <w:tcPr>
            <w:tcW w:w="7634" w:type="dxa"/>
            <w:shd w:val="clear" w:color="auto" w:fill="auto"/>
            <w:vAlign w:val="center"/>
          </w:tcPr>
          <w:p w14:paraId="5F164214" w14:textId="77777777" w:rsidR="0054116D" w:rsidRPr="001604A8" w:rsidRDefault="0054116D" w:rsidP="005A602F">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73F1E83B"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22672003"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54116D" w:rsidRPr="001604A8" w14:paraId="6343ECB1" w14:textId="77777777" w:rsidTr="005A602F">
        <w:trPr>
          <w:trHeight w:val="747"/>
        </w:trPr>
        <w:tc>
          <w:tcPr>
            <w:tcW w:w="2085" w:type="dxa"/>
            <w:vMerge/>
            <w:shd w:val="clear" w:color="auto" w:fill="auto"/>
            <w:vAlign w:val="center"/>
          </w:tcPr>
          <w:p w14:paraId="6C24CC4E" w14:textId="77777777" w:rsidR="0054116D" w:rsidRPr="001604A8"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5ABEC2CC" w14:textId="77777777" w:rsidR="0054116D" w:rsidRPr="001604A8"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r w:rsidR="0054116D" w:rsidRPr="001604A8" w14:paraId="411372D3" w14:textId="77777777" w:rsidTr="005A602F">
        <w:trPr>
          <w:trHeight w:val="748"/>
        </w:trPr>
        <w:tc>
          <w:tcPr>
            <w:tcW w:w="2085" w:type="dxa"/>
            <w:vMerge w:val="restart"/>
            <w:shd w:val="clear" w:color="auto" w:fill="auto"/>
            <w:vAlign w:val="center"/>
          </w:tcPr>
          <w:p w14:paraId="6643C398" w14:textId="6D9E0FFD" w:rsidR="0054116D" w:rsidRPr="001604A8" w:rsidRDefault="0054116D" w:rsidP="005A602F">
            <w:pPr>
              <w:spacing w:before="60" w:after="60"/>
              <w:jc w:val="center"/>
              <w:rPr>
                <w:rFonts w:eastAsia="Times New Roman"/>
                <w:b/>
                <w:bCs/>
                <w:szCs w:val="24"/>
                <w:lang w:val="fr-CH"/>
              </w:rPr>
            </w:pPr>
            <w:r w:rsidRPr="001604A8">
              <w:rPr>
                <w:rFonts w:eastAsia="Times New Roman"/>
                <w:b/>
                <w:bCs/>
                <w:szCs w:val="24"/>
                <w:lang w:val="fr-FR"/>
              </w:rPr>
              <w:t xml:space="preserve">Draft new </w:t>
            </w:r>
            <w:proofErr w:type="spellStart"/>
            <w:r w:rsidRPr="001604A8">
              <w:rPr>
                <w:rFonts w:eastAsia="Times New Roman"/>
                <w:b/>
                <w:bCs/>
                <w:szCs w:val="24"/>
                <w:lang w:val="fr-FR"/>
              </w:rPr>
              <w:t>Recommendation</w:t>
            </w:r>
            <w:proofErr w:type="spellEnd"/>
            <w:r w:rsidRPr="001604A8">
              <w:rPr>
                <w:rFonts w:eastAsia="Times New Roman"/>
                <w:b/>
                <w:bCs/>
                <w:szCs w:val="24"/>
                <w:lang w:val="fr-FR"/>
              </w:rPr>
              <w:t xml:space="preserve"> ITU-T </w:t>
            </w:r>
            <w:r w:rsidR="001604A8" w:rsidRPr="001604A8">
              <w:rPr>
                <w:rFonts w:eastAsia="Times New Roman"/>
                <w:b/>
                <w:bCs/>
                <w:szCs w:val="24"/>
                <w:lang w:val="fr-CH"/>
              </w:rPr>
              <w:t xml:space="preserve">Y.4497 (ex </w:t>
            </w:r>
            <w:proofErr w:type="spellStart"/>
            <w:proofErr w:type="gramStart"/>
            <w:r w:rsidR="001604A8" w:rsidRPr="001604A8">
              <w:rPr>
                <w:rFonts w:eastAsia="Times New Roman"/>
                <w:b/>
                <w:bCs/>
                <w:szCs w:val="24"/>
                <w:lang w:val="fr-CH"/>
              </w:rPr>
              <w:t>Y.Smart</w:t>
            </w:r>
            <w:proofErr w:type="spellEnd"/>
            <w:proofErr w:type="gramEnd"/>
            <w:r w:rsidR="001604A8" w:rsidRPr="001604A8">
              <w:rPr>
                <w:rFonts w:eastAsia="Times New Roman"/>
                <w:b/>
                <w:bCs/>
                <w:szCs w:val="24"/>
                <w:lang w:val="fr-CH"/>
              </w:rPr>
              <w:t>-SBS)</w:t>
            </w:r>
          </w:p>
        </w:tc>
        <w:tc>
          <w:tcPr>
            <w:tcW w:w="7634" w:type="dxa"/>
            <w:shd w:val="clear" w:color="auto" w:fill="auto"/>
            <w:vAlign w:val="center"/>
          </w:tcPr>
          <w:p w14:paraId="50B38671" w14:textId="77777777" w:rsidR="0054116D" w:rsidRPr="001604A8" w:rsidRDefault="0054116D" w:rsidP="005A602F">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1239904B"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45614EA9"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54116D" w:rsidRPr="001604A8" w14:paraId="02410F5F" w14:textId="77777777" w:rsidTr="005A602F">
        <w:trPr>
          <w:trHeight w:val="747"/>
        </w:trPr>
        <w:tc>
          <w:tcPr>
            <w:tcW w:w="2085" w:type="dxa"/>
            <w:vMerge/>
            <w:shd w:val="clear" w:color="auto" w:fill="auto"/>
            <w:vAlign w:val="center"/>
          </w:tcPr>
          <w:p w14:paraId="2228E2CB" w14:textId="77777777" w:rsidR="0054116D" w:rsidRPr="001604A8"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15914CEE" w14:textId="77777777" w:rsidR="0054116D" w:rsidRPr="001604A8"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r w:rsidR="0054116D" w:rsidRPr="001604A8" w14:paraId="50178496" w14:textId="77777777" w:rsidTr="005A602F">
        <w:trPr>
          <w:trHeight w:val="748"/>
        </w:trPr>
        <w:tc>
          <w:tcPr>
            <w:tcW w:w="2085" w:type="dxa"/>
            <w:vMerge w:val="restart"/>
            <w:shd w:val="clear" w:color="auto" w:fill="auto"/>
            <w:vAlign w:val="center"/>
          </w:tcPr>
          <w:p w14:paraId="14C74E49" w14:textId="72C4DD3D" w:rsidR="0054116D" w:rsidRPr="001604A8" w:rsidRDefault="0054116D" w:rsidP="005A602F">
            <w:pPr>
              <w:spacing w:before="60" w:after="60"/>
              <w:jc w:val="center"/>
              <w:rPr>
                <w:rFonts w:eastAsia="Times New Roman"/>
                <w:b/>
                <w:bCs/>
                <w:szCs w:val="24"/>
                <w:lang w:val="fr-CH"/>
              </w:rPr>
            </w:pPr>
            <w:r w:rsidRPr="001604A8">
              <w:rPr>
                <w:rFonts w:eastAsia="Times New Roman"/>
                <w:b/>
                <w:bCs/>
                <w:szCs w:val="24"/>
                <w:lang w:val="fr-FR"/>
              </w:rPr>
              <w:t xml:space="preserve">Draft new </w:t>
            </w:r>
            <w:proofErr w:type="spellStart"/>
            <w:r w:rsidRPr="001604A8">
              <w:rPr>
                <w:rFonts w:eastAsia="Times New Roman"/>
                <w:b/>
                <w:bCs/>
                <w:szCs w:val="24"/>
                <w:lang w:val="fr-FR"/>
              </w:rPr>
              <w:t>Recommendation</w:t>
            </w:r>
            <w:proofErr w:type="spellEnd"/>
            <w:r w:rsidRPr="001604A8">
              <w:rPr>
                <w:rFonts w:eastAsia="Times New Roman"/>
                <w:b/>
                <w:bCs/>
                <w:szCs w:val="24"/>
                <w:lang w:val="fr-FR"/>
              </w:rPr>
              <w:t xml:space="preserve"> ITU-T </w:t>
            </w:r>
            <w:r w:rsidR="001604A8" w:rsidRPr="001604A8">
              <w:rPr>
                <w:rFonts w:eastAsia="Times New Roman"/>
                <w:b/>
                <w:bCs/>
                <w:szCs w:val="24"/>
              </w:rPr>
              <w:t xml:space="preserve">Y.4498 (ex </w:t>
            </w:r>
            <w:proofErr w:type="spellStart"/>
            <w:proofErr w:type="gramStart"/>
            <w:r w:rsidR="001604A8" w:rsidRPr="001604A8">
              <w:rPr>
                <w:rFonts w:eastAsia="Times New Roman"/>
                <w:b/>
                <w:bCs/>
                <w:szCs w:val="24"/>
              </w:rPr>
              <w:t>Y.energy</w:t>
            </w:r>
            <w:proofErr w:type="spellEnd"/>
            <w:proofErr w:type="gramEnd"/>
            <w:r w:rsidR="001604A8" w:rsidRPr="001604A8">
              <w:rPr>
                <w:rFonts w:eastAsia="Times New Roman"/>
                <w:b/>
                <w:bCs/>
                <w:szCs w:val="24"/>
              </w:rPr>
              <w:t>-data)</w:t>
            </w:r>
          </w:p>
        </w:tc>
        <w:tc>
          <w:tcPr>
            <w:tcW w:w="7634" w:type="dxa"/>
            <w:shd w:val="clear" w:color="auto" w:fill="auto"/>
            <w:vAlign w:val="center"/>
          </w:tcPr>
          <w:p w14:paraId="3D12FF8A" w14:textId="77777777" w:rsidR="0054116D" w:rsidRPr="001604A8" w:rsidRDefault="0054116D" w:rsidP="005A602F">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1CE233BE"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2CE7B500" w14:textId="77777777" w:rsidR="0054116D" w:rsidRPr="001604A8" w:rsidRDefault="0054116D" w:rsidP="005A602F">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54116D" w:rsidRPr="001604A8" w14:paraId="37472D94" w14:textId="77777777" w:rsidTr="005A602F">
        <w:trPr>
          <w:trHeight w:val="747"/>
        </w:trPr>
        <w:tc>
          <w:tcPr>
            <w:tcW w:w="2085" w:type="dxa"/>
            <w:vMerge/>
            <w:shd w:val="clear" w:color="auto" w:fill="auto"/>
            <w:vAlign w:val="center"/>
          </w:tcPr>
          <w:p w14:paraId="31464230" w14:textId="77777777" w:rsidR="0054116D" w:rsidRPr="001604A8"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6F660127" w14:textId="77777777" w:rsidR="0054116D" w:rsidRPr="001604A8"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r w:rsidR="001604A8" w:rsidRPr="001604A8" w14:paraId="4CD61FE9" w14:textId="77777777" w:rsidTr="00640E1B">
        <w:trPr>
          <w:trHeight w:val="748"/>
        </w:trPr>
        <w:tc>
          <w:tcPr>
            <w:tcW w:w="2085" w:type="dxa"/>
            <w:vMerge w:val="restart"/>
            <w:shd w:val="clear" w:color="auto" w:fill="auto"/>
            <w:vAlign w:val="center"/>
          </w:tcPr>
          <w:p w14:paraId="51FDCE1D" w14:textId="672C32EF" w:rsidR="001604A8" w:rsidRPr="001604A8" w:rsidRDefault="001604A8" w:rsidP="00640E1B">
            <w:pPr>
              <w:spacing w:before="60" w:after="60"/>
              <w:jc w:val="center"/>
              <w:rPr>
                <w:rFonts w:eastAsia="Times New Roman"/>
                <w:b/>
                <w:bCs/>
                <w:szCs w:val="24"/>
                <w:lang w:val="fr-CH"/>
              </w:rPr>
            </w:pPr>
            <w:r w:rsidRPr="001604A8">
              <w:rPr>
                <w:rFonts w:eastAsia="Times New Roman"/>
                <w:b/>
                <w:bCs/>
                <w:szCs w:val="24"/>
                <w:lang w:val="fr-FR"/>
              </w:rPr>
              <w:t xml:space="preserve">Draft new </w:t>
            </w:r>
            <w:proofErr w:type="spellStart"/>
            <w:r w:rsidRPr="001604A8">
              <w:rPr>
                <w:rFonts w:eastAsia="Times New Roman"/>
                <w:b/>
                <w:bCs/>
                <w:szCs w:val="24"/>
                <w:lang w:val="fr-FR"/>
              </w:rPr>
              <w:t>Recommendation</w:t>
            </w:r>
            <w:proofErr w:type="spellEnd"/>
            <w:r w:rsidRPr="001604A8">
              <w:rPr>
                <w:rFonts w:eastAsia="Times New Roman"/>
                <w:b/>
                <w:bCs/>
                <w:szCs w:val="24"/>
                <w:lang w:val="fr-FR"/>
              </w:rPr>
              <w:t xml:space="preserve"> ITU-T </w:t>
            </w:r>
            <w:r w:rsidRPr="001604A8">
              <w:rPr>
                <w:rFonts w:eastAsia="Times New Roman"/>
                <w:b/>
                <w:bCs/>
                <w:szCs w:val="24"/>
              </w:rPr>
              <w:t>Y.4499 (ex Y.UIM-cs-framework)</w:t>
            </w:r>
          </w:p>
        </w:tc>
        <w:tc>
          <w:tcPr>
            <w:tcW w:w="7634" w:type="dxa"/>
            <w:shd w:val="clear" w:color="auto" w:fill="auto"/>
            <w:vAlign w:val="center"/>
          </w:tcPr>
          <w:p w14:paraId="10D9121E" w14:textId="77777777" w:rsidR="001604A8" w:rsidRPr="001604A8" w:rsidRDefault="001604A8" w:rsidP="00640E1B">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7298CBBB" w14:textId="77777777" w:rsidR="001604A8" w:rsidRPr="001604A8" w:rsidRDefault="001604A8" w:rsidP="00640E1B">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6ACCC608" w14:textId="77777777" w:rsidR="001604A8" w:rsidRPr="001604A8" w:rsidRDefault="001604A8" w:rsidP="00640E1B">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1604A8" w:rsidRPr="001604A8" w14:paraId="73CF27CA" w14:textId="77777777" w:rsidTr="00640E1B">
        <w:trPr>
          <w:trHeight w:val="747"/>
        </w:trPr>
        <w:tc>
          <w:tcPr>
            <w:tcW w:w="2085" w:type="dxa"/>
            <w:vMerge/>
            <w:shd w:val="clear" w:color="auto" w:fill="auto"/>
            <w:vAlign w:val="center"/>
          </w:tcPr>
          <w:p w14:paraId="4D9302FD" w14:textId="77777777" w:rsidR="001604A8" w:rsidRPr="001604A8" w:rsidRDefault="001604A8" w:rsidP="00640E1B">
            <w:pPr>
              <w:spacing w:before="60" w:after="60"/>
              <w:jc w:val="center"/>
              <w:rPr>
                <w:rFonts w:eastAsia="Times New Roman"/>
                <w:b/>
                <w:bCs/>
                <w:szCs w:val="24"/>
                <w:lang w:val="en-US"/>
              </w:rPr>
            </w:pPr>
          </w:p>
        </w:tc>
        <w:tc>
          <w:tcPr>
            <w:tcW w:w="7634" w:type="dxa"/>
            <w:shd w:val="clear" w:color="auto" w:fill="auto"/>
            <w:vAlign w:val="center"/>
          </w:tcPr>
          <w:p w14:paraId="1BE6797B" w14:textId="77777777" w:rsidR="001604A8" w:rsidRPr="001604A8" w:rsidRDefault="001604A8" w:rsidP="00640E1B">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r w:rsidR="001604A8" w:rsidRPr="001604A8" w14:paraId="05CB8712" w14:textId="77777777" w:rsidTr="00640E1B">
        <w:trPr>
          <w:trHeight w:val="748"/>
        </w:trPr>
        <w:tc>
          <w:tcPr>
            <w:tcW w:w="2085" w:type="dxa"/>
            <w:vMerge w:val="restart"/>
            <w:shd w:val="clear" w:color="auto" w:fill="auto"/>
            <w:vAlign w:val="center"/>
          </w:tcPr>
          <w:p w14:paraId="4249447D" w14:textId="41620A48" w:rsidR="001604A8" w:rsidRPr="001604A8" w:rsidRDefault="001604A8" w:rsidP="00640E1B">
            <w:pPr>
              <w:spacing w:before="60" w:after="60"/>
              <w:jc w:val="center"/>
              <w:rPr>
                <w:rFonts w:eastAsia="Times New Roman"/>
                <w:b/>
                <w:bCs/>
                <w:szCs w:val="24"/>
                <w:lang w:val="fr-CH"/>
              </w:rPr>
            </w:pPr>
            <w:r w:rsidRPr="001604A8">
              <w:rPr>
                <w:rFonts w:eastAsia="Times New Roman"/>
                <w:b/>
                <w:bCs/>
                <w:szCs w:val="24"/>
                <w:lang w:val="fr-FR"/>
              </w:rPr>
              <w:t xml:space="preserve">Draft new </w:t>
            </w:r>
            <w:proofErr w:type="spellStart"/>
            <w:r w:rsidRPr="001604A8">
              <w:rPr>
                <w:rFonts w:eastAsia="Times New Roman"/>
                <w:b/>
                <w:bCs/>
                <w:szCs w:val="24"/>
                <w:lang w:val="fr-FR"/>
              </w:rPr>
              <w:t>Recommendation</w:t>
            </w:r>
            <w:proofErr w:type="spellEnd"/>
            <w:r w:rsidRPr="001604A8">
              <w:rPr>
                <w:rFonts w:eastAsia="Times New Roman"/>
                <w:b/>
                <w:bCs/>
                <w:szCs w:val="24"/>
                <w:lang w:val="fr-FR"/>
              </w:rPr>
              <w:t xml:space="preserve"> ITU-T </w:t>
            </w:r>
            <w:r w:rsidRPr="0067278D">
              <w:rPr>
                <w:rFonts w:eastAsia="Times New Roman"/>
                <w:b/>
                <w:bCs/>
                <w:szCs w:val="24"/>
                <w:lang w:val="fr-CH"/>
              </w:rPr>
              <w:t xml:space="preserve">Y.4488 (ex </w:t>
            </w:r>
            <w:proofErr w:type="spellStart"/>
            <w:proofErr w:type="gramStart"/>
            <w:r w:rsidRPr="0067278D">
              <w:rPr>
                <w:rFonts w:eastAsia="Times New Roman"/>
                <w:b/>
                <w:bCs/>
                <w:szCs w:val="24"/>
                <w:lang w:val="fr-CH"/>
              </w:rPr>
              <w:t>Y.IoT</w:t>
            </w:r>
            <w:proofErr w:type="spellEnd"/>
            <w:proofErr w:type="gramEnd"/>
            <w:r w:rsidRPr="0067278D">
              <w:rPr>
                <w:rFonts w:eastAsia="Times New Roman"/>
                <w:b/>
                <w:bCs/>
                <w:szCs w:val="24"/>
                <w:lang w:val="fr-CH"/>
              </w:rPr>
              <w:t>-SPWE)</w:t>
            </w:r>
          </w:p>
        </w:tc>
        <w:tc>
          <w:tcPr>
            <w:tcW w:w="7634" w:type="dxa"/>
            <w:shd w:val="clear" w:color="auto" w:fill="auto"/>
            <w:vAlign w:val="center"/>
          </w:tcPr>
          <w:p w14:paraId="0FD559F6" w14:textId="77777777" w:rsidR="001604A8" w:rsidRPr="001604A8" w:rsidRDefault="001604A8" w:rsidP="00640E1B">
            <w:pPr>
              <w:tabs>
                <w:tab w:val="clear" w:pos="794"/>
                <w:tab w:val="clear" w:pos="1191"/>
                <w:tab w:val="clear" w:pos="1588"/>
                <w:tab w:val="clear" w:pos="1985"/>
              </w:tabs>
              <w:spacing w:before="60" w:after="60"/>
              <w:ind w:left="459" w:hanging="459"/>
              <w:rPr>
                <w:rFonts w:eastAsia="Times New Roman"/>
                <w:szCs w:val="24"/>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0"/>
              </w:rPr>
              <w:tab/>
            </w:r>
            <w:r w:rsidRPr="001604A8">
              <w:rPr>
                <w:rFonts w:eastAsia="Times New Roman"/>
                <w:b/>
                <w:bCs/>
                <w:szCs w:val="24"/>
              </w:rPr>
              <w:t>assigns authority</w:t>
            </w:r>
            <w:r w:rsidRPr="001604A8">
              <w:rPr>
                <w:rFonts w:eastAsia="Times New Roman"/>
                <w:szCs w:val="24"/>
              </w:rPr>
              <w:t xml:space="preserve"> to Study Group 20 to consider this text for approval (in which case, select one of the two options </w:t>
            </w:r>
            <w:r w:rsidRPr="001604A8">
              <w:rPr>
                <w:rFonts w:eastAsia="Times New Roman"/>
                <w:sz w:val="20"/>
              </w:rPr>
              <w:t>⃝</w:t>
            </w:r>
            <w:r w:rsidRPr="001604A8">
              <w:rPr>
                <w:rFonts w:eastAsia="Times New Roman"/>
                <w:szCs w:val="24"/>
              </w:rPr>
              <w:t>):</w:t>
            </w:r>
          </w:p>
          <w:p w14:paraId="06E8F116" w14:textId="77777777" w:rsidR="001604A8" w:rsidRPr="001604A8" w:rsidRDefault="001604A8" w:rsidP="00640E1B">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No comments or suggested changes</w:t>
            </w:r>
          </w:p>
          <w:p w14:paraId="31758DBE" w14:textId="77777777" w:rsidR="001604A8" w:rsidRPr="001604A8" w:rsidRDefault="001604A8" w:rsidP="00640E1B">
            <w:pPr>
              <w:tabs>
                <w:tab w:val="clear" w:pos="794"/>
                <w:tab w:val="clear" w:pos="1191"/>
                <w:tab w:val="clear" w:pos="1588"/>
                <w:tab w:val="clear" w:pos="1985"/>
              </w:tabs>
              <w:spacing w:before="60" w:after="60"/>
              <w:ind w:left="939" w:hanging="459"/>
              <w:rPr>
                <w:rFonts w:eastAsia="Times New Roman"/>
                <w:szCs w:val="24"/>
              </w:rPr>
            </w:pPr>
            <w:r w:rsidRPr="001604A8">
              <w:rPr>
                <w:rFonts w:eastAsia="Times New Roman"/>
                <w:sz w:val="20"/>
              </w:rPr>
              <w:t>⃝</w:t>
            </w:r>
            <w:r w:rsidRPr="001604A8">
              <w:rPr>
                <w:rFonts w:eastAsia="Times New Roman"/>
                <w:sz w:val="20"/>
              </w:rPr>
              <w:tab/>
            </w:r>
            <w:r w:rsidRPr="001604A8">
              <w:rPr>
                <w:rFonts w:eastAsia="Times New Roman"/>
                <w:szCs w:val="24"/>
              </w:rPr>
              <w:t>Comments and suggested changes are attached</w:t>
            </w:r>
          </w:p>
        </w:tc>
      </w:tr>
      <w:tr w:rsidR="001604A8" w:rsidRPr="001604A8" w14:paraId="487E9204" w14:textId="77777777" w:rsidTr="00640E1B">
        <w:trPr>
          <w:trHeight w:val="747"/>
        </w:trPr>
        <w:tc>
          <w:tcPr>
            <w:tcW w:w="2085" w:type="dxa"/>
            <w:vMerge/>
            <w:shd w:val="clear" w:color="auto" w:fill="auto"/>
            <w:vAlign w:val="center"/>
          </w:tcPr>
          <w:p w14:paraId="6C09773B" w14:textId="77777777" w:rsidR="001604A8" w:rsidRPr="001604A8" w:rsidRDefault="001604A8" w:rsidP="00640E1B">
            <w:pPr>
              <w:spacing w:before="60" w:after="60"/>
              <w:jc w:val="center"/>
              <w:rPr>
                <w:rFonts w:eastAsia="Times New Roman"/>
                <w:b/>
                <w:bCs/>
                <w:szCs w:val="24"/>
                <w:lang w:val="en-US"/>
              </w:rPr>
            </w:pPr>
          </w:p>
        </w:tc>
        <w:tc>
          <w:tcPr>
            <w:tcW w:w="7634" w:type="dxa"/>
            <w:shd w:val="clear" w:color="auto" w:fill="auto"/>
            <w:vAlign w:val="center"/>
          </w:tcPr>
          <w:p w14:paraId="42300D64" w14:textId="77777777" w:rsidR="001604A8" w:rsidRPr="001604A8" w:rsidRDefault="001604A8" w:rsidP="00640E1B">
            <w:pPr>
              <w:tabs>
                <w:tab w:val="clear" w:pos="794"/>
                <w:tab w:val="clear" w:pos="1191"/>
                <w:tab w:val="clear" w:pos="1588"/>
                <w:tab w:val="clear" w:pos="1985"/>
                <w:tab w:val="left" w:pos="250"/>
              </w:tabs>
              <w:spacing w:before="60" w:after="60"/>
              <w:ind w:left="459" w:hanging="459"/>
              <w:rPr>
                <w:rFonts w:eastAsia="Times New Roman"/>
                <w:sz w:val="20"/>
              </w:rPr>
            </w:pPr>
            <w:r w:rsidRPr="001604A8">
              <w:rPr>
                <w:rFonts w:eastAsia="Times New Roman"/>
                <w:sz w:val="22"/>
                <w:szCs w:val="22"/>
              </w:rPr>
              <w:fldChar w:fldCharType="begin">
                <w:ffData>
                  <w:name w:val="Check1"/>
                  <w:enabled/>
                  <w:calcOnExit w:val="0"/>
                  <w:checkBox>
                    <w:sizeAuto/>
                    <w:default w:val="0"/>
                  </w:checkBox>
                </w:ffData>
              </w:fldChar>
            </w:r>
            <w:r w:rsidRPr="001604A8">
              <w:rPr>
                <w:rFonts w:eastAsia="Times New Roman"/>
                <w:sz w:val="22"/>
                <w:szCs w:val="22"/>
              </w:rPr>
              <w:instrText xml:space="preserve"> FORMCHECKBOX </w:instrText>
            </w:r>
            <w:r w:rsidR="005B7569">
              <w:rPr>
                <w:rFonts w:eastAsia="Times New Roman"/>
                <w:sz w:val="22"/>
                <w:szCs w:val="22"/>
              </w:rPr>
            </w:r>
            <w:r w:rsidR="005B7569">
              <w:rPr>
                <w:rFonts w:eastAsia="Times New Roman"/>
                <w:sz w:val="22"/>
                <w:szCs w:val="22"/>
              </w:rPr>
              <w:fldChar w:fldCharType="separate"/>
            </w:r>
            <w:r w:rsidRPr="001604A8">
              <w:rPr>
                <w:rFonts w:eastAsia="Times New Roman"/>
                <w:sz w:val="22"/>
                <w:szCs w:val="22"/>
              </w:rPr>
              <w:fldChar w:fldCharType="end"/>
            </w:r>
            <w:r w:rsidRPr="001604A8">
              <w:rPr>
                <w:rFonts w:eastAsia="Times New Roman"/>
                <w:sz w:val="22"/>
                <w:szCs w:val="22"/>
              </w:rPr>
              <w:tab/>
            </w:r>
            <w:r w:rsidRPr="001604A8">
              <w:rPr>
                <w:rFonts w:eastAsia="Times New Roman"/>
                <w:b/>
                <w:bCs/>
                <w:szCs w:val="24"/>
              </w:rPr>
              <w:t>does not assign authority</w:t>
            </w:r>
            <w:r w:rsidRPr="001604A8">
              <w:rPr>
                <w:rFonts w:eastAsia="Times New Roman"/>
                <w:szCs w:val="24"/>
              </w:rPr>
              <w:t xml:space="preserve"> to Study Group 20 to consider this text for approval (</w:t>
            </w:r>
            <w:r w:rsidRPr="001604A8">
              <w:rPr>
                <w:rFonts w:eastAsia="Times New Roman"/>
                <w:szCs w:val="22"/>
              </w:rPr>
              <w:t>reasons for this opinion and an outline of possible changes that would enable the work to progress are attached)</w:t>
            </w:r>
          </w:p>
        </w:tc>
      </w:tr>
    </w:tbl>
    <w:p w14:paraId="30B7FC77" w14:textId="77777777" w:rsidR="00B60460" w:rsidRPr="001604A8" w:rsidRDefault="00B60460" w:rsidP="00B60460">
      <w:pPr>
        <w:spacing w:before="0"/>
        <w:rPr>
          <w:rFonts w:eastAsia="Times New Roman"/>
        </w:rPr>
      </w:pPr>
      <w:r w:rsidRPr="001604A8">
        <w:rPr>
          <w:rFonts w:eastAsia="Times New Roman"/>
        </w:rPr>
        <w:t>Yours faithfully,</w:t>
      </w:r>
    </w:p>
    <w:p w14:paraId="195479E2" w14:textId="77777777" w:rsidR="00B60460" w:rsidRPr="001604A8" w:rsidRDefault="00B60460" w:rsidP="00B60460">
      <w:pPr>
        <w:rPr>
          <w:rFonts w:eastAsia="Times New Roman"/>
          <w:szCs w:val="24"/>
        </w:rPr>
      </w:pPr>
      <w:r w:rsidRPr="001604A8">
        <w:rPr>
          <w:rFonts w:eastAsia="Times New Roman"/>
          <w:szCs w:val="24"/>
        </w:rPr>
        <w:t>[Name]</w:t>
      </w:r>
    </w:p>
    <w:p w14:paraId="58D48AB2" w14:textId="77777777" w:rsidR="00B60460" w:rsidRPr="001604A8" w:rsidRDefault="00B60460" w:rsidP="00B60460">
      <w:pPr>
        <w:rPr>
          <w:rFonts w:eastAsia="Times New Roman"/>
          <w:szCs w:val="24"/>
        </w:rPr>
      </w:pPr>
      <w:r w:rsidRPr="001604A8">
        <w:rPr>
          <w:rFonts w:eastAsia="Times New Roman"/>
          <w:szCs w:val="24"/>
        </w:rPr>
        <w:t>[Official role/title]</w:t>
      </w:r>
    </w:p>
    <w:p w14:paraId="6CD9C652" w14:textId="77777777" w:rsidR="00B60460" w:rsidRPr="001604A8" w:rsidRDefault="00B60460" w:rsidP="00B60460">
      <w:pPr>
        <w:rPr>
          <w:rFonts w:eastAsia="Times New Roman"/>
          <w:szCs w:val="24"/>
        </w:rPr>
      </w:pPr>
      <w:r w:rsidRPr="001604A8">
        <w:rPr>
          <w:rFonts w:eastAsia="Times New Roman"/>
          <w:szCs w:val="24"/>
        </w:rPr>
        <w:t>Administration of [Member State]</w:t>
      </w:r>
    </w:p>
    <w:p w14:paraId="4EE98D43" w14:textId="36CE38AE" w:rsidR="00B60460" w:rsidRPr="00042225" w:rsidRDefault="00B60460" w:rsidP="009A48C0">
      <w:pPr>
        <w:jc w:val="center"/>
        <w:rPr>
          <w:rFonts w:cs="Calibri"/>
          <w:sz w:val="22"/>
          <w:szCs w:val="22"/>
        </w:rPr>
      </w:pPr>
      <w:r w:rsidRPr="001604A8">
        <w:rPr>
          <w:rFonts w:eastAsia="Times New Roman"/>
        </w:rPr>
        <w:t>___________</w:t>
      </w:r>
    </w:p>
    <w:sectPr w:rsidR="00B60460" w:rsidRPr="00042225" w:rsidSect="00FA46A0">
      <w:headerReference w:type="default" r:id="rId22"/>
      <w:footerReference w:type="first" r:id="rId2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6B0D" w14:textId="77777777" w:rsidR="003C7446" w:rsidRDefault="003C7446">
      <w:r>
        <w:separator/>
      </w:r>
    </w:p>
  </w:endnote>
  <w:endnote w:type="continuationSeparator" w:id="0">
    <w:p w14:paraId="390380D9" w14:textId="77777777" w:rsidR="003C7446" w:rsidRDefault="003C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BD1" w14:textId="77777777" w:rsidR="003C7446" w:rsidRDefault="003C7446">
      <w:r>
        <w:t>____________________</w:t>
      </w:r>
    </w:p>
  </w:footnote>
  <w:footnote w:type="continuationSeparator" w:id="0">
    <w:p w14:paraId="217AB9B7" w14:textId="77777777" w:rsidR="003C7446" w:rsidRDefault="003C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639FE3B2"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3212A7" w:rsidRPr="003212A7">
      <w:rPr>
        <w:noProof/>
      </w:rPr>
      <w:t>TSB Circular</w:t>
    </w:r>
    <w:r w:rsidR="009A48C0">
      <w:rPr>
        <w:noProof/>
      </w:rPr>
      <w:t xml:space="preserve"> 162</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2807">
    <w:abstractNumId w:val="9"/>
  </w:num>
  <w:num w:numId="2" w16cid:durableId="1151946096">
    <w:abstractNumId w:val="7"/>
  </w:num>
  <w:num w:numId="3" w16cid:durableId="1161114181">
    <w:abstractNumId w:val="6"/>
  </w:num>
  <w:num w:numId="4" w16cid:durableId="1680883768">
    <w:abstractNumId w:val="5"/>
  </w:num>
  <w:num w:numId="5" w16cid:durableId="560822676">
    <w:abstractNumId w:val="4"/>
  </w:num>
  <w:num w:numId="6" w16cid:durableId="1006789791">
    <w:abstractNumId w:val="8"/>
  </w:num>
  <w:num w:numId="7" w16cid:durableId="1045180611">
    <w:abstractNumId w:val="3"/>
  </w:num>
  <w:num w:numId="8" w16cid:durableId="38361560">
    <w:abstractNumId w:val="2"/>
  </w:num>
  <w:num w:numId="9" w16cid:durableId="1573587868">
    <w:abstractNumId w:val="1"/>
  </w:num>
  <w:num w:numId="10" w16cid:durableId="2141730466">
    <w:abstractNumId w:val="0"/>
  </w:num>
  <w:num w:numId="11" w16cid:durableId="1577783453">
    <w:abstractNumId w:val="11"/>
  </w:num>
  <w:num w:numId="12" w16cid:durableId="789200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12BB7"/>
    <w:rsid w:val="00013325"/>
    <w:rsid w:val="00022E6B"/>
    <w:rsid w:val="0002793D"/>
    <w:rsid w:val="00042225"/>
    <w:rsid w:val="00052293"/>
    <w:rsid w:val="00060B63"/>
    <w:rsid w:val="00061C09"/>
    <w:rsid w:val="00063A32"/>
    <w:rsid w:val="00074A0E"/>
    <w:rsid w:val="00082D5E"/>
    <w:rsid w:val="0008374E"/>
    <w:rsid w:val="00086F4E"/>
    <w:rsid w:val="000A2044"/>
    <w:rsid w:val="000B15C8"/>
    <w:rsid w:val="000B615A"/>
    <w:rsid w:val="000C04A5"/>
    <w:rsid w:val="000F1844"/>
    <w:rsid w:val="000F4CAB"/>
    <w:rsid w:val="001018E1"/>
    <w:rsid w:val="00112F37"/>
    <w:rsid w:val="0012501E"/>
    <w:rsid w:val="001422BB"/>
    <w:rsid w:val="001440D7"/>
    <w:rsid w:val="0015654A"/>
    <w:rsid w:val="00156D55"/>
    <w:rsid w:val="001604A8"/>
    <w:rsid w:val="00172D0A"/>
    <w:rsid w:val="001A34EC"/>
    <w:rsid w:val="001C580D"/>
    <w:rsid w:val="001C6A78"/>
    <w:rsid w:val="001F1202"/>
    <w:rsid w:val="001F5F48"/>
    <w:rsid w:val="00204C6F"/>
    <w:rsid w:val="00213252"/>
    <w:rsid w:val="00230AEA"/>
    <w:rsid w:val="00232F01"/>
    <w:rsid w:val="00236CF5"/>
    <w:rsid w:val="00237686"/>
    <w:rsid w:val="00242718"/>
    <w:rsid w:val="0024614D"/>
    <w:rsid w:val="00246730"/>
    <w:rsid w:val="00256582"/>
    <w:rsid w:val="00262C6E"/>
    <w:rsid w:val="0027218A"/>
    <w:rsid w:val="002722B2"/>
    <w:rsid w:val="00280863"/>
    <w:rsid w:val="002A0ACF"/>
    <w:rsid w:val="002A7B41"/>
    <w:rsid w:val="002D65F7"/>
    <w:rsid w:val="002D69A3"/>
    <w:rsid w:val="002E064A"/>
    <w:rsid w:val="00302517"/>
    <w:rsid w:val="0031216D"/>
    <w:rsid w:val="003212A7"/>
    <w:rsid w:val="00324EAC"/>
    <w:rsid w:val="003301F6"/>
    <w:rsid w:val="003504F4"/>
    <w:rsid w:val="00352722"/>
    <w:rsid w:val="00352AC7"/>
    <w:rsid w:val="00356B73"/>
    <w:rsid w:val="003746A5"/>
    <w:rsid w:val="0039147E"/>
    <w:rsid w:val="003A6B5E"/>
    <w:rsid w:val="003B4ECB"/>
    <w:rsid w:val="003C20A2"/>
    <w:rsid w:val="003C3E2D"/>
    <w:rsid w:val="003C7446"/>
    <w:rsid w:val="003D4690"/>
    <w:rsid w:val="003E62FA"/>
    <w:rsid w:val="003F0E6C"/>
    <w:rsid w:val="003F6436"/>
    <w:rsid w:val="0040760F"/>
    <w:rsid w:val="00413868"/>
    <w:rsid w:val="004220C1"/>
    <w:rsid w:val="004245E2"/>
    <w:rsid w:val="0043409A"/>
    <w:rsid w:val="00437A87"/>
    <w:rsid w:val="00442FAB"/>
    <w:rsid w:val="00453CEA"/>
    <w:rsid w:val="00477CBA"/>
    <w:rsid w:val="00487330"/>
    <w:rsid w:val="00497010"/>
    <w:rsid w:val="004A5C4E"/>
    <w:rsid w:val="004B1816"/>
    <w:rsid w:val="004E2EF1"/>
    <w:rsid w:val="004F0197"/>
    <w:rsid w:val="00500E42"/>
    <w:rsid w:val="00503ADB"/>
    <w:rsid w:val="005056AB"/>
    <w:rsid w:val="00531E25"/>
    <w:rsid w:val="0054019D"/>
    <w:rsid w:val="0054116D"/>
    <w:rsid w:val="00554B6D"/>
    <w:rsid w:val="00565F4C"/>
    <w:rsid w:val="005677BF"/>
    <w:rsid w:val="00572180"/>
    <w:rsid w:val="0058276E"/>
    <w:rsid w:val="00587ED5"/>
    <w:rsid w:val="0059480C"/>
    <w:rsid w:val="005B2095"/>
    <w:rsid w:val="005B4CA0"/>
    <w:rsid w:val="005B7569"/>
    <w:rsid w:val="005C0870"/>
    <w:rsid w:val="005E003C"/>
    <w:rsid w:val="00601EE8"/>
    <w:rsid w:val="00627A5E"/>
    <w:rsid w:val="00632A08"/>
    <w:rsid w:val="00634658"/>
    <w:rsid w:val="006355C2"/>
    <w:rsid w:val="00635976"/>
    <w:rsid w:val="00645E21"/>
    <w:rsid w:val="00656B29"/>
    <w:rsid w:val="00656CEC"/>
    <w:rsid w:val="0067278D"/>
    <w:rsid w:val="00677B26"/>
    <w:rsid w:val="006832B3"/>
    <w:rsid w:val="006A35BC"/>
    <w:rsid w:val="006B047C"/>
    <w:rsid w:val="006B49C0"/>
    <w:rsid w:val="006B7EC1"/>
    <w:rsid w:val="006C3DC8"/>
    <w:rsid w:val="006C66E3"/>
    <w:rsid w:val="006D403A"/>
    <w:rsid w:val="006E7AE7"/>
    <w:rsid w:val="00702700"/>
    <w:rsid w:val="0070602B"/>
    <w:rsid w:val="00730A58"/>
    <w:rsid w:val="007427B0"/>
    <w:rsid w:val="0075209E"/>
    <w:rsid w:val="00764DE9"/>
    <w:rsid w:val="00773AF9"/>
    <w:rsid w:val="00774196"/>
    <w:rsid w:val="00776EDA"/>
    <w:rsid w:val="0078395B"/>
    <w:rsid w:val="0079763E"/>
    <w:rsid w:val="007A2FD8"/>
    <w:rsid w:val="007A65E8"/>
    <w:rsid w:val="007C4274"/>
    <w:rsid w:val="007F18B4"/>
    <w:rsid w:val="00820981"/>
    <w:rsid w:val="00842AEC"/>
    <w:rsid w:val="008467E5"/>
    <w:rsid w:val="00847FA5"/>
    <w:rsid w:val="00881924"/>
    <w:rsid w:val="00894250"/>
    <w:rsid w:val="008963CA"/>
    <w:rsid w:val="008A35A7"/>
    <w:rsid w:val="008B1B0E"/>
    <w:rsid w:val="008D07B3"/>
    <w:rsid w:val="008E4D37"/>
    <w:rsid w:val="008E68C3"/>
    <w:rsid w:val="00905D31"/>
    <w:rsid w:val="0092266A"/>
    <w:rsid w:val="0092612D"/>
    <w:rsid w:val="0093070E"/>
    <w:rsid w:val="00956917"/>
    <w:rsid w:val="00956FE8"/>
    <w:rsid w:val="00963900"/>
    <w:rsid w:val="009747C5"/>
    <w:rsid w:val="009A48C0"/>
    <w:rsid w:val="009B2EB5"/>
    <w:rsid w:val="009D7100"/>
    <w:rsid w:val="009F4CB6"/>
    <w:rsid w:val="00A12F30"/>
    <w:rsid w:val="00A256EF"/>
    <w:rsid w:val="00A34E28"/>
    <w:rsid w:val="00A43097"/>
    <w:rsid w:val="00A72C30"/>
    <w:rsid w:val="00AB2B12"/>
    <w:rsid w:val="00AC528E"/>
    <w:rsid w:val="00AE1576"/>
    <w:rsid w:val="00AE2E13"/>
    <w:rsid w:val="00AF2981"/>
    <w:rsid w:val="00B008C5"/>
    <w:rsid w:val="00B07F9F"/>
    <w:rsid w:val="00B126CE"/>
    <w:rsid w:val="00B2488F"/>
    <w:rsid w:val="00B40730"/>
    <w:rsid w:val="00B4669D"/>
    <w:rsid w:val="00B60460"/>
    <w:rsid w:val="00B61012"/>
    <w:rsid w:val="00B625DD"/>
    <w:rsid w:val="00B62712"/>
    <w:rsid w:val="00B770C6"/>
    <w:rsid w:val="00BA17E8"/>
    <w:rsid w:val="00BA5FF8"/>
    <w:rsid w:val="00BC1CCB"/>
    <w:rsid w:val="00C01F40"/>
    <w:rsid w:val="00C05DB8"/>
    <w:rsid w:val="00C170C2"/>
    <w:rsid w:val="00C32848"/>
    <w:rsid w:val="00C40781"/>
    <w:rsid w:val="00C85F0F"/>
    <w:rsid w:val="00C95BF6"/>
    <w:rsid w:val="00CB6994"/>
    <w:rsid w:val="00CE4985"/>
    <w:rsid w:val="00D06A5D"/>
    <w:rsid w:val="00D072E7"/>
    <w:rsid w:val="00D1289B"/>
    <w:rsid w:val="00D32B6E"/>
    <w:rsid w:val="00D4441B"/>
    <w:rsid w:val="00D62702"/>
    <w:rsid w:val="00D67E11"/>
    <w:rsid w:val="00D836C0"/>
    <w:rsid w:val="00DB32A3"/>
    <w:rsid w:val="00DC5F6F"/>
    <w:rsid w:val="00DE1B74"/>
    <w:rsid w:val="00DF272D"/>
    <w:rsid w:val="00E05288"/>
    <w:rsid w:val="00E150D7"/>
    <w:rsid w:val="00E156A1"/>
    <w:rsid w:val="00E17C88"/>
    <w:rsid w:val="00E26ACA"/>
    <w:rsid w:val="00E54AFA"/>
    <w:rsid w:val="00E609F7"/>
    <w:rsid w:val="00E6633C"/>
    <w:rsid w:val="00E83BB1"/>
    <w:rsid w:val="00EA2114"/>
    <w:rsid w:val="00EB318B"/>
    <w:rsid w:val="00EC15F4"/>
    <w:rsid w:val="00F020AB"/>
    <w:rsid w:val="00F07730"/>
    <w:rsid w:val="00F22314"/>
    <w:rsid w:val="00F2238A"/>
    <w:rsid w:val="00F2359E"/>
    <w:rsid w:val="00F243C2"/>
    <w:rsid w:val="00F458DE"/>
    <w:rsid w:val="00F46912"/>
    <w:rsid w:val="00F61EF1"/>
    <w:rsid w:val="00F626A1"/>
    <w:rsid w:val="00F6776B"/>
    <w:rsid w:val="00F879E6"/>
    <w:rsid w:val="00F96E12"/>
    <w:rsid w:val="00FA46A0"/>
    <w:rsid w:val="00FA589C"/>
    <w:rsid w:val="00FB2124"/>
    <w:rsid w:val="00FC1C19"/>
    <w:rsid w:val="00FF4E07"/>
    <w:rsid w:val="00FF5729"/>
    <w:rsid w:val="00FF7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qFormat/>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 w:type="paragraph" w:styleId="Revision">
    <w:name w:val="Revision"/>
    <w:hidden/>
    <w:semiHidden/>
    <w:rsid w:val="00764D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874">
      <w:bodyDiv w:val="1"/>
      <w:marLeft w:val="0"/>
      <w:marRight w:val="0"/>
      <w:marTop w:val="0"/>
      <w:marBottom w:val="0"/>
      <w:divBdr>
        <w:top w:val="none" w:sz="0" w:space="0" w:color="auto"/>
        <w:left w:val="none" w:sz="0" w:space="0" w:color="auto"/>
        <w:bottom w:val="none" w:sz="0" w:space="0" w:color="auto"/>
        <w:right w:val="none" w:sz="0" w:space="0" w:color="auto"/>
      </w:divBdr>
    </w:div>
    <w:div w:id="23805873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8869171">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618247648">
      <w:bodyDiv w:val="1"/>
      <w:marLeft w:val="0"/>
      <w:marRight w:val="0"/>
      <w:marTop w:val="0"/>
      <w:marBottom w:val="0"/>
      <w:divBdr>
        <w:top w:val="none" w:sz="0" w:space="0" w:color="auto"/>
        <w:left w:val="none" w:sz="0" w:space="0" w:color="auto"/>
        <w:bottom w:val="none" w:sz="0" w:space="0" w:color="auto"/>
        <w:right w:val="none" w:sz="0" w:space="0" w:color="auto"/>
      </w:divBdr>
    </w:div>
    <w:div w:id="1848592252">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12/en" TargetMode="External"/><Relationship Id="rId18" Type="http://schemas.openxmlformats.org/officeDocument/2006/relationships/hyperlink" Target="https://www.itu.int/md/T22-SG20-R-0017/en" TargetMode="External"/><Relationship Id="rId3" Type="http://schemas.openxmlformats.org/officeDocument/2006/relationships/styles" Target="styles.xml"/><Relationship Id="rId21" Type="http://schemas.openxmlformats.org/officeDocument/2006/relationships/hyperlink" Target="mailto:tsbdir@itu.i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20-R-0016/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22-SG20-R-0015/en" TargetMode="External"/><Relationship Id="rId20" Type="http://schemas.openxmlformats.org/officeDocument/2006/relationships/hyperlink" Target="https://www.itu.int/md/T22-SG20-R-0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22-SG20-R-0014/en" TargetMode="External"/><Relationship Id="rId23" Type="http://schemas.openxmlformats.org/officeDocument/2006/relationships/footer" Target="footer1.xml"/><Relationship Id="rId10" Type="http://schemas.openxmlformats.org/officeDocument/2006/relationships/hyperlink" Target="https://www.itu.int/md/meetingdoc.asp?lang=en&amp;parent=T22-SG20-COL-0004" TargetMode="External"/><Relationship Id="rId19" Type="http://schemas.openxmlformats.org/officeDocument/2006/relationships/hyperlink" Target="https://www.itu.int/md/T22-SG20-R-0018/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13/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997D-A29C-4087-9C8C-8F73359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10</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xxx - tap.docx  For: _x000d_Document date: _x000d_Saved by ITU51014379 at 10:23:03 on 14.09.2022</dc:description>
  <cp:lastModifiedBy>Braud, Olivia</cp:lastModifiedBy>
  <cp:revision>14</cp:revision>
  <cp:lastPrinted>2023-12-11T09:22:00Z</cp:lastPrinted>
  <dcterms:created xsi:type="dcterms:W3CDTF">2023-11-17T11:36:00Z</dcterms:created>
  <dcterms:modified xsi:type="dcterms:W3CDTF">2023-12-11T09:23:00Z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xxx - tap.docx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