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58"/>
        <w:gridCol w:w="5102"/>
      </w:tblGrid>
      <w:tr w:rsidR="00EF6A23" w:rsidRPr="00FB3E3E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FB3E3E" w:rsidRDefault="00EF6A23" w:rsidP="00987B1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B3E3E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FB3E3E" w:rsidRDefault="00EF6A23" w:rsidP="00987B1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B3E3E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FB3E3E" w:rsidRDefault="00EF6A23" w:rsidP="00987B13">
            <w:pPr>
              <w:spacing w:before="0"/>
              <w:rPr>
                <w:color w:val="FFFFFF"/>
                <w:sz w:val="26"/>
                <w:szCs w:val="26"/>
              </w:rPr>
            </w:pPr>
            <w:r w:rsidRPr="00FB3E3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B3E3E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AC16CA" w:rsidRPr="00FB3E3E" w14:paraId="18B25741" w14:textId="77777777" w:rsidTr="00AC16CA">
        <w:trPr>
          <w:cantSplit/>
        </w:trPr>
        <w:tc>
          <w:tcPr>
            <w:tcW w:w="0" w:type="auto"/>
          </w:tcPr>
          <w:p w14:paraId="4B1AFD72" w14:textId="77777777" w:rsidR="00036F4F" w:rsidRPr="00FB3E3E" w:rsidRDefault="00036F4F" w:rsidP="00987B13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258" w:type="dxa"/>
          </w:tcPr>
          <w:p w14:paraId="6579D3E8" w14:textId="77777777" w:rsidR="00036F4F" w:rsidRPr="00FB3E3E" w:rsidRDefault="00036F4F" w:rsidP="00987B1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02" w:type="dxa"/>
          </w:tcPr>
          <w:p w14:paraId="0DC34ECA" w14:textId="3DEF198F" w:rsidR="00036F4F" w:rsidRPr="00FB3E3E" w:rsidRDefault="00036F4F" w:rsidP="00987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FB3E3E">
              <w:t>Genève, le</w:t>
            </w:r>
            <w:r w:rsidR="004419E9" w:rsidRPr="00FB3E3E">
              <w:t xml:space="preserve"> </w:t>
            </w:r>
            <w:r w:rsidR="00AC16CA">
              <w:t xml:space="preserve">28 </w:t>
            </w:r>
            <w:r w:rsidR="00FC07DF" w:rsidRPr="00FB3E3E">
              <w:t>novembre 2023</w:t>
            </w:r>
          </w:p>
        </w:tc>
      </w:tr>
      <w:tr w:rsidR="000B3D4A" w:rsidRPr="00FB3E3E" w14:paraId="16CDDFEF" w14:textId="77777777" w:rsidTr="00AC16CA">
        <w:trPr>
          <w:cantSplit/>
          <w:trHeight w:val="340"/>
        </w:trPr>
        <w:tc>
          <w:tcPr>
            <w:tcW w:w="0" w:type="auto"/>
          </w:tcPr>
          <w:p w14:paraId="3EFF375D" w14:textId="58556577" w:rsidR="000B3D4A" w:rsidRPr="00FB3E3E" w:rsidRDefault="000B3D4A" w:rsidP="00987B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B3E3E">
              <w:rPr>
                <w:b/>
                <w:bCs/>
              </w:rPr>
              <w:t>Réf.:</w:t>
            </w:r>
          </w:p>
        </w:tc>
        <w:tc>
          <w:tcPr>
            <w:tcW w:w="3258" w:type="dxa"/>
          </w:tcPr>
          <w:p w14:paraId="5FFBBC9B" w14:textId="58A67695" w:rsidR="000B3D4A" w:rsidRPr="00FB3E3E" w:rsidRDefault="000B3D4A" w:rsidP="00987B1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B3E3E">
              <w:rPr>
                <w:b/>
              </w:rPr>
              <w:t>Circulaire TSB 15</w:t>
            </w:r>
            <w:r>
              <w:rPr>
                <w:b/>
              </w:rPr>
              <w:t>7</w:t>
            </w:r>
          </w:p>
          <w:p w14:paraId="577F6DA2" w14:textId="3488E0A6" w:rsidR="000B3D4A" w:rsidRPr="00FB3E3E" w:rsidRDefault="000B3D4A" w:rsidP="000B3D4A">
            <w:pPr>
              <w:tabs>
                <w:tab w:val="left" w:pos="4111"/>
              </w:tabs>
              <w:spacing w:before="40" w:after="40"/>
              <w:ind w:left="57"/>
            </w:pPr>
            <w:r w:rsidRPr="00FB3E3E">
              <w:t xml:space="preserve">CE </w:t>
            </w:r>
            <w:r>
              <w:t>2</w:t>
            </w:r>
            <w:r w:rsidRPr="00FB3E3E">
              <w:t>/</w:t>
            </w:r>
            <w:r>
              <w:t>RC</w:t>
            </w:r>
          </w:p>
        </w:tc>
        <w:tc>
          <w:tcPr>
            <w:tcW w:w="5102" w:type="dxa"/>
            <w:vMerge w:val="restart"/>
          </w:tcPr>
          <w:p w14:paraId="286C2038" w14:textId="77777777" w:rsidR="000B3D4A" w:rsidRPr="00FB3E3E" w:rsidRDefault="000B3D4A" w:rsidP="00987B13">
            <w:pPr>
              <w:tabs>
                <w:tab w:val="left" w:pos="4111"/>
              </w:tabs>
              <w:spacing w:before="0"/>
              <w:ind w:left="426" w:hanging="426"/>
            </w:pPr>
            <w:bookmarkStart w:id="0" w:name="Addressee_F"/>
            <w:bookmarkEnd w:id="0"/>
            <w:r w:rsidRPr="00FB3E3E">
              <w:t>–</w:t>
            </w:r>
            <w:r w:rsidRPr="00FB3E3E">
              <w:tab/>
            </w:r>
            <w:r>
              <w:t xml:space="preserve">Aux </w:t>
            </w:r>
            <w:r w:rsidRPr="00FB3E3E">
              <w:t>Administrations des États Membres de l'Union</w:t>
            </w:r>
          </w:p>
          <w:p w14:paraId="571CD9C3" w14:textId="77777777" w:rsidR="000B3D4A" w:rsidRPr="00FB3E3E" w:rsidRDefault="000B3D4A" w:rsidP="00987B1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FB3E3E">
              <w:rPr>
                <w:b/>
                <w:bCs/>
              </w:rPr>
              <w:t>Copie:</w:t>
            </w:r>
          </w:p>
          <w:p w14:paraId="08DAEA61" w14:textId="77777777" w:rsidR="000B3D4A" w:rsidRPr="00FB3E3E" w:rsidRDefault="000B3D4A" w:rsidP="00987B13">
            <w:pPr>
              <w:tabs>
                <w:tab w:val="left" w:pos="4111"/>
              </w:tabs>
              <w:spacing w:before="0"/>
              <w:ind w:left="426" w:hanging="426"/>
            </w:pPr>
            <w:r w:rsidRPr="00FB3E3E">
              <w:t>–</w:t>
            </w:r>
            <w:r w:rsidRPr="00FB3E3E">
              <w:tab/>
              <w:t>Aux Membres du Secteur de l'UIT-T;</w:t>
            </w:r>
          </w:p>
          <w:p w14:paraId="515E4B3A" w14:textId="77777777" w:rsidR="000B3D4A" w:rsidRPr="00FB3E3E" w:rsidRDefault="000B3D4A" w:rsidP="00987B13">
            <w:pPr>
              <w:tabs>
                <w:tab w:val="left" w:pos="4111"/>
              </w:tabs>
              <w:spacing w:before="0"/>
              <w:ind w:left="426" w:hanging="426"/>
            </w:pPr>
            <w:r w:rsidRPr="00FB3E3E">
              <w:t>–</w:t>
            </w:r>
            <w:r w:rsidRPr="00FB3E3E">
              <w:tab/>
              <w:t>Aux Associés de la Commission d'</w:t>
            </w:r>
            <w:r>
              <w:t>é</w:t>
            </w:r>
            <w:r w:rsidRPr="00FB3E3E">
              <w:t xml:space="preserve">tudes </w:t>
            </w:r>
            <w:r>
              <w:t>2</w:t>
            </w:r>
            <w:r w:rsidRPr="00FB3E3E">
              <w:t xml:space="preserve"> de l'UIT</w:t>
            </w:r>
            <w:r w:rsidRPr="00FB3E3E">
              <w:noBreakHyphen/>
              <w:t>T;</w:t>
            </w:r>
          </w:p>
          <w:p w14:paraId="2978CE8E" w14:textId="77777777" w:rsidR="000B3D4A" w:rsidRPr="00FB3E3E" w:rsidRDefault="000B3D4A" w:rsidP="00987B13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FB3E3E">
              <w:t>–</w:t>
            </w:r>
            <w:r w:rsidRPr="00FB3E3E">
              <w:tab/>
              <w:t>Aux établissements universitaires participant aux travaux de l'UIT;</w:t>
            </w:r>
          </w:p>
          <w:p w14:paraId="1A98F94D" w14:textId="0979E598" w:rsidR="000B3D4A" w:rsidRPr="00FB3E3E" w:rsidRDefault="000B3D4A" w:rsidP="00987B13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FB3E3E">
              <w:t>–</w:t>
            </w:r>
            <w:r w:rsidRPr="00FB3E3E">
              <w:tab/>
              <w:t xml:space="preserve">Au Président et Vice-Président de la Commissions d'études </w:t>
            </w:r>
            <w:r>
              <w:t>2</w:t>
            </w:r>
            <w:r w:rsidRPr="00FB3E3E">
              <w:t>;</w:t>
            </w:r>
          </w:p>
          <w:p w14:paraId="79A0BF08" w14:textId="77777777" w:rsidR="000B3D4A" w:rsidRPr="00FB3E3E" w:rsidRDefault="000B3D4A" w:rsidP="00987B13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FB3E3E">
              <w:t>–</w:t>
            </w:r>
            <w:r w:rsidRPr="00FB3E3E">
              <w:tab/>
              <w:t>Au Directeur du Bureau de développement des télécommunications;</w:t>
            </w:r>
          </w:p>
          <w:p w14:paraId="461460AE" w14:textId="26CDA1B9" w:rsidR="000B3D4A" w:rsidRPr="00FB3E3E" w:rsidRDefault="000B3D4A" w:rsidP="00987B13">
            <w:pPr>
              <w:tabs>
                <w:tab w:val="left" w:pos="4111"/>
              </w:tabs>
              <w:spacing w:before="0"/>
              <w:ind w:left="426" w:hanging="426"/>
            </w:pPr>
            <w:r w:rsidRPr="00FB3E3E">
              <w:t>–</w:t>
            </w:r>
            <w:r w:rsidRPr="00FB3E3E">
              <w:tab/>
              <w:t>Au Directeur du Bureau des radiocommunications</w:t>
            </w:r>
          </w:p>
        </w:tc>
      </w:tr>
      <w:tr w:rsidR="000B3D4A" w:rsidRPr="00FB3E3E" w14:paraId="724FD23E" w14:textId="77777777" w:rsidTr="00AC16CA">
        <w:trPr>
          <w:cantSplit/>
        </w:trPr>
        <w:tc>
          <w:tcPr>
            <w:tcW w:w="0" w:type="auto"/>
          </w:tcPr>
          <w:p w14:paraId="73149CCD" w14:textId="77777777" w:rsidR="000B3D4A" w:rsidRPr="00FB3E3E" w:rsidRDefault="000B3D4A" w:rsidP="00987B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B3E3E">
              <w:rPr>
                <w:b/>
                <w:bCs/>
              </w:rPr>
              <w:t>Tél.:</w:t>
            </w:r>
          </w:p>
        </w:tc>
        <w:tc>
          <w:tcPr>
            <w:tcW w:w="3258" w:type="dxa"/>
          </w:tcPr>
          <w:p w14:paraId="78D06186" w14:textId="52CB210E" w:rsidR="000B3D4A" w:rsidRPr="00FB3E3E" w:rsidRDefault="000B3D4A" w:rsidP="000B3D4A">
            <w:pPr>
              <w:tabs>
                <w:tab w:val="left" w:pos="4111"/>
              </w:tabs>
              <w:spacing w:before="40" w:after="40"/>
              <w:ind w:left="57"/>
            </w:pPr>
            <w:r w:rsidRPr="00FB3E3E">
              <w:t xml:space="preserve">+41 22 730 </w:t>
            </w:r>
            <w:r>
              <w:t>5415</w:t>
            </w:r>
          </w:p>
        </w:tc>
        <w:tc>
          <w:tcPr>
            <w:tcW w:w="5102" w:type="dxa"/>
            <w:vMerge/>
          </w:tcPr>
          <w:p w14:paraId="6D3A5806" w14:textId="38622682" w:rsidR="000B3D4A" w:rsidRPr="00FB3E3E" w:rsidRDefault="000B3D4A" w:rsidP="00987B13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0B3D4A" w:rsidRPr="00FB3E3E" w14:paraId="030F9AE5" w14:textId="77777777" w:rsidTr="000B3D4A">
        <w:trPr>
          <w:cantSplit/>
          <w:trHeight w:val="402"/>
        </w:trPr>
        <w:tc>
          <w:tcPr>
            <w:tcW w:w="0" w:type="auto"/>
          </w:tcPr>
          <w:p w14:paraId="7B417C4C" w14:textId="77777777" w:rsidR="000B3D4A" w:rsidRPr="00FB3E3E" w:rsidRDefault="000B3D4A" w:rsidP="00987B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B3E3E">
              <w:rPr>
                <w:b/>
                <w:bCs/>
              </w:rPr>
              <w:t>Télécopie:</w:t>
            </w:r>
          </w:p>
        </w:tc>
        <w:tc>
          <w:tcPr>
            <w:tcW w:w="3258" w:type="dxa"/>
          </w:tcPr>
          <w:p w14:paraId="1A4A5F7B" w14:textId="77777777" w:rsidR="000B3D4A" w:rsidRPr="00FB3E3E" w:rsidRDefault="000B3D4A" w:rsidP="000B3D4A">
            <w:pPr>
              <w:tabs>
                <w:tab w:val="left" w:pos="4111"/>
              </w:tabs>
              <w:spacing w:before="40" w:after="40"/>
              <w:ind w:left="57"/>
            </w:pPr>
            <w:r w:rsidRPr="00FB3E3E">
              <w:t>+41 22 730 5853</w:t>
            </w:r>
          </w:p>
        </w:tc>
        <w:tc>
          <w:tcPr>
            <w:tcW w:w="5102" w:type="dxa"/>
            <w:vMerge/>
          </w:tcPr>
          <w:p w14:paraId="323DAC81" w14:textId="132306D3" w:rsidR="000B3D4A" w:rsidRPr="00FB3E3E" w:rsidRDefault="000B3D4A" w:rsidP="00987B13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0B3D4A" w:rsidRPr="00FB3E3E" w14:paraId="640FB6B9" w14:textId="77777777" w:rsidTr="00AC16CA">
        <w:trPr>
          <w:cantSplit/>
        </w:trPr>
        <w:tc>
          <w:tcPr>
            <w:tcW w:w="0" w:type="auto"/>
          </w:tcPr>
          <w:p w14:paraId="15527369" w14:textId="0865F49A" w:rsidR="000B3D4A" w:rsidRPr="00FB3E3E" w:rsidRDefault="000B3D4A" w:rsidP="00987B1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B3E3E">
              <w:rPr>
                <w:b/>
                <w:bCs/>
              </w:rPr>
              <w:t>Courriel:</w:t>
            </w:r>
          </w:p>
        </w:tc>
        <w:tc>
          <w:tcPr>
            <w:tcW w:w="3258" w:type="dxa"/>
          </w:tcPr>
          <w:p w14:paraId="172249CE" w14:textId="4ACCC8C1" w:rsidR="000B3D4A" w:rsidRPr="00FB3E3E" w:rsidRDefault="00EA2AA1" w:rsidP="00987B13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B3D4A" w:rsidRPr="00AC16CA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02" w:type="dxa"/>
            <w:vMerge/>
          </w:tcPr>
          <w:p w14:paraId="19762254" w14:textId="1D0AD147" w:rsidR="000B3D4A" w:rsidRPr="00FB3E3E" w:rsidRDefault="000B3D4A" w:rsidP="00987B13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FC07DF" w:rsidRPr="00FB3E3E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FC07DF" w:rsidRPr="00FB3E3E" w:rsidRDefault="00FC07DF" w:rsidP="00987B13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B3E3E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4B488F0D" w:rsidR="00FC07DF" w:rsidRPr="00FB3E3E" w:rsidRDefault="00F17C07" w:rsidP="00987B13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 xml:space="preserve">Mises à jour de la </w:t>
            </w:r>
            <w:r w:rsidRPr="00F17C07">
              <w:rPr>
                <w:b/>
                <w:bCs/>
              </w:rPr>
              <w:t>Liste récapitulative des restrictions de service</w:t>
            </w:r>
          </w:p>
        </w:tc>
      </w:tr>
    </w:tbl>
    <w:p w14:paraId="2D1EC328" w14:textId="77777777" w:rsidR="00517A03" w:rsidRPr="00FB3E3E" w:rsidRDefault="00517A03" w:rsidP="000B3D4A">
      <w:pPr>
        <w:pStyle w:val="Normalaftertitle"/>
      </w:pPr>
      <w:bookmarkStart w:id="1" w:name="StartTyping_F"/>
      <w:bookmarkEnd w:id="1"/>
      <w:r w:rsidRPr="00FB3E3E">
        <w:t>Madame, Monsieur,</w:t>
      </w:r>
    </w:p>
    <w:p w14:paraId="5722E4E9" w14:textId="22EEC3B7" w:rsidR="00AC16CA" w:rsidRDefault="00F17C07" w:rsidP="00987B13">
      <w:r>
        <w:t>À</w:t>
      </w:r>
      <w:r w:rsidRPr="00F17C07">
        <w:t xml:space="preserve"> sa récente réunion tenue du 8 au 17 novembre 2023</w:t>
      </w:r>
      <w:r w:rsidR="00355782">
        <w:t xml:space="preserve"> </w:t>
      </w:r>
      <w:r w:rsidR="00355782" w:rsidRPr="00F17C07">
        <w:t>à Genève</w:t>
      </w:r>
      <w:r w:rsidRPr="00F17C07">
        <w:t>, la CE</w:t>
      </w:r>
      <w:r w:rsidR="00C476BC">
        <w:t xml:space="preserve"> </w:t>
      </w:r>
      <w:r w:rsidRPr="00F17C07">
        <w:t>2 de l</w:t>
      </w:r>
      <w:r w:rsidR="00C476BC">
        <w:t>'</w:t>
      </w:r>
      <w:r w:rsidRPr="00F17C07">
        <w:t>UIT-T a examiné les informations disponibles dans la Liste récapitulative des restrictions de service (</w:t>
      </w:r>
      <w:hyperlink r:id="rId10" w:history="1">
        <w:r w:rsidR="00BF56E4">
          <w:rPr>
            <w:rStyle w:val="Hyperlink"/>
          </w:rPr>
          <w:t>https://www.itu.int/pub/T-SP-SR.1-2012</w:t>
        </w:r>
      </w:hyperlink>
      <w:r w:rsidRPr="00F17C07">
        <w:t>) disponible dans le Bulletin d</w:t>
      </w:r>
      <w:r w:rsidR="00C476BC">
        <w:t>'</w:t>
      </w:r>
      <w:r w:rsidRPr="00F17C07">
        <w:t>exploitation (</w:t>
      </w:r>
      <w:hyperlink r:id="rId11" w:history="1">
        <w:r w:rsidR="00BF56E4">
          <w:rPr>
            <w:rStyle w:val="Hyperlink"/>
          </w:rPr>
          <w:t>https://www.itu.int/pub/T-SP-OB</w:t>
        </w:r>
      </w:hyperlink>
      <w:r w:rsidRPr="00F17C07">
        <w:t xml:space="preserve">) sous la rubrique </w:t>
      </w:r>
      <w:r>
        <w:t>"</w:t>
      </w:r>
      <w:r w:rsidRPr="00F17C07">
        <w:t>Restrictions de service</w:t>
      </w:r>
      <w:r>
        <w:t>"</w:t>
      </w:r>
      <w:r w:rsidRPr="00F17C07">
        <w:t xml:space="preserve">. </w:t>
      </w:r>
      <w:r>
        <w:t>Aucune mise à jour n'a été apportée à cette Liste depuis 2012.</w:t>
      </w:r>
    </w:p>
    <w:p w14:paraId="2D2916D2" w14:textId="4459DFEE" w:rsidR="00AC16CA" w:rsidRDefault="00F17C07" w:rsidP="00987B13">
      <w:r>
        <w:t>L</w:t>
      </w:r>
      <w:r w:rsidRPr="00F17C07">
        <w:t xml:space="preserve">a présente circulaire </w:t>
      </w:r>
      <w:r>
        <w:t>vise à</w:t>
      </w:r>
      <w:r w:rsidRPr="00F17C07">
        <w:t xml:space="preserve"> mettre à jour la </w:t>
      </w:r>
      <w:r>
        <w:t>L</w:t>
      </w:r>
      <w:r w:rsidRPr="00F17C07">
        <w:t>iste afin de partager des informations relatives aux restrictions de service qui existent dans un environnement national</w:t>
      </w:r>
      <w:r w:rsidR="00D47EB5">
        <w:t>,</w:t>
      </w:r>
      <w:r w:rsidRPr="00F17C07">
        <w:t xml:space="preserve"> afin </w:t>
      </w:r>
      <w:r>
        <w:t xml:space="preserve">de faire apparaître de manière claire </w:t>
      </w:r>
      <w:r w:rsidRPr="00F17C07">
        <w:t>et transparent</w:t>
      </w:r>
      <w:r>
        <w:t>e</w:t>
      </w:r>
      <w:r w:rsidRPr="00F17C07">
        <w:t xml:space="preserve">, </w:t>
      </w:r>
      <w:r>
        <w:t xml:space="preserve">dans la mesure du </w:t>
      </w:r>
      <w:r w:rsidRPr="00F17C07">
        <w:t>possible, ce qui n</w:t>
      </w:r>
      <w:r>
        <w:t>'</w:t>
      </w:r>
      <w:r w:rsidRPr="00F17C07">
        <w:t>est pas autorisé dans une juridiction nationale.</w:t>
      </w:r>
      <w:r>
        <w:t xml:space="preserve"> </w:t>
      </w:r>
      <w:r w:rsidR="00D47EB5">
        <w:t>Étant donné que d</w:t>
      </w:r>
      <w:r w:rsidRPr="00F17C07">
        <w:t>epuis la dernière mise à jour de la liste, l</w:t>
      </w:r>
      <w:r>
        <w:t>'</w:t>
      </w:r>
      <w:r w:rsidRPr="00F17C07">
        <w:t>environnement des télécommunications/TIC a évolué</w:t>
      </w:r>
      <w:r w:rsidR="00BC1927">
        <w:t xml:space="preserve">, </w:t>
      </w:r>
      <w:r w:rsidRPr="00F17C07">
        <w:t xml:space="preserve">il est important </w:t>
      </w:r>
      <w:r w:rsidR="00BC1927">
        <w:t>d'</w:t>
      </w:r>
      <w:r w:rsidR="00355782">
        <w:t>actualiser les informations qui y figurent</w:t>
      </w:r>
      <w:r w:rsidRPr="00F17C07">
        <w:t>.</w:t>
      </w:r>
    </w:p>
    <w:p w14:paraId="37E78AFC" w14:textId="4096B33C" w:rsidR="00AC16CA" w:rsidRDefault="00BC1927" w:rsidP="00987B13">
      <w:r w:rsidRPr="00BC1927">
        <w:t>J</w:t>
      </w:r>
      <w:r w:rsidR="00C476BC">
        <w:t>'</w:t>
      </w:r>
      <w:r w:rsidRPr="00BC1927">
        <w:t xml:space="preserve">encourage les </w:t>
      </w:r>
      <w:r w:rsidR="00C476BC" w:rsidRPr="00BC1927">
        <w:t>États</w:t>
      </w:r>
      <w:r w:rsidRPr="00BC1927">
        <w:t xml:space="preserve"> Membres à </w:t>
      </w:r>
      <w:r w:rsidR="00A36A4C">
        <w:t>procéder comme suit</w:t>
      </w:r>
      <w:r w:rsidRPr="00BC1927">
        <w:t xml:space="preserve"> en ce qui concerne la </w:t>
      </w:r>
      <w:r>
        <w:t>L</w:t>
      </w:r>
      <w:r w:rsidRPr="00BC1927">
        <w:t>iste récapitulative des restrictions de service:</w:t>
      </w:r>
    </w:p>
    <w:p w14:paraId="750945DE" w14:textId="0B0C251A" w:rsidR="00AC16CA" w:rsidRDefault="00AC16CA" w:rsidP="00987B13">
      <w:pPr>
        <w:pStyle w:val="enumlev1"/>
      </w:pPr>
      <w:r>
        <w:t>1)</w:t>
      </w:r>
      <w:r>
        <w:tab/>
      </w:r>
      <w:r w:rsidR="00BC1927" w:rsidRPr="00BC1927">
        <w:t xml:space="preserve">Vérifier si </w:t>
      </w:r>
      <w:r w:rsidR="00A36A4C">
        <w:t>les éléments</w:t>
      </w:r>
      <w:r w:rsidR="00A36A4C" w:rsidRPr="00BC1927">
        <w:t xml:space="preserve"> </w:t>
      </w:r>
      <w:r w:rsidR="00BC1927" w:rsidRPr="00BC1927">
        <w:t>associé</w:t>
      </w:r>
      <w:r w:rsidR="00A36A4C">
        <w:t>s</w:t>
      </w:r>
      <w:r w:rsidR="00BC1927" w:rsidRPr="00BC1927">
        <w:t xml:space="preserve"> à leur environnement national dans les documents susmentionnés </w:t>
      </w:r>
      <w:r w:rsidR="00A36A4C">
        <w:t>sont</w:t>
      </w:r>
      <w:r w:rsidR="00A36A4C" w:rsidRPr="00BC1927">
        <w:t xml:space="preserve"> </w:t>
      </w:r>
      <w:r w:rsidR="00BC1927" w:rsidRPr="00BC1927">
        <w:t>toujours pertinent</w:t>
      </w:r>
      <w:r w:rsidR="00A36A4C">
        <w:t>s</w:t>
      </w:r>
      <w:r w:rsidR="00BC1927">
        <w:t>.</w:t>
      </w:r>
    </w:p>
    <w:p w14:paraId="522B9809" w14:textId="52A0C4C1" w:rsidR="00AC16CA" w:rsidRDefault="00AC16CA" w:rsidP="00987B13">
      <w:pPr>
        <w:pStyle w:val="enumlev1"/>
      </w:pPr>
      <w:r>
        <w:t>2)</w:t>
      </w:r>
      <w:r>
        <w:tab/>
      </w:r>
      <w:r w:rsidR="00BC1927" w:rsidRPr="00BC1927">
        <w:t xml:space="preserve">Fournir au TSB des </w:t>
      </w:r>
      <w:r w:rsidR="00BC1927">
        <w:t>informations</w:t>
      </w:r>
      <w:r w:rsidR="00BC1927" w:rsidRPr="00BC1927">
        <w:t xml:space="preserve"> à jour sur les restrictions de service en vigueur dans leur environnement national</w:t>
      </w:r>
      <w:r w:rsidR="00355782">
        <w:t>,</w:t>
      </w:r>
      <w:r w:rsidR="00BC1927" w:rsidRPr="00BC1927">
        <w:t xml:space="preserve"> qui peuvent être insérées dans la Liste récapitulative des restrictions de service.</w:t>
      </w:r>
    </w:p>
    <w:p w14:paraId="36AB0CFC" w14:textId="10FBE913" w:rsidR="00AC16CA" w:rsidRDefault="00AC16CA" w:rsidP="00987B13">
      <w:pPr>
        <w:pStyle w:val="enumlev1"/>
      </w:pPr>
      <w:r>
        <w:t>3)</w:t>
      </w:r>
      <w:r>
        <w:tab/>
      </w:r>
      <w:r w:rsidR="00BC1927">
        <w:t>S'agissant des</w:t>
      </w:r>
      <w:r w:rsidR="00BC1927" w:rsidRPr="00BC1927">
        <w:t xml:space="preserve"> </w:t>
      </w:r>
      <w:r w:rsidR="00BC1927">
        <w:t>É</w:t>
      </w:r>
      <w:r w:rsidR="00BC1927" w:rsidRPr="00BC1927">
        <w:t xml:space="preserve">tats Membres </w:t>
      </w:r>
      <w:r w:rsidR="00355782">
        <w:t xml:space="preserve">pour lesquels aucune information n'est inscrite </w:t>
      </w:r>
      <w:r w:rsidR="00BC1927" w:rsidRPr="00BC1927">
        <w:t xml:space="preserve">dans la Liste récapitulative des restrictions de service, communiquer </w:t>
      </w:r>
      <w:r w:rsidR="00355782">
        <w:t xml:space="preserve">de telles </w:t>
      </w:r>
      <w:r w:rsidR="00BC1927" w:rsidRPr="00BC1927">
        <w:t>informations au TSB.</w:t>
      </w:r>
    </w:p>
    <w:p w14:paraId="4FB3E97A" w14:textId="0BAA4785" w:rsidR="00AC16CA" w:rsidRDefault="00BC1927" w:rsidP="000B3D4A">
      <w:pPr>
        <w:keepLines/>
      </w:pPr>
      <w:r w:rsidRPr="00BC1927">
        <w:lastRenderedPageBreak/>
        <w:t xml:space="preserve">Les </w:t>
      </w:r>
      <w:r w:rsidR="00C476BC" w:rsidRPr="00BC1927">
        <w:t>États</w:t>
      </w:r>
      <w:r w:rsidRPr="00BC1927">
        <w:t xml:space="preserve"> Membres sont invités à soumettre leurs réponses au </w:t>
      </w:r>
      <w:r w:rsidR="00D47EB5">
        <w:t>s</w:t>
      </w:r>
      <w:r w:rsidRPr="00BC1927">
        <w:t>ecrétariat du TSB (</w:t>
      </w:r>
      <w:hyperlink r:id="rId12" w:history="1">
        <w:r w:rsidRPr="00BC1927">
          <w:rPr>
            <w:rStyle w:val="Hyperlink"/>
          </w:rPr>
          <w:t>tsbtson@itu.int</w:t>
        </w:r>
      </w:hyperlink>
      <w:r w:rsidRPr="00BC1927">
        <w:t xml:space="preserve">) avant le 31 janvier 2024, en vue de leur inclusion dans une </w:t>
      </w:r>
      <w:r>
        <w:t xml:space="preserve">version mise à jour de la </w:t>
      </w:r>
      <w:r w:rsidRPr="00BC1927">
        <w:t>Liste récapitulative des restrictions de service.</w:t>
      </w:r>
      <w:r>
        <w:t xml:space="preserve"> </w:t>
      </w:r>
      <w:r w:rsidRPr="00BC1927">
        <w:t xml:space="preserve">Les réponses reçues après cette date </w:t>
      </w:r>
      <w:r>
        <w:t>feront l'objet d'une annonce</w:t>
      </w:r>
      <w:r w:rsidRPr="00BC1927">
        <w:t xml:space="preserve"> dans le Bulletin d</w:t>
      </w:r>
      <w:r w:rsidR="00C476BC">
        <w:t>'</w:t>
      </w:r>
      <w:r w:rsidRPr="00BC1927">
        <w:t>exploitation.</w:t>
      </w:r>
    </w:p>
    <w:p w14:paraId="6A4CD67F" w14:textId="77777777" w:rsidR="00307FB4" w:rsidRPr="00FB3E3E" w:rsidRDefault="00307FB4" w:rsidP="00C476BC">
      <w:r w:rsidRPr="00FB3E3E">
        <w:t>Veuillez agréer, Madame, Monsieur, l'assurance de ma considération distinguée.</w:t>
      </w:r>
    </w:p>
    <w:p w14:paraId="558FB742" w14:textId="57AC2450" w:rsidR="002937DB" w:rsidRPr="00FB3E3E" w:rsidRDefault="00EA2AA1" w:rsidP="00E658FB">
      <w:pPr>
        <w:spacing w:before="96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01F9F52C" wp14:editId="0C59DD9B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622299" cy="466725"/>
            <wp:effectExtent l="0" t="0" r="6985" b="0"/>
            <wp:wrapNone/>
            <wp:docPr id="71594243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42430" name="Picture 1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9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FB3E3E">
        <w:rPr>
          <w:bCs/>
        </w:rPr>
        <w:t>Seizo Onoe</w:t>
      </w:r>
      <w:r w:rsidR="00B60868" w:rsidRPr="00FB3E3E">
        <w:rPr>
          <w:bCs/>
        </w:rPr>
        <w:br/>
      </w:r>
      <w:r w:rsidR="00307FB4" w:rsidRPr="00FB3E3E">
        <w:rPr>
          <w:bCs/>
        </w:rPr>
        <w:t>Directeur du Bureau de la normalisation</w:t>
      </w:r>
      <w:r w:rsidR="00B60868" w:rsidRPr="00FB3E3E">
        <w:rPr>
          <w:bCs/>
        </w:rPr>
        <w:br/>
      </w:r>
      <w:r w:rsidR="00307FB4" w:rsidRPr="00FB3E3E">
        <w:rPr>
          <w:bCs/>
        </w:rPr>
        <w:t>des télécommunications</w:t>
      </w:r>
    </w:p>
    <w:sectPr w:rsidR="002937DB" w:rsidRPr="00FB3E3E" w:rsidSect="00956C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7" w:right="1134" w:bottom="1417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FAD1" w14:textId="77777777" w:rsidR="00EF4C58" w:rsidRDefault="00EF4C58">
      <w:r>
        <w:separator/>
      </w:r>
    </w:p>
  </w:endnote>
  <w:endnote w:type="continuationSeparator" w:id="0">
    <w:p w14:paraId="394532A7" w14:textId="77777777" w:rsidR="00EF4C58" w:rsidRDefault="00EF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EDB1" w14:textId="77777777" w:rsidR="00255E2E" w:rsidRDefault="00255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D533" w14:textId="13B2482C" w:rsidR="00AC16CA" w:rsidRPr="00BF56E4" w:rsidRDefault="00AC16CA" w:rsidP="00AC16CA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81E3A0E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</w:t>
    </w:r>
    <w:r w:rsidR="000B3D4A">
      <w:rPr>
        <w:color w:val="0070C0"/>
        <w:sz w:val="18"/>
        <w:szCs w:val="18"/>
        <w:lang w:val="fr-CH"/>
      </w:rPr>
      <w:t>Télécopie</w:t>
    </w:r>
    <w:r w:rsidRPr="003E66AD">
      <w:rPr>
        <w:color w:val="0070C0"/>
        <w:sz w:val="18"/>
        <w:szCs w:val="18"/>
        <w:lang w:val="fr-CH"/>
      </w:rPr>
      <w:t xml:space="preserve">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5AF6" w14:textId="77777777" w:rsidR="00EF4C58" w:rsidRDefault="00EF4C58">
      <w:r>
        <w:t>____________________</w:t>
      </w:r>
    </w:p>
  </w:footnote>
  <w:footnote w:type="continuationSeparator" w:id="0">
    <w:p w14:paraId="244C4528" w14:textId="77777777" w:rsidR="00EF4C58" w:rsidRDefault="00EF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D0F1" w14:textId="77777777" w:rsidR="00255E2E" w:rsidRDefault="00255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08924F58" w:rsidR="00697BC1" w:rsidRPr="00697BC1" w:rsidRDefault="00EA2AA1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9200A8">
      <w:rPr>
        <w:noProof/>
        <w:sz w:val="18"/>
        <w:szCs w:val="16"/>
      </w:rPr>
      <w:t>15</w:t>
    </w:r>
    <w:r w:rsidR="00AC16CA">
      <w:rPr>
        <w:noProof/>
        <w:sz w:val="18"/>
        <w:szCs w:val="16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E01B" w14:textId="77777777" w:rsidR="00255E2E" w:rsidRDefault="00255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089E"/>
    <w:rsid w:val="000039EE"/>
    <w:rsid w:val="00005622"/>
    <w:rsid w:val="0002519E"/>
    <w:rsid w:val="00035B43"/>
    <w:rsid w:val="00036F4F"/>
    <w:rsid w:val="000758B3"/>
    <w:rsid w:val="00080554"/>
    <w:rsid w:val="00085F5A"/>
    <w:rsid w:val="000B0D96"/>
    <w:rsid w:val="000B3D4A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914F4"/>
    <w:rsid w:val="001B79A3"/>
    <w:rsid w:val="002152A3"/>
    <w:rsid w:val="0023667A"/>
    <w:rsid w:val="00242B4C"/>
    <w:rsid w:val="00255E2E"/>
    <w:rsid w:val="002937DB"/>
    <w:rsid w:val="002C21D9"/>
    <w:rsid w:val="002E395D"/>
    <w:rsid w:val="00307FB4"/>
    <w:rsid w:val="003131F0"/>
    <w:rsid w:val="00333A80"/>
    <w:rsid w:val="00341117"/>
    <w:rsid w:val="00355782"/>
    <w:rsid w:val="00364E95"/>
    <w:rsid w:val="00372875"/>
    <w:rsid w:val="003742F8"/>
    <w:rsid w:val="003A0E7A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40617"/>
    <w:rsid w:val="00757D58"/>
    <w:rsid w:val="00760063"/>
    <w:rsid w:val="00775E4B"/>
    <w:rsid w:val="0079553B"/>
    <w:rsid w:val="00795679"/>
    <w:rsid w:val="007A40FE"/>
    <w:rsid w:val="00802DA5"/>
    <w:rsid w:val="00810105"/>
    <w:rsid w:val="008157E0"/>
    <w:rsid w:val="00850477"/>
    <w:rsid w:val="00854E1D"/>
    <w:rsid w:val="00887FA6"/>
    <w:rsid w:val="008C4397"/>
    <w:rsid w:val="008C465A"/>
    <w:rsid w:val="008D7AEF"/>
    <w:rsid w:val="008F2C9B"/>
    <w:rsid w:val="009200A8"/>
    <w:rsid w:val="00923CD6"/>
    <w:rsid w:val="00935AA8"/>
    <w:rsid w:val="00956CE2"/>
    <w:rsid w:val="00971C9A"/>
    <w:rsid w:val="00987B13"/>
    <w:rsid w:val="009D51FA"/>
    <w:rsid w:val="009F1E23"/>
    <w:rsid w:val="00A15179"/>
    <w:rsid w:val="00A238BE"/>
    <w:rsid w:val="00A36A4C"/>
    <w:rsid w:val="00A51537"/>
    <w:rsid w:val="00A5280F"/>
    <w:rsid w:val="00A5645A"/>
    <w:rsid w:val="00A57006"/>
    <w:rsid w:val="00A60FC1"/>
    <w:rsid w:val="00A65069"/>
    <w:rsid w:val="00A97C37"/>
    <w:rsid w:val="00AA131B"/>
    <w:rsid w:val="00AC16CA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C1927"/>
    <w:rsid w:val="00BD6ECF"/>
    <w:rsid w:val="00BF56E4"/>
    <w:rsid w:val="00C26F2E"/>
    <w:rsid w:val="00C302E3"/>
    <w:rsid w:val="00C41B89"/>
    <w:rsid w:val="00C45376"/>
    <w:rsid w:val="00C476BC"/>
    <w:rsid w:val="00C9028F"/>
    <w:rsid w:val="00CA0416"/>
    <w:rsid w:val="00CB1125"/>
    <w:rsid w:val="00CB4E80"/>
    <w:rsid w:val="00CC136B"/>
    <w:rsid w:val="00CD042E"/>
    <w:rsid w:val="00CF2560"/>
    <w:rsid w:val="00CF5B46"/>
    <w:rsid w:val="00D46B68"/>
    <w:rsid w:val="00D47EB5"/>
    <w:rsid w:val="00D542A5"/>
    <w:rsid w:val="00D82F21"/>
    <w:rsid w:val="00DC0E17"/>
    <w:rsid w:val="00DC3D47"/>
    <w:rsid w:val="00DD77DA"/>
    <w:rsid w:val="00E06C61"/>
    <w:rsid w:val="00E13DB3"/>
    <w:rsid w:val="00E21F90"/>
    <w:rsid w:val="00E2408B"/>
    <w:rsid w:val="00E62CEA"/>
    <w:rsid w:val="00E658FB"/>
    <w:rsid w:val="00E72AE1"/>
    <w:rsid w:val="00EA2AA1"/>
    <w:rsid w:val="00ED6A7A"/>
    <w:rsid w:val="00EE4C36"/>
    <w:rsid w:val="00EF4C58"/>
    <w:rsid w:val="00EF6A23"/>
    <w:rsid w:val="00F17C07"/>
    <w:rsid w:val="00F346CE"/>
    <w:rsid w:val="00F34F98"/>
    <w:rsid w:val="00F40540"/>
    <w:rsid w:val="00F67402"/>
    <w:rsid w:val="00F766A2"/>
    <w:rsid w:val="00F9451D"/>
    <w:rsid w:val="00FB3E3E"/>
    <w:rsid w:val="00FC07DF"/>
    <w:rsid w:val="00FE38E2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Annextitle0">
    <w:name w:val="Annex_title"/>
    <w:basedOn w:val="Normal"/>
    <w:next w:val="Normal"/>
    <w:rsid w:val="009200A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styleId="Revision">
    <w:name w:val="Revision"/>
    <w:hidden/>
    <w:uiPriority w:val="99"/>
    <w:semiHidden/>
    <w:rsid w:val="00D47EB5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sbtson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SP-OB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pub/T-SP-SR.1-2012/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18</TotalTime>
  <Pages>2</Pages>
  <Words>395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2926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2023-12-06T09:56:00Z</cp:lastPrinted>
  <dcterms:created xsi:type="dcterms:W3CDTF">2023-11-29T10:57:00Z</dcterms:created>
  <dcterms:modified xsi:type="dcterms:W3CDTF">2023-12-06T09:57:00Z</dcterms:modified>
</cp:coreProperties>
</file>