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936683C" w14:textId="77777777" w:rsidTr="00D517B2">
        <w:trPr>
          <w:cantSplit/>
          <w:trHeight w:val="1134"/>
        </w:trPr>
        <w:tc>
          <w:tcPr>
            <w:tcW w:w="798" w:type="pct"/>
          </w:tcPr>
          <w:p w14:paraId="5E2BA88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102F0AE" wp14:editId="38D8054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BECF3D2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C52A2A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E7125AC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6749ACE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07ACB0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1CA7180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5D94222B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5BF201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03EB55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0BFEA82" w14:textId="66DBCB6D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92A54">
              <w:rPr>
                <w:position w:val="2"/>
              </w:rPr>
              <w:t>13</w:t>
            </w:r>
            <w:r w:rsidR="00392A54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="00392A54">
              <w:rPr>
                <w:position w:val="2"/>
                <w:lang w:bidi="ar-EG"/>
              </w:rPr>
              <w:t>2023</w:t>
            </w:r>
          </w:p>
        </w:tc>
      </w:tr>
      <w:tr w:rsidR="005559C4" w:rsidRPr="00D517B2" w14:paraId="44FBBB5A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6EFA287" w14:textId="77777777" w:rsidR="005559C4" w:rsidRPr="00A9156F" w:rsidRDefault="005559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23AD81C" w14:textId="0030608F" w:rsidR="005559C4" w:rsidRPr="00D517B2" w:rsidRDefault="005559C4" w:rsidP="005C3BE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150</w:t>
            </w:r>
            <w:r>
              <w:rPr>
                <w:b/>
                <w:position w:val="2"/>
              </w:rPr>
              <w:br/>
            </w:r>
            <w:r w:rsidRPr="005C3BE3">
              <w:rPr>
                <w:bCs/>
                <w:position w:val="2"/>
              </w:rPr>
              <w:t>SG13/TK</w:t>
            </w:r>
          </w:p>
        </w:tc>
        <w:tc>
          <w:tcPr>
            <w:tcW w:w="2206" w:type="pct"/>
            <w:vMerge w:val="restart"/>
          </w:tcPr>
          <w:p w14:paraId="26814D17" w14:textId="77777777" w:rsidR="005559C4" w:rsidRPr="005731DD" w:rsidRDefault="005559C4" w:rsidP="007F16CF">
            <w:pPr>
              <w:tabs>
                <w:tab w:val="clear" w:pos="794"/>
                <w:tab w:val="left" w:pos="284"/>
              </w:tabs>
              <w:spacing w:before="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977378F" w14:textId="61FB149B" w:rsidR="005559C4" w:rsidRPr="005C3BE3" w:rsidRDefault="005559C4" w:rsidP="007F16CF">
            <w:pPr>
              <w:tabs>
                <w:tab w:val="clear" w:pos="794"/>
                <w:tab w:val="left" w:pos="284"/>
              </w:tabs>
              <w:spacing w:before="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C3BE3">
              <w:rPr>
                <w:rFonts w:hint="cs"/>
                <w:position w:val="2"/>
                <w:rtl/>
              </w:rPr>
              <w:t>-</w:t>
            </w:r>
            <w:r w:rsidRPr="005C3BE3">
              <w:rPr>
                <w:position w:val="2"/>
                <w:rtl/>
              </w:rPr>
              <w:tab/>
            </w:r>
            <w:r w:rsidRPr="005C3BE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3AB7F5E" w14:textId="77777777" w:rsidR="005559C4" w:rsidRPr="005C3BE3" w:rsidRDefault="005559C4" w:rsidP="007F16CF">
            <w:pPr>
              <w:tabs>
                <w:tab w:val="clear" w:pos="794"/>
                <w:tab w:val="left" w:pos="284"/>
              </w:tabs>
              <w:spacing w:before="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C3BE3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75421635" w14:textId="77777777" w:rsidR="005559C4" w:rsidRPr="005C3BE3" w:rsidRDefault="005559C4" w:rsidP="007F16C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5C3BE3">
              <w:rPr>
                <w:rFonts w:hint="cs"/>
                <w:position w:val="2"/>
                <w:rtl/>
              </w:rPr>
              <w:t>-</w:t>
            </w:r>
            <w:r w:rsidRPr="005C3BE3">
              <w:rPr>
                <w:position w:val="2"/>
                <w:rtl/>
              </w:rPr>
              <w:tab/>
            </w:r>
            <w:r w:rsidRPr="005C3BE3">
              <w:rPr>
                <w:rFonts w:eastAsia="Times New Roman"/>
                <w:position w:val="2"/>
                <w:rtl/>
                <w:lang w:eastAsia="en-US"/>
              </w:rPr>
              <w:t>أعضاء قطاع تقييس الاتصالات بالاتحاد؛</w:t>
            </w:r>
          </w:p>
          <w:p w14:paraId="035AE006" w14:textId="758B6569" w:rsidR="005559C4" w:rsidRPr="005C3BE3" w:rsidRDefault="005559C4" w:rsidP="007F16C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5C3BE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C3BE3">
              <w:rPr>
                <w:rFonts w:eastAsia="Times New Roman"/>
                <w:position w:val="2"/>
                <w:rtl/>
                <w:lang w:eastAsia="en-US"/>
              </w:rPr>
              <w:tab/>
              <w:t>المنتسبين إلى لجنة الدراسات 13 لقطاع تقييس</w:t>
            </w:r>
            <w:r w:rsidR="00DC00FF">
              <w:rPr>
                <w:rFonts w:eastAsia="Times New Roman" w:hint="cs"/>
                <w:position w:val="2"/>
                <w:rtl/>
                <w:lang w:eastAsia="en-US"/>
              </w:rPr>
              <w:t> </w:t>
            </w:r>
            <w:r w:rsidRPr="005C3BE3">
              <w:rPr>
                <w:rFonts w:eastAsia="Times New Roman"/>
                <w:position w:val="2"/>
                <w:rtl/>
                <w:lang w:eastAsia="en-US"/>
              </w:rPr>
              <w:t>الاتصالات؛</w:t>
            </w:r>
          </w:p>
          <w:p w14:paraId="505107E4" w14:textId="77777777" w:rsidR="005559C4" w:rsidRPr="005C3BE3" w:rsidRDefault="005559C4" w:rsidP="007F16C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5C3BE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C3BE3">
              <w:rPr>
                <w:rFonts w:eastAsia="Times New Roman"/>
                <w:position w:val="2"/>
                <w:rtl/>
                <w:lang w:eastAsia="en-US"/>
              </w:rPr>
              <w:tab/>
              <w:t>الهيئات الأكاديمية المنضمة إلى الاتحاد؛</w:t>
            </w:r>
          </w:p>
          <w:p w14:paraId="4FA89B21" w14:textId="4747C326" w:rsidR="005559C4" w:rsidRPr="005C3BE3" w:rsidRDefault="005559C4" w:rsidP="007F16C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</w:rPr>
            </w:pPr>
            <w:r w:rsidRPr="005C3BE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C3BE3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5C3BE3">
              <w:rPr>
                <w:position w:val="2"/>
                <w:rtl/>
              </w:rPr>
              <w:t>رئيس لجنة الدراسات 13 لقطاع تقييس الاتصالات</w:t>
            </w:r>
            <w:r w:rsidR="00DC00FF">
              <w:rPr>
                <w:rFonts w:hint="cs"/>
                <w:position w:val="2"/>
                <w:rtl/>
              </w:rPr>
              <w:t> </w:t>
            </w:r>
            <w:r w:rsidRPr="005C3BE3">
              <w:rPr>
                <w:position w:val="2"/>
                <w:rtl/>
              </w:rPr>
              <w:t>ونوابه؛</w:t>
            </w:r>
          </w:p>
          <w:p w14:paraId="12543102" w14:textId="77777777" w:rsidR="005559C4" w:rsidRPr="005C3BE3" w:rsidRDefault="005559C4" w:rsidP="007F16C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5C3BE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C3BE3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5C3BE3">
              <w:rPr>
                <w:position w:val="2"/>
                <w:rtl/>
              </w:rPr>
              <w:t>مدير مكتب تنمية الاتصالات؛</w:t>
            </w:r>
          </w:p>
          <w:p w14:paraId="39F69D42" w14:textId="42E8E268" w:rsidR="005559C4" w:rsidRPr="00D517B2" w:rsidRDefault="005559C4" w:rsidP="007F16C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5C3BE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C3BE3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5C3BE3">
              <w:rPr>
                <w:position w:val="2"/>
                <w:rtl/>
              </w:rPr>
              <w:t>مدير مكتب الاتصالات الراديوية</w:t>
            </w:r>
          </w:p>
        </w:tc>
      </w:tr>
      <w:tr w:rsidR="005559C4" w:rsidRPr="00D517B2" w14:paraId="235EFED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84F4563" w14:textId="77777777" w:rsidR="005559C4" w:rsidRPr="00A9156F" w:rsidRDefault="005559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425AAB3" w14:textId="7FA5DA15" w:rsidR="005559C4" w:rsidRPr="00D517B2" w:rsidRDefault="005559C4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206" w:type="pct"/>
            <w:vMerge/>
          </w:tcPr>
          <w:p w14:paraId="141276A9" w14:textId="46480318" w:rsidR="005559C4" w:rsidRPr="00D517B2" w:rsidRDefault="005559C4" w:rsidP="004869B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559C4" w:rsidRPr="00D517B2" w14:paraId="1E46CECD" w14:textId="77777777" w:rsidTr="001364A4">
        <w:trPr>
          <w:cantSplit/>
          <w:trHeight w:val="477"/>
          <w:jc w:val="center"/>
        </w:trPr>
        <w:tc>
          <w:tcPr>
            <w:tcW w:w="796" w:type="pct"/>
          </w:tcPr>
          <w:p w14:paraId="0E6483D0" w14:textId="77777777" w:rsidR="005559C4" w:rsidRPr="00A9156F" w:rsidRDefault="005559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1216B06" w14:textId="77777777" w:rsidR="005559C4" w:rsidRPr="00D517B2" w:rsidRDefault="005559C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A13A251" w14:textId="1D478FE8" w:rsidR="005559C4" w:rsidRPr="00D517B2" w:rsidRDefault="005559C4" w:rsidP="004869B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559C4" w:rsidRPr="00D517B2" w14:paraId="72CF5174" w14:textId="77777777" w:rsidTr="00D517B2">
        <w:trPr>
          <w:cantSplit/>
          <w:jc w:val="center"/>
        </w:trPr>
        <w:tc>
          <w:tcPr>
            <w:tcW w:w="796" w:type="pct"/>
          </w:tcPr>
          <w:p w14:paraId="1D784BFE" w14:textId="77777777" w:rsidR="005559C4" w:rsidRPr="00A9156F" w:rsidRDefault="005559C4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B08079F" w14:textId="32D470CE" w:rsidR="005559C4" w:rsidRPr="006E1BAD" w:rsidRDefault="00000000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5559C4" w:rsidRPr="001F5D5B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206" w:type="pct"/>
            <w:vMerge/>
          </w:tcPr>
          <w:p w14:paraId="61D63C2C" w14:textId="0C3DE74D" w:rsidR="005559C4" w:rsidRPr="005C3BE3" w:rsidRDefault="005559C4" w:rsidP="005C3BE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71E217A2" w14:textId="77777777" w:rsidTr="00D517B2">
        <w:trPr>
          <w:cantSplit/>
          <w:jc w:val="center"/>
        </w:trPr>
        <w:tc>
          <w:tcPr>
            <w:tcW w:w="796" w:type="pct"/>
          </w:tcPr>
          <w:p w14:paraId="1674B77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6AE3DE6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5895DD9" w14:textId="77777777" w:rsidR="00CE1C08" w:rsidRPr="005C3BE3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F8F5691" w14:textId="77777777" w:rsidTr="00D517B2">
        <w:trPr>
          <w:cantSplit/>
          <w:jc w:val="center"/>
        </w:trPr>
        <w:tc>
          <w:tcPr>
            <w:tcW w:w="796" w:type="pct"/>
          </w:tcPr>
          <w:p w14:paraId="09B19ED6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E272A51" w14:textId="6A775912" w:rsidR="00CE1C08" w:rsidRPr="00D517B2" w:rsidRDefault="00392A54" w:rsidP="008664F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392A54">
              <w:rPr>
                <w:b/>
                <w:bCs/>
                <w:position w:val="2"/>
                <w:rtl/>
              </w:rPr>
              <w:t xml:space="preserve">حالة </w:t>
            </w:r>
            <w:proofErr w:type="gramStart"/>
            <w:r w:rsidRPr="00392A54">
              <w:rPr>
                <w:b/>
                <w:bCs/>
                <w:position w:val="2"/>
                <w:rtl/>
              </w:rPr>
              <w:t xml:space="preserve">التوصية </w:t>
            </w:r>
            <w:r w:rsidR="008664FC" w:rsidRPr="008664FC">
              <w:rPr>
                <w:rFonts w:ascii="Calibri" w:eastAsia="Times New Roman" w:hAnsi="Calibri" w:cs="Times New Roman"/>
                <w:b/>
                <w:lang w:eastAsia="en-US"/>
              </w:rPr>
              <w:t xml:space="preserve"> </w:t>
            </w:r>
            <w:r w:rsidR="008664FC" w:rsidRPr="008664FC">
              <w:rPr>
                <w:b/>
                <w:bCs/>
                <w:position w:val="2"/>
              </w:rPr>
              <w:t>ITU</w:t>
            </w:r>
            <w:proofErr w:type="gramEnd"/>
            <w:r w:rsidR="008664FC" w:rsidRPr="008664FC">
              <w:rPr>
                <w:b/>
                <w:bCs/>
                <w:position w:val="2"/>
              </w:rPr>
              <w:t>-T Y.3159 (ex Y.IMT-2020-NSL-fra)</w:t>
            </w:r>
            <w:r w:rsidRPr="00392A54">
              <w:rPr>
                <w:b/>
                <w:bCs/>
                <w:position w:val="2"/>
                <w:rtl/>
              </w:rPr>
              <w:t>بعد اجتماع لجنة الدراسات 13 لقطاع تقييس الاتصالات (جنيف، 23 أكتوبر - 3 نوفمبر</w:t>
            </w:r>
            <w:r w:rsidR="001364A4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1364A4">
              <w:rPr>
                <w:b/>
                <w:bCs/>
                <w:position w:val="2"/>
              </w:rPr>
              <w:t>2023</w:t>
            </w:r>
            <w:r w:rsidRPr="00392A54">
              <w:rPr>
                <w:b/>
                <w:bCs/>
                <w:position w:val="2"/>
                <w:rtl/>
              </w:rPr>
              <w:t>)</w:t>
            </w:r>
          </w:p>
        </w:tc>
      </w:tr>
    </w:tbl>
    <w:p w14:paraId="78F8DD4D" w14:textId="77777777" w:rsidR="00D517B2" w:rsidRPr="00D517B2" w:rsidRDefault="00D517B2" w:rsidP="007F16CF">
      <w:pPr>
        <w:spacing w:before="24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E4ED10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37E91EB" w14:textId="64CB4A48" w:rsidR="00392A54" w:rsidRPr="00161DD7" w:rsidRDefault="00392A54" w:rsidP="008623D8">
      <w:pPr>
        <w:spacing w:after="240"/>
        <w:textDirection w:val="tbRlV"/>
        <w:rPr>
          <w:lang w:val="ar-SA" w:eastAsia="zh-TW" w:bidi="en-GB"/>
        </w:rPr>
      </w:pPr>
      <w:r w:rsidRPr="00161DD7">
        <w:rPr>
          <w:rtl/>
        </w:rPr>
        <w:t>1</w:t>
      </w:r>
      <w:r w:rsidRPr="00161DD7">
        <w:rPr>
          <w:rtl/>
        </w:rPr>
        <w:tab/>
        <w:t>إلحاقا</w:t>
      </w:r>
      <w:r>
        <w:rPr>
          <w:rtl/>
        </w:rPr>
        <w:t>ً</w:t>
      </w:r>
      <w:r w:rsidRPr="00161DD7">
        <w:rPr>
          <w:rtl/>
        </w:rPr>
        <w:t xml:space="preserve"> بالإعلان </w:t>
      </w:r>
      <w:hyperlink r:id="rId10" w:history="1">
        <w:r w:rsidRPr="007B6975">
          <w:rPr>
            <w:rStyle w:val="Hyperlink"/>
            <w:rtl/>
          </w:rPr>
          <w:t>AAP-36</w:t>
        </w:r>
      </w:hyperlink>
      <w:r w:rsidRPr="00161DD7">
        <w:rPr>
          <w:rtl/>
        </w:rPr>
        <w:t xml:space="preserve"> الصادر عن مكتب تقييس الاتصالات بتاريخ 16 سبتمبر </w:t>
      </w:r>
      <w:r>
        <w:rPr>
          <w:rtl/>
        </w:rPr>
        <w:t>2023</w:t>
      </w:r>
      <w:r w:rsidRPr="00161DD7">
        <w:rPr>
          <w:rtl/>
        </w:rPr>
        <w:t xml:space="preserve">، وعملاً بالفقرة 2.6 من التوصية ITU-T A.8 (المراجَعة في جنيف، 2022)، أودُّ إبلاغكم بأن لجنة الدراسات </w:t>
      </w:r>
      <w:r>
        <w:rPr>
          <w:rtl/>
        </w:rPr>
        <w:t>13</w:t>
      </w:r>
      <w:r w:rsidRPr="00161DD7">
        <w:rPr>
          <w:rtl/>
        </w:rPr>
        <w:t xml:space="preserve"> لقطاع تقييس الاتصالات </w:t>
      </w:r>
      <w:r>
        <w:rPr>
          <w:rtl/>
        </w:rPr>
        <w:t xml:space="preserve">قد </w:t>
      </w:r>
      <w:r w:rsidRPr="00161DD7">
        <w:rPr>
          <w:rtl/>
        </w:rPr>
        <w:t>توصلت إلى القرار التالي في جلستها العامة التي عُقدت في 23 أكتوبر 2023 فيما يتعلق بمشروع نصّ قطاع تقييس الاتصالات التالي: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184"/>
        <w:gridCol w:w="1931"/>
      </w:tblGrid>
      <w:tr w:rsidR="00FC5E22" w:rsidRPr="001F5D5B" w14:paraId="309C4047" w14:textId="77777777" w:rsidTr="00FC5E22">
        <w:trPr>
          <w:tblHeader/>
          <w:jc w:val="center"/>
        </w:trPr>
        <w:tc>
          <w:tcPr>
            <w:tcW w:w="2494" w:type="dxa"/>
          </w:tcPr>
          <w:p w14:paraId="7F183528" w14:textId="1E9F066C" w:rsidR="00FC5E22" w:rsidRPr="001F5D5B" w:rsidRDefault="00FC5E22" w:rsidP="00FC5E22">
            <w:pPr>
              <w:pStyle w:val="TableHead"/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5184" w:type="dxa"/>
          </w:tcPr>
          <w:p w14:paraId="5EBC4B59" w14:textId="41971AA7" w:rsidR="00FC5E22" w:rsidRPr="001F5D5B" w:rsidRDefault="00FC5E22" w:rsidP="00FC5E22">
            <w:pPr>
              <w:pStyle w:val="TableHead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1931" w:type="dxa"/>
          </w:tcPr>
          <w:p w14:paraId="78A36D12" w14:textId="465D7FF2" w:rsidR="00FC5E22" w:rsidRPr="001F5D5B" w:rsidRDefault="00FC5E22" w:rsidP="00FC5E22">
            <w:pPr>
              <w:pStyle w:val="TableHead"/>
            </w:pPr>
            <w:r w:rsidRPr="00FC5E22">
              <w:rPr>
                <w:rtl/>
              </w:rPr>
              <w:t>القرار</w:t>
            </w:r>
          </w:p>
        </w:tc>
      </w:tr>
      <w:tr w:rsidR="00FC5E22" w:rsidRPr="001F5D5B" w14:paraId="69A53F81" w14:textId="77777777" w:rsidTr="00FC5E22">
        <w:trPr>
          <w:tblHeader/>
          <w:jc w:val="center"/>
        </w:trPr>
        <w:tc>
          <w:tcPr>
            <w:tcW w:w="2494" w:type="dxa"/>
            <w:tcBorders>
              <w:bottom w:val="single" w:sz="12" w:space="0" w:color="auto"/>
            </w:tcBorders>
          </w:tcPr>
          <w:p w14:paraId="755ABDA1" w14:textId="402777AA" w:rsidR="00FC5E22" w:rsidRPr="007F16CF" w:rsidRDefault="00FC5E22" w:rsidP="005B6D02">
            <w:pPr>
              <w:pStyle w:val="Tabletexte"/>
              <w:jc w:val="center"/>
              <w:rPr>
                <w:lang w:val="it-IT"/>
              </w:rPr>
            </w:pPr>
            <w:r w:rsidRPr="007F16CF">
              <w:rPr>
                <w:lang w:val="it-IT"/>
              </w:rPr>
              <w:t>Y.3159</w:t>
            </w:r>
            <w:r w:rsidRPr="007F16CF">
              <w:rPr>
                <w:lang w:val="it-IT"/>
              </w:rPr>
              <w:br/>
              <w:t>(</w:t>
            </w:r>
            <w:r w:rsidR="00000000">
              <w:fldChar w:fldCharType="begin"/>
            </w:r>
            <w:r w:rsidR="00000000" w:rsidRPr="007F16CF">
              <w:rPr>
                <w:lang w:val="it-IT"/>
              </w:rPr>
              <w:instrText>HYPERLINK "https://www.itu.int/ITU-T/workprog/wp_item.aspx?isn=18076"</w:instrText>
            </w:r>
            <w:r w:rsidR="00000000">
              <w:fldChar w:fldCharType="separate"/>
            </w:r>
            <w:r w:rsidR="005B6D02" w:rsidRPr="00C74729">
              <w:rPr>
                <w:rStyle w:val="Hyperlink"/>
                <w:b/>
                <w:bCs/>
                <w:lang w:val="de-DE"/>
              </w:rPr>
              <w:t>Y.IMT-2020-NSL-fra</w:t>
            </w:r>
            <w:r w:rsidR="00000000">
              <w:rPr>
                <w:rStyle w:val="Hyperlink"/>
                <w:b/>
                <w:bCs/>
                <w:lang w:val="de-DE"/>
              </w:rPr>
              <w:fldChar w:fldCharType="end"/>
            </w:r>
            <w:r w:rsidRPr="007F16CF">
              <w:rPr>
                <w:lang w:val="it-IT"/>
              </w:rPr>
              <w:t>)</w:t>
            </w:r>
          </w:p>
        </w:tc>
        <w:tc>
          <w:tcPr>
            <w:tcW w:w="5184" w:type="dxa"/>
            <w:tcBorders>
              <w:bottom w:val="single" w:sz="12" w:space="0" w:color="auto"/>
            </w:tcBorders>
          </w:tcPr>
          <w:p w14:paraId="3529C186" w14:textId="7F82EB87" w:rsidR="00FC5E22" w:rsidRPr="007F16CF" w:rsidRDefault="00FC5E22" w:rsidP="005B6D02">
            <w:pPr>
              <w:pStyle w:val="Tabletexte"/>
              <w:rPr>
                <w:i/>
                <w:iCs/>
                <w:lang w:val="it-IT"/>
              </w:rPr>
            </w:pPr>
            <w:r w:rsidRPr="005B6D02">
              <w:rPr>
                <w:i/>
                <w:iCs/>
                <w:rtl/>
              </w:rPr>
              <w:t>إطار لتصنيف مستوى شرائح الشبكة في شبكات المستقبل بما</w:t>
            </w:r>
            <w:r w:rsidRPr="005B6D02">
              <w:rPr>
                <w:rFonts w:hint="cs"/>
                <w:i/>
                <w:iCs/>
                <w:rtl/>
              </w:rPr>
              <w:t> </w:t>
            </w:r>
            <w:r w:rsidRPr="005B6D02">
              <w:rPr>
                <w:i/>
                <w:iCs/>
                <w:rtl/>
              </w:rPr>
              <w:t>في ذلك شبكات الاتصالات المتنقلة الدولية-2020</w:t>
            </w: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14:paraId="1DF20B39" w14:textId="48AAD779" w:rsidR="00FC5E22" w:rsidRPr="005B6D02" w:rsidRDefault="00FC5E22" w:rsidP="005B6D02">
            <w:pPr>
              <w:pStyle w:val="Tabletexte"/>
              <w:jc w:val="center"/>
            </w:pPr>
            <w:r w:rsidRPr="005B6D02">
              <w:rPr>
                <w:rtl/>
              </w:rPr>
              <w:t>تمت الموافقة عليه</w:t>
            </w:r>
          </w:p>
        </w:tc>
      </w:tr>
    </w:tbl>
    <w:p w14:paraId="60B1FA66" w14:textId="557D8454" w:rsidR="00FC5E22" w:rsidRPr="00161DD7" w:rsidRDefault="00FC5E22" w:rsidP="008623D8">
      <w:pPr>
        <w:spacing w:before="240"/>
        <w:textDirection w:val="tbRlV"/>
        <w:rPr>
          <w:lang w:val="ar-SA" w:eastAsia="zh-TW" w:bidi="en-GB"/>
        </w:rPr>
      </w:pPr>
      <w:r w:rsidRPr="00161DD7">
        <w:rPr>
          <w:rtl/>
        </w:rPr>
        <w:t>2</w:t>
      </w:r>
      <w:r w:rsidRPr="00161DD7">
        <w:rPr>
          <w:rtl/>
        </w:rPr>
        <w:tab/>
        <w:t xml:space="preserve">يمكن الاطلاع على المعلومات المتاحة بشأن البراءات بالرجوع إلى </w:t>
      </w:r>
      <w:hyperlink r:id="rId11" w:history="1">
        <w:r w:rsidRPr="007B6975">
          <w:rPr>
            <w:rStyle w:val="Hyperlink"/>
            <w:rtl/>
          </w:rPr>
          <w:t>الموقع الإلكتروني لقطاع تقييس الاتصالات</w:t>
        </w:r>
      </w:hyperlink>
      <w:r w:rsidRPr="00161DD7">
        <w:rPr>
          <w:rtl/>
        </w:rPr>
        <w:t>.</w:t>
      </w:r>
    </w:p>
    <w:p w14:paraId="135CF27B" w14:textId="4B1B0F52" w:rsidR="008623D8" w:rsidRPr="00D517B2" w:rsidRDefault="00FC5E22" w:rsidP="007F16CF">
      <w:pPr>
        <w:jc w:val="left"/>
        <w:textDirection w:val="tbRlV"/>
        <w:rPr>
          <w:rtl/>
          <w:lang w:bidi="ar-EG"/>
        </w:rPr>
      </w:pPr>
      <w:r w:rsidRPr="00161DD7">
        <w:rPr>
          <w:rtl/>
        </w:rPr>
        <w:t>3</w:t>
      </w:r>
      <w:r w:rsidRPr="00161DD7">
        <w:rPr>
          <w:rtl/>
        </w:rPr>
        <w:tab/>
        <w:t>سيتاح نصُّ التوصية بصيغتها السابقة للنشر في الموقع الإلكتروني لقطاع تقييس الاتصالات في</w:t>
      </w:r>
      <w:r w:rsidR="005E4BEA">
        <w:rPr>
          <w:rFonts w:hint="cs"/>
          <w:rtl/>
        </w:rPr>
        <w:t> </w:t>
      </w:r>
      <w:r w:rsidRPr="00161DD7">
        <w:rPr>
          <w:rtl/>
        </w:rPr>
        <w:t xml:space="preserve">العنوان </w:t>
      </w:r>
      <w:r w:rsidR="005E4BEA">
        <w:rPr>
          <w:rtl/>
        </w:rPr>
        <w:tab/>
      </w:r>
      <w:r w:rsidR="005E4BEA">
        <w:rPr>
          <w:rtl/>
        </w:rPr>
        <w:br/>
      </w:r>
      <w:hyperlink r:id="rId12" w:history="1">
        <w:r w:rsidR="005E4BEA" w:rsidRPr="004E6B7F">
          <w:rPr>
            <w:rStyle w:val="Hyperlink"/>
          </w:rPr>
          <w:t>http://itu.int/itu-t/recommendations/</w:t>
        </w:r>
      </w:hyperlink>
      <w:r w:rsidRPr="00DC00FF">
        <w:rPr>
          <w:rtl/>
        </w:rPr>
        <w:t>.</w:t>
      </w:r>
      <w:r w:rsidR="007F16CF">
        <w:rPr>
          <w:rtl/>
        </w:rPr>
        <w:br/>
      </w:r>
      <w:r w:rsidR="007F16CF">
        <w:rPr>
          <w:rtl/>
        </w:rPr>
        <w:br/>
      </w:r>
      <w:r w:rsidRPr="00161DD7">
        <w:rPr>
          <w:rtl/>
        </w:rPr>
        <w:t>4</w:t>
      </w:r>
      <w:r w:rsidRPr="00161DD7">
        <w:rPr>
          <w:rtl/>
        </w:rPr>
        <w:tab/>
      </w:r>
      <w:r>
        <w:rPr>
          <w:rtl/>
        </w:rPr>
        <w:t>و</w:t>
      </w:r>
      <w:r w:rsidRPr="00161DD7">
        <w:rPr>
          <w:rtl/>
        </w:rPr>
        <w:t>سوف ينشر الاتحاد نصَّ هذه التوصية في أقرب وقت ممكن.</w:t>
      </w:r>
      <w:r w:rsidR="007F16CF">
        <w:rPr>
          <w:rtl/>
        </w:rPr>
        <w:br/>
      </w:r>
      <w:r w:rsidR="007F16CF">
        <w:rPr>
          <w:rtl/>
        </w:rPr>
        <w:br/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  <w:r w:rsidR="007F16CF">
        <w:rPr>
          <w:rtl/>
          <w:lang w:bidi="ar-EG"/>
        </w:rPr>
        <w:br/>
      </w:r>
      <w:r w:rsidR="007F16CF">
        <w:rPr>
          <w:rtl/>
          <w:lang w:bidi="ar-EG"/>
        </w:rPr>
        <w:br/>
      </w:r>
      <w:r w:rsidR="00E84438" w:rsidRPr="00C74729">
        <w:rPr>
          <w:rFonts w:hint="cs"/>
          <w:i/>
          <w:iCs/>
          <w:rtl/>
          <w:lang w:bidi="ar-SY"/>
        </w:rPr>
        <w:t>(توقيع)</w:t>
      </w:r>
      <w:r w:rsidR="007F16CF">
        <w:rPr>
          <w:i/>
          <w:iCs/>
          <w:rtl/>
          <w:lang w:bidi="ar-SY"/>
        </w:rPr>
        <w:br/>
      </w:r>
      <w:r w:rsidR="007F16CF">
        <w:rPr>
          <w:i/>
          <w:iCs/>
          <w:rtl/>
          <w:lang w:bidi="ar-SY"/>
        </w:rPr>
        <w:br/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8623D8" w:rsidRPr="00D517B2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F3AA" w14:textId="77777777" w:rsidR="00C066FA" w:rsidRDefault="00C066FA" w:rsidP="006C3242">
      <w:pPr>
        <w:spacing w:before="0" w:line="240" w:lineRule="auto"/>
      </w:pPr>
      <w:r>
        <w:separator/>
      </w:r>
    </w:p>
  </w:endnote>
  <w:endnote w:type="continuationSeparator" w:id="0">
    <w:p w14:paraId="167F8CE0" w14:textId="77777777" w:rsidR="00C066FA" w:rsidRDefault="00C066F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5D4A" w14:textId="066FCD5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745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F082" w14:textId="77777777" w:rsidR="00C066FA" w:rsidRDefault="00C066FA" w:rsidP="006C3242">
      <w:pPr>
        <w:spacing w:before="0" w:line="240" w:lineRule="auto"/>
      </w:pPr>
      <w:r>
        <w:separator/>
      </w:r>
    </w:p>
  </w:footnote>
  <w:footnote w:type="continuationSeparator" w:id="0">
    <w:p w14:paraId="3B58B626" w14:textId="77777777" w:rsidR="00C066FA" w:rsidRDefault="00C066F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3BA8" w14:textId="234D5745" w:rsidR="00447F32" w:rsidRPr="004075CD" w:rsidRDefault="00596808" w:rsidP="004040C8">
    <w:pPr>
      <w:pStyle w:val="Header"/>
      <w:spacing w:after="240" w:line="192" w:lineRule="auto"/>
      <w:jc w:val="center"/>
    </w:pPr>
    <w:r w:rsidRPr="004075CD">
      <w:rPr>
        <w:sz w:val="20"/>
        <w:szCs w:val="20"/>
      </w:rPr>
      <w:t xml:space="preserve">- </w:t>
    </w:r>
    <w:r w:rsidRPr="004075CD">
      <w:rPr>
        <w:sz w:val="20"/>
        <w:szCs w:val="20"/>
      </w:rPr>
      <w:fldChar w:fldCharType="begin"/>
    </w:r>
    <w:r w:rsidRPr="004075CD">
      <w:rPr>
        <w:sz w:val="20"/>
        <w:szCs w:val="20"/>
      </w:rPr>
      <w:instrText xml:space="preserve"> PAGE </w:instrText>
    </w:r>
    <w:r w:rsidRPr="004075CD">
      <w:rPr>
        <w:sz w:val="20"/>
        <w:szCs w:val="20"/>
      </w:rPr>
      <w:fldChar w:fldCharType="separate"/>
    </w:r>
    <w:r w:rsidRPr="004075CD">
      <w:rPr>
        <w:sz w:val="20"/>
        <w:szCs w:val="20"/>
      </w:rPr>
      <w:t>2</w:t>
    </w:r>
    <w:r w:rsidRPr="004075CD">
      <w:rPr>
        <w:sz w:val="20"/>
        <w:szCs w:val="20"/>
      </w:rPr>
      <w:fldChar w:fldCharType="end"/>
    </w:r>
    <w:r w:rsidRPr="004075CD">
      <w:rPr>
        <w:sz w:val="20"/>
        <w:szCs w:val="20"/>
      </w:rPr>
      <w:t xml:space="preserve"> -</w:t>
    </w:r>
    <w:r w:rsidR="00E84438" w:rsidRPr="004075CD">
      <w:rPr>
        <w:sz w:val="20"/>
        <w:szCs w:val="20"/>
        <w:rtl/>
      </w:rPr>
      <w:br/>
    </w:r>
    <w:r w:rsidR="004040C8" w:rsidRPr="004040C8">
      <w:rPr>
        <w:bCs/>
        <w:sz w:val="20"/>
        <w:szCs w:val="20"/>
        <w:lang w:bidi="ar-EG"/>
      </w:rPr>
      <w:t xml:space="preserve">TSB Circular </w:t>
    </w:r>
    <w:r w:rsidR="004040C8">
      <w:rPr>
        <w:bCs/>
        <w:sz w:val="20"/>
        <w:szCs w:val="20"/>
        <w:lang w:bidi="ar-EG"/>
      </w:rPr>
      <w:t>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58"/>
    <w:rsid w:val="00002A63"/>
    <w:rsid w:val="00047A58"/>
    <w:rsid w:val="0006468A"/>
    <w:rsid w:val="00090574"/>
    <w:rsid w:val="000C1C0E"/>
    <w:rsid w:val="000C548A"/>
    <w:rsid w:val="000E327F"/>
    <w:rsid w:val="001306D9"/>
    <w:rsid w:val="001364A4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92A54"/>
    <w:rsid w:val="003A3046"/>
    <w:rsid w:val="003C7EDF"/>
    <w:rsid w:val="003F4B29"/>
    <w:rsid w:val="00400EC6"/>
    <w:rsid w:val="004040C8"/>
    <w:rsid w:val="004075CD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559C4"/>
    <w:rsid w:val="00556242"/>
    <w:rsid w:val="005731DD"/>
    <w:rsid w:val="0058491B"/>
    <w:rsid w:val="00592EA5"/>
    <w:rsid w:val="00595B52"/>
    <w:rsid w:val="00596808"/>
    <w:rsid w:val="005A3170"/>
    <w:rsid w:val="005B6D02"/>
    <w:rsid w:val="005C3BE3"/>
    <w:rsid w:val="005E4BEA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7F16CF"/>
    <w:rsid w:val="00807031"/>
    <w:rsid w:val="00810B7B"/>
    <w:rsid w:val="0082358A"/>
    <w:rsid w:val="008235CD"/>
    <w:rsid w:val="008247DE"/>
    <w:rsid w:val="00840B10"/>
    <w:rsid w:val="008513CB"/>
    <w:rsid w:val="008623D8"/>
    <w:rsid w:val="008664FC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066FA"/>
    <w:rsid w:val="00C53BF8"/>
    <w:rsid w:val="00C66157"/>
    <w:rsid w:val="00C674FE"/>
    <w:rsid w:val="00C67501"/>
    <w:rsid w:val="00C74729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462EC"/>
    <w:rsid w:val="00D517B2"/>
    <w:rsid w:val="00D76170"/>
    <w:rsid w:val="00D77D0F"/>
    <w:rsid w:val="00D92EF4"/>
    <w:rsid w:val="00DA1CF0"/>
    <w:rsid w:val="00DB54D4"/>
    <w:rsid w:val="00DC00FF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1348E"/>
    <w:rsid w:val="00F24FC4"/>
    <w:rsid w:val="00F2676C"/>
    <w:rsid w:val="00F52941"/>
    <w:rsid w:val="00F84366"/>
    <w:rsid w:val="00F85089"/>
    <w:rsid w:val="00F974C5"/>
    <w:rsid w:val="00FA6F46"/>
    <w:rsid w:val="00FC5E2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16BB"/>
  <w15:chartTrackingRefBased/>
  <w15:docId w15:val="{7C6A9A9E-C8FD-40B7-BE7B-4CB60D1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超链接1,Style 58,超????,하이퍼링크2,超?级链,CEO_Hyperlink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head0">
    <w:name w:val="Table_head"/>
    <w:basedOn w:val="Normal"/>
    <w:next w:val="Normal"/>
    <w:rsid w:val="00FC5E22"/>
    <w:pPr>
      <w:keepNext/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dms_pubaap/01/T0101001736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Arabic_AA</dc:creator>
  <cp:keywords/>
  <dc:description/>
  <cp:lastModifiedBy>Maguire, Mairéad</cp:lastModifiedBy>
  <cp:revision>2</cp:revision>
  <dcterms:created xsi:type="dcterms:W3CDTF">2023-11-24T11:44:00Z</dcterms:created>
  <dcterms:modified xsi:type="dcterms:W3CDTF">2023-11-24T11:44:00Z</dcterms:modified>
</cp:coreProperties>
</file>