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6D775C" w:rsidRPr="00DC324F" w14:paraId="4FC72EF9" w14:textId="77777777" w:rsidTr="7107ED0C">
        <w:trPr>
          <w:trHeight w:val="1282"/>
          <w:jc w:val="center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DC324F" w:rsidRDefault="00B049BB" w:rsidP="00C978EA">
            <w:pPr>
              <w:pStyle w:val="Tabletext"/>
              <w:jc w:val="center"/>
            </w:pPr>
            <w:r w:rsidRPr="00DC324F">
              <w:rPr>
                <w:noProof/>
                <w:lang w:val="en-US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Pr="00DC324F" w:rsidRDefault="00D40F22" w:rsidP="00C978E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Pr="00DC324F" w:rsidRDefault="00D40F22" w:rsidP="00C978E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08EC01DC" w:rsidR="006D775C" w:rsidRPr="00DC324F" w:rsidRDefault="006D775C" w:rsidP="315C3A3D">
            <w:pPr>
              <w:spacing w:before="0"/>
              <w:jc w:val="right"/>
            </w:pPr>
          </w:p>
        </w:tc>
      </w:tr>
      <w:tr w:rsidR="006D775C" w:rsidRPr="00DC324F" w14:paraId="12328938" w14:textId="77777777" w:rsidTr="7107ED0C">
        <w:trPr>
          <w:trHeight w:val="80"/>
          <w:jc w:val="center"/>
        </w:trPr>
        <w:tc>
          <w:tcPr>
            <w:tcW w:w="4820" w:type="dxa"/>
            <w:gridSpan w:val="3"/>
            <w:vAlign w:val="center"/>
          </w:tcPr>
          <w:p w14:paraId="2761DBBA" w14:textId="77777777" w:rsidR="006D775C" w:rsidRPr="00DC324F" w:rsidRDefault="006D775C" w:rsidP="00C978EA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6188B20C" w:rsidR="006D775C" w:rsidRPr="00DC324F" w:rsidRDefault="00746EA0" w:rsidP="00C978EA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 xml:space="preserve">Geneva, </w:t>
            </w:r>
            <w:r w:rsidR="001C7660">
              <w:rPr>
                <w:sz w:val="22"/>
                <w:szCs w:val="18"/>
              </w:rPr>
              <w:t>4</w:t>
            </w:r>
            <w:r w:rsidR="00320E57">
              <w:rPr>
                <w:sz w:val="22"/>
                <w:szCs w:val="18"/>
              </w:rPr>
              <w:t xml:space="preserve"> October 2023</w:t>
            </w:r>
          </w:p>
        </w:tc>
      </w:tr>
      <w:tr w:rsidR="006D775C" w:rsidRPr="00DC324F" w14:paraId="2822328E" w14:textId="77777777" w:rsidTr="7107ED0C">
        <w:trPr>
          <w:trHeight w:val="746"/>
          <w:jc w:val="center"/>
        </w:trPr>
        <w:tc>
          <w:tcPr>
            <w:tcW w:w="1276" w:type="dxa"/>
          </w:tcPr>
          <w:p w14:paraId="37C6E0B7" w14:textId="45855F5A" w:rsidR="006D775C" w:rsidRPr="00DC324F" w:rsidRDefault="00D40F22" w:rsidP="00C978EA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7F202FB7" w:rsidR="006D775C" w:rsidRPr="00DC324F" w:rsidRDefault="00D40F22" w:rsidP="7107ED0C">
            <w:pPr>
              <w:pStyle w:val="TSBCircNo"/>
              <w:framePr w:hSpace="0" w:wrap="auto" w:vAnchor="margin" w:hAnchor="text" w:xAlign="left" w:yAlign="inline"/>
              <w:rPr>
                <w:highlight w:val="yellow"/>
              </w:rPr>
            </w:pPr>
            <w:r>
              <w:t xml:space="preserve">TSB Circular </w:t>
            </w:r>
            <w:r w:rsidR="701521DE">
              <w:t>141</w:t>
            </w:r>
          </w:p>
          <w:p w14:paraId="32FA7A12" w14:textId="210C86AB" w:rsidR="006D775C" w:rsidRPr="00DC324F" w:rsidRDefault="00315F99" w:rsidP="00C978EA">
            <w:pPr>
              <w:pStyle w:val="Tabletext"/>
              <w:rPr>
                <w:sz w:val="22"/>
                <w:szCs w:val="18"/>
              </w:rPr>
            </w:pPr>
            <w:r w:rsidRPr="00320E57">
              <w:rPr>
                <w:sz w:val="22"/>
                <w:szCs w:val="18"/>
              </w:rPr>
              <w:t>SG</w:t>
            </w:r>
            <w:r w:rsidR="00320E57" w:rsidRPr="00320E57">
              <w:rPr>
                <w:sz w:val="22"/>
                <w:szCs w:val="18"/>
              </w:rPr>
              <w:t>12</w:t>
            </w:r>
            <w:r w:rsidRPr="00320E57">
              <w:rPr>
                <w:sz w:val="22"/>
                <w:szCs w:val="18"/>
              </w:rPr>
              <w:t>/</w:t>
            </w:r>
            <w:r w:rsidR="00320E57" w:rsidRPr="00320E57">
              <w:rPr>
                <w:sz w:val="22"/>
                <w:szCs w:val="18"/>
              </w:rPr>
              <w:t>MA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DC324F" w:rsidRDefault="00315F99" w:rsidP="00C978EA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To:</w:t>
            </w:r>
          </w:p>
          <w:p w14:paraId="3103D493" w14:textId="77777777" w:rsidR="006D775C" w:rsidRPr="00DC324F" w:rsidRDefault="00315F99" w:rsidP="00C978EA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Administrations of Member States of the Union</w:t>
            </w:r>
          </w:p>
          <w:p w14:paraId="7AFED833" w14:textId="77777777" w:rsidR="00165A31" w:rsidRPr="00DC324F" w:rsidRDefault="00165A31" w:rsidP="00C978EA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Copy to:</w:t>
            </w:r>
          </w:p>
          <w:p w14:paraId="1DB923B3" w14:textId="77777777" w:rsidR="00165A31" w:rsidRPr="00DC324F" w:rsidRDefault="00165A31" w:rsidP="00C978EA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DC324F">
              <w:rPr>
                <w:sz w:val="22"/>
                <w:szCs w:val="18"/>
              </w:rPr>
              <w:t>Members;</w:t>
            </w:r>
            <w:proofErr w:type="gramEnd"/>
          </w:p>
          <w:p w14:paraId="629B5794" w14:textId="3615A5CE" w:rsidR="00165A31" w:rsidRPr="00DC324F" w:rsidRDefault="00165A31" w:rsidP="00C978EA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Associates of ITU-T Study Group </w:t>
            </w:r>
            <w:proofErr w:type="gramStart"/>
            <w:r w:rsidR="00320E57">
              <w:rPr>
                <w:sz w:val="22"/>
                <w:szCs w:val="18"/>
              </w:rPr>
              <w:t>12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  <w:r w:rsidRPr="00DC324F">
              <w:rPr>
                <w:sz w:val="22"/>
                <w:szCs w:val="18"/>
              </w:rPr>
              <w:t xml:space="preserve"> </w:t>
            </w:r>
          </w:p>
          <w:p w14:paraId="7C7BA287" w14:textId="77777777" w:rsidR="00165A31" w:rsidRPr="00DC324F" w:rsidRDefault="00165A31" w:rsidP="00C978EA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DC324F">
              <w:rPr>
                <w:sz w:val="22"/>
                <w:szCs w:val="18"/>
              </w:rPr>
              <w:t>Academia;</w:t>
            </w:r>
            <w:proofErr w:type="gramEnd"/>
          </w:p>
          <w:p w14:paraId="2E17061C" w14:textId="59AEBA1C" w:rsidR="00165A31" w:rsidRPr="00DC324F" w:rsidRDefault="00165A31" w:rsidP="00C978EA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="00320E57">
              <w:rPr>
                <w:sz w:val="22"/>
                <w:szCs w:val="18"/>
              </w:rPr>
              <w:t>12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</w:p>
          <w:p w14:paraId="44523DC2" w14:textId="77777777" w:rsidR="00165A31" w:rsidRPr="00DC324F" w:rsidRDefault="00165A31" w:rsidP="00C978EA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DC324F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2218104C" w:rsidR="00165A31" w:rsidRPr="00DC324F" w:rsidRDefault="00165A31" w:rsidP="00C978EA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15F99" w:rsidRPr="00DC324F" w14:paraId="22805FF0" w14:textId="77777777" w:rsidTr="7107ED0C">
        <w:trPr>
          <w:trHeight w:val="221"/>
          <w:jc w:val="center"/>
        </w:trPr>
        <w:tc>
          <w:tcPr>
            <w:tcW w:w="1276" w:type="dxa"/>
          </w:tcPr>
          <w:p w14:paraId="42FA40C9" w14:textId="77777777" w:rsidR="00315F99" w:rsidRPr="00DC324F" w:rsidRDefault="00315F99" w:rsidP="00C978EA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3C5A0232" w:rsidR="00315F99" w:rsidRPr="00DC324F" w:rsidRDefault="00315F99" w:rsidP="00C978EA">
            <w:pPr>
              <w:pStyle w:val="Tabletext"/>
              <w:rPr>
                <w:b/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 xml:space="preserve">+41 22 730 </w:t>
            </w:r>
            <w:r w:rsidR="00320E57">
              <w:rPr>
                <w:sz w:val="22"/>
                <w:szCs w:val="18"/>
              </w:rPr>
              <w:t>6828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DC324F" w:rsidRDefault="00315F99" w:rsidP="00C978EA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15F99" w:rsidRPr="00DC324F" w14:paraId="2525B5C0" w14:textId="77777777" w:rsidTr="7107ED0C">
        <w:trPr>
          <w:trHeight w:val="2435"/>
          <w:jc w:val="center"/>
        </w:trPr>
        <w:tc>
          <w:tcPr>
            <w:tcW w:w="1276" w:type="dxa"/>
          </w:tcPr>
          <w:p w14:paraId="3899C144" w14:textId="77777777" w:rsidR="00315F99" w:rsidRPr="00DC324F" w:rsidRDefault="00315F99" w:rsidP="00C978EA">
            <w:pPr>
              <w:pStyle w:val="Tabletext"/>
              <w:rPr>
                <w:b/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Fax:</w:t>
            </w:r>
          </w:p>
          <w:p w14:paraId="31ED4771" w14:textId="7D981B1A" w:rsidR="00165A31" w:rsidRPr="00DC324F" w:rsidRDefault="00165A31" w:rsidP="00C978EA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197301F7" w14:textId="77777777" w:rsidR="00315F99" w:rsidRPr="00DC324F" w:rsidRDefault="00315F99" w:rsidP="00C978EA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+41 22 730 5853</w:t>
            </w:r>
          </w:p>
          <w:p w14:paraId="76DA77F0" w14:textId="67511906" w:rsidR="00165A31" w:rsidRPr="00DC324F" w:rsidRDefault="00695665" w:rsidP="00C978EA">
            <w:pPr>
              <w:pStyle w:val="Tabletext"/>
              <w:rPr>
                <w:b/>
                <w:sz w:val="22"/>
                <w:szCs w:val="18"/>
              </w:rPr>
            </w:pPr>
            <w:hyperlink r:id="rId12" w:history="1">
              <w:r w:rsidR="00320E57" w:rsidRPr="00CF24EB">
                <w:rPr>
                  <w:rStyle w:val="Hyperlink"/>
                  <w:sz w:val="22"/>
                  <w:szCs w:val="18"/>
                </w:rPr>
                <w:t>tsbsg12@itu.int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DC324F" w:rsidRDefault="00315F99" w:rsidP="00C978EA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DC324F" w14:paraId="1F5DA09D" w14:textId="77777777" w:rsidTr="7107ED0C">
        <w:trPr>
          <w:trHeight w:val="854"/>
          <w:jc w:val="center"/>
        </w:trPr>
        <w:tc>
          <w:tcPr>
            <w:tcW w:w="1276" w:type="dxa"/>
          </w:tcPr>
          <w:p w14:paraId="06A023BE" w14:textId="77777777" w:rsidR="006D775C" w:rsidRPr="00320E57" w:rsidRDefault="00D40F22" w:rsidP="00C978EA">
            <w:pPr>
              <w:pStyle w:val="Tabletext"/>
              <w:rPr>
                <w:sz w:val="22"/>
                <w:szCs w:val="18"/>
              </w:rPr>
            </w:pPr>
            <w:r w:rsidRPr="00320E57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1B1C4CCF" w:rsidR="006D775C" w:rsidRPr="00DC324F" w:rsidRDefault="00D40F22" w:rsidP="00C978EA">
            <w:pPr>
              <w:pStyle w:val="Tabletext"/>
              <w:rPr>
                <w:sz w:val="22"/>
                <w:szCs w:val="18"/>
              </w:rPr>
            </w:pPr>
            <w:r w:rsidRPr="00320E57">
              <w:rPr>
                <w:b/>
                <w:sz w:val="22"/>
                <w:szCs w:val="18"/>
              </w:rPr>
              <w:t>Proposed deletion of Recommendation</w:t>
            </w:r>
            <w:r w:rsidR="00092594" w:rsidRPr="00320E57">
              <w:rPr>
                <w:b/>
                <w:sz w:val="22"/>
                <w:szCs w:val="18"/>
              </w:rPr>
              <w:t>s</w:t>
            </w:r>
            <w:r w:rsidRPr="00320E57">
              <w:rPr>
                <w:b/>
                <w:sz w:val="22"/>
                <w:szCs w:val="18"/>
              </w:rPr>
              <w:t xml:space="preserve"> ITU-T </w:t>
            </w:r>
            <w:r w:rsidR="00320E57" w:rsidRPr="00320E57">
              <w:rPr>
                <w:b/>
                <w:sz w:val="22"/>
                <w:szCs w:val="18"/>
              </w:rPr>
              <w:t>P.862, P.862.1, P.862.2 and P.862.3</w:t>
            </w:r>
            <w:r w:rsidR="007D62C6" w:rsidRPr="00320E57">
              <w:rPr>
                <w:b/>
                <w:sz w:val="22"/>
                <w:szCs w:val="18"/>
              </w:rPr>
              <w:t xml:space="preserve"> </w:t>
            </w:r>
            <w:r w:rsidRPr="00320E57">
              <w:rPr>
                <w:b/>
                <w:sz w:val="22"/>
                <w:szCs w:val="18"/>
              </w:rPr>
              <w:t xml:space="preserve">agreed </w:t>
            </w:r>
            <w:r w:rsidR="005F755F" w:rsidRPr="00320E57">
              <w:rPr>
                <w:b/>
                <w:sz w:val="22"/>
                <w:szCs w:val="18"/>
              </w:rPr>
              <w:t xml:space="preserve">to </w:t>
            </w:r>
            <w:r w:rsidRPr="00320E57">
              <w:rPr>
                <w:b/>
                <w:sz w:val="22"/>
                <w:szCs w:val="18"/>
              </w:rPr>
              <w:t>by ITU-T SG</w:t>
            </w:r>
            <w:r w:rsidR="00320E57" w:rsidRPr="00320E57">
              <w:rPr>
                <w:b/>
                <w:sz w:val="22"/>
                <w:szCs w:val="18"/>
              </w:rPr>
              <w:t>12</w:t>
            </w:r>
            <w:r w:rsidRPr="00320E57">
              <w:rPr>
                <w:b/>
                <w:sz w:val="22"/>
                <w:szCs w:val="18"/>
              </w:rPr>
              <w:t xml:space="preserve"> at its meeting </w:t>
            </w:r>
            <w:r w:rsidR="00320E57" w:rsidRPr="00320E57">
              <w:rPr>
                <w:b/>
                <w:sz w:val="22"/>
                <w:szCs w:val="18"/>
              </w:rPr>
              <w:t>in Mexico City, 19-28 September 2023</w:t>
            </w:r>
          </w:p>
        </w:tc>
      </w:tr>
    </w:tbl>
    <w:p w14:paraId="1A7DF95A" w14:textId="77E5F2F6" w:rsidR="00C978EA" w:rsidRPr="00320E57" w:rsidRDefault="00C978EA" w:rsidP="00C978EA">
      <w:pPr>
        <w:rPr>
          <w:sz w:val="22"/>
          <w:szCs w:val="18"/>
        </w:rPr>
      </w:pPr>
      <w:r w:rsidRPr="00320E57">
        <w:rPr>
          <w:sz w:val="22"/>
          <w:szCs w:val="18"/>
        </w:rPr>
        <w:t>Dear Sir/Madam,</w:t>
      </w:r>
    </w:p>
    <w:p w14:paraId="6DD3B98D" w14:textId="4954556E" w:rsidR="00C978EA" w:rsidRPr="00320E57" w:rsidRDefault="00C978EA" w:rsidP="00071F8A">
      <w:pPr>
        <w:rPr>
          <w:sz w:val="22"/>
          <w:szCs w:val="18"/>
        </w:rPr>
      </w:pPr>
      <w:r w:rsidRPr="00320E57">
        <w:rPr>
          <w:sz w:val="22"/>
          <w:szCs w:val="18"/>
        </w:rPr>
        <w:t>1</w:t>
      </w:r>
      <w:r w:rsidRPr="00320E57">
        <w:rPr>
          <w:sz w:val="22"/>
          <w:szCs w:val="18"/>
        </w:rPr>
        <w:tab/>
        <w:t xml:space="preserve">At the request of the Chairman of Study Group </w:t>
      </w:r>
      <w:r w:rsidR="00320E57" w:rsidRPr="00320E57">
        <w:rPr>
          <w:sz w:val="22"/>
          <w:szCs w:val="18"/>
        </w:rPr>
        <w:t>12</w:t>
      </w:r>
      <w:r w:rsidRPr="00320E57">
        <w:rPr>
          <w:sz w:val="22"/>
          <w:szCs w:val="18"/>
        </w:rPr>
        <w:t xml:space="preserve"> (</w:t>
      </w:r>
      <w:r w:rsidR="00320E57" w:rsidRPr="00320E57">
        <w:rPr>
          <w:sz w:val="22"/>
          <w:szCs w:val="18"/>
        </w:rPr>
        <w:t>Performance, quality of service (QoS) and quality of experience (QoE)</w:t>
      </w:r>
      <w:r w:rsidRPr="00320E57">
        <w:rPr>
          <w:sz w:val="22"/>
          <w:szCs w:val="18"/>
        </w:rPr>
        <w:t xml:space="preserve">), I have the honour to inform you that this study group, in its meeting held in </w:t>
      </w:r>
      <w:r w:rsidR="00320E57" w:rsidRPr="00320E57">
        <w:rPr>
          <w:sz w:val="22"/>
          <w:szCs w:val="18"/>
        </w:rPr>
        <w:t>Mexico City, 19-28 September 2023</w:t>
      </w:r>
      <w:r w:rsidRPr="00320E57">
        <w:rPr>
          <w:sz w:val="22"/>
          <w:szCs w:val="18"/>
        </w:rPr>
        <w:t>, agreed to initiate the deletion of the above mentioned ITU</w:t>
      </w:r>
      <w:r w:rsidR="00B27D1E">
        <w:rPr>
          <w:sz w:val="22"/>
          <w:szCs w:val="18"/>
        </w:rPr>
        <w:noBreakHyphen/>
      </w:r>
      <w:r w:rsidRPr="00320E57">
        <w:rPr>
          <w:sz w:val="22"/>
          <w:szCs w:val="18"/>
        </w:rPr>
        <w:t>T</w:t>
      </w:r>
      <w:r w:rsidR="00B27D1E">
        <w:rPr>
          <w:sz w:val="22"/>
          <w:szCs w:val="18"/>
        </w:rPr>
        <w:t> </w:t>
      </w:r>
      <w:r w:rsidRPr="00320E57">
        <w:rPr>
          <w:sz w:val="22"/>
          <w:szCs w:val="18"/>
        </w:rPr>
        <w:t xml:space="preserve">Recommendations, in accordance with the provisions of </w:t>
      </w:r>
      <w:r w:rsidR="00640A58" w:rsidRPr="00320E57">
        <w:rPr>
          <w:sz w:val="22"/>
          <w:szCs w:val="18"/>
        </w:rPr>
        <w:t xml:space="preserve">clause 9.8.2.1 of </w:t>
      </w:r>
      <w:r w:rsidRPr="00320E57">
        <w:rPr>
          <w:sz w:val="22"/>
          <w:szCs w:val="18"/>
        </w:rPr>
        <w:t>Resolution 1 of WTSA (Rev.</w:t>
      </w:r>
      <w:r w:rsidR="00B27D1E">
        <w:rPr>
          <w:sz w:val="22"/>
          <w:szCs w:val="18"/>
        </w:rPr>
        <w:t> </w:t>
      </w:r>
      <w:r w:rsidRPr="00320E57">
        <w:rPr>
          <w:sz w:val="22"/>
          <w:szCs w:val="18"/>
        </w:rPr>
        <w:t>Geneva, 2022).</w:t>
      </w:r>
      <w:r w:rsidR="00B26E10">
        <w:rPr>
          <w:sz w:val="22"/>
          <w:szCs w:val="18"/>
        </w:rPr>
        <w:t xml:space="preserve"> </w:t>
      </w:r>
      <w:r w:rsidR="00D87885" w:rsidRPr="00320E57">
        <w:rPr>
          <w:sz w:val="22"/>
          <w:szCs w:val="18"/>
        </w:rPr>
        <w:t xml:space="preserve">This agreement was reached without </w:t>
      </w:r>
      <w:r w:rsidRPr="00320E57">
        <w:rPr>
          <w:sz w:val="22"/>
          <w:szCs w:val="18"/>
        </w:rPr>
        <w:t xml:space="preserve">opposition from the Member States or Sector Members </w:t>
      </w:r>
      <w:r w:rsidR="00071F8A" w:rsidRPr="00320E57">
        <w:rPr>
          <w:sz w:val="22"/>
          <w:szCs w:val="18"/>
        </w:rPr>
        <w:t xml:space="preserve">acting on behalf of Member States under No. 239 of the </w:t>
      </w:r>
      <w:r w:rsidR="00D87885" w:rsidRPr="00320E57">
        <w:rPr>
          <w:sz w:val="22"/>
          <w:szCs w:val="18"/>
        </w:rPr>
        <w:t xml:space="preserve">ITU </w:t>
      </w:r>
      <w:r w:rsidR="00071F8A" w:rsidRPr="00320E57">
        <w:rPr>
          <w:sz w:val="22"/>
          <w:szCs w:val="18"/>
        </w:rPr>
        <w:t xml:space="preserve">Convention </w:t>
      </w:r>
      <w:r w:rsidR="00780241" w:rsidRPr="00320E57">
        <w:rPr>
          <w:sz w:val="22"/>
          <w:szCs w:val="18"/>
        </w:rPr>
        <w:t>present at</w:t>
      </w:r>
      <w:r w:rsidRPr="00320E57">
        <w:rPr>
          <w:sz w:val="22"/>
          <w:szCs w:val="18"/>
        </w:rPr>
        <w:t xml:space="preserve"> the meeting.</w:t>
      </w:r>
    </w:p>
    <w:p w14:paraId="6E82377A" w14:textId="77777777" w:rsidR="00C978EA" w:rsidRPr="00320E57" w:rsidRDefault="00C978EA" w:rsidP="00C978EA">
      <w:pPr>
        <w:rPr>
          <w:sz w:val="22"/>
          <w:szCs w:val="18"/>
        </w:rPr>
      </w:pPr>
      <w:r w:rsidRPr="00320E57">
        <w:rPr>
          <w:sz w:val="22"/>
          <w:szCs w:val="18"/>
        </w:rPr>
        <w:t>2</w:t>
      </w:r>
      <w:r w:rsidRPr="00320E57">
        <w:rPr>
          <w:sz w:val="22"/>
          <w:szCs w:val="18"/>
        </w:rPr>
        <w:tab/>
      </w:r>
      <w:r w:rsidRPr="00320E57">
        <w:rPr>
          <w:b/>
          <w:sz w:val="22"/>
          <w:szCs w:val="18"/>
        </w:rPr>
        <w:t>Annex 1</w:t>
      </w:r>
      <w:r w:rsidRPr="00320E57">
        <w:rPr>
          <w:sz w:val="22"/>
          <w:szCs w:val="18"/>
        </w:rPr>
        <w:t xml:space="preserve"> gives information about this agreement, including an explanatory summary about the reasons for the deletion.</w:t>
      </w:r>
    </w:p>
    <w:p w14:paraId="14973AD5" w14:textId="0007C44D" w:rsidR="00C978EA" w:rsidRPr="00320E57" w:rsidRDefault="00C978EA" w:rsidP="00631EE3">
      <w:pPr>
        <w:rPr>
          <w:sz w:val="22"/>
          <w:szCs w:val="18"/>
        </w:rPr>
      </w:pPr>
      <w:r w:rsidRPr="00320E57">
        <w:rPr>
          <w:sz w:val="22"/>
          <w:szCs w:val="18"/>
        </w:rPr>
        <w:t>3</w:t>
      </w:r>
      <w:r w:rsidRPr="00320E57">
        <w:rPr>
          <w:sz w:val="22"/>
          <w:szCs w:val="18"/>
        </w:rPr>
        <w:tab/>
      </w:r>
      <w:r w:rsidR="009A552F" w:rsidRPr="00320E57">
        <w:rPr>
          <w:sz w:val="22"/>
          <w:szCs w:val="18"/>
        </w:rPr>
        <w:t>In</w:t>
      </w:r>
      <w:r w:rsidR="001F4E42" w:rsidRPr="00320E57">
        <w:rPr>
          <w:sz w:val="22"/>
          <w:szCs w:val="18"/>
        </w:rPr>
        <w:t xml:space="preserve"> conformance </w:t>
      </w:r>
      <w:r w:rsidR="00311C30" w:rsidRPr="00320E57">
        <w:rPr>
          <w:sz w:val="22"/>
          <w:szCs w:val="18"/>
        </w:rPr>
        <w:t>with</w:t>
      </w:r>
      <w:r w:rsidR="001F4E42" w:rsidRPr="00320E57">
        <w:rPr>
          <w:sz w:val="22"/>
          <w:szCs w:val="18"/>
        </w:rPr>
        <w:t xml:space="preserve"> </w:t>
      </w:r>
      <w:r w:rsidRPr="00320E57">
        <w:rPr>
          <w:sz w:val="22"/>
          <w:szCs w:val="18"/>
        </w:rPr>
        <w:t>Resolution 1, Section 9</w:t>
      </w:r>
      <w:r w:rsidR="001F4E42" w:rsidRPr="00320E57">
        <w:rPr>
          <w:sz w:val="22"/>
          <w:szCs w:val="18"/>
        </w:rPr>
        <w:t>.8.2.1</w:t>
      </w:r>
      <w:r w:rsidRPr="00320E57">
        <w:rPr>
          <w:sz w:val="22"/>
          <w:szCs w:val="18"/>
        </w:rPr>
        <w:t xml:space="preserve">, </w:t>
      </w:r>
      <w:r w:rsidR="00631EE3" w:rsidRPr="00320E57">
        <w:rPr>
          <w:sz w:val="22"/>
          <w:szCs w:val="18"/>
        </w:rPr>
        <w:t>the deletion will come into force i</w:t>
      </w:r>
      <w:r w:rsidR="00790E09" w:rsidRPr="00320E57">
        <w:rPr>
          <w:sz w:val="22"/>
          <w:szCs w:val="18"/>
        </w:rPr>
        <w:t>f</w:t>
      </w:r>
      <w:r w:rsidR="00631EE3" w:rsidRPr="00320E57">
        <w:rPr>
          <w:sz w:val="22"/>
          <w:szCs w:val="18"/>
        </w:rPr>
        <w:t xml:space="preserve"> no object</w:t>
      </w:r>
      <w:r w:rsidR="00790E09" w:rsidRPr="00320E57">
        <w:rPr>
          <w:sz w:val="22"/>
          <w:szCs w:val="18"/>
        </w:rPr>
        <w:t>ion</w:t>
      </w:r>
      <w:r w:rsidR="00631EE3" w:rsidRPr="00320E57">
        <w:rPr>
          <w:sz w:val="22"/>
          <w:szCs w:val="18"/>
        </w:rPr>
        <w:t xml:space="preserve"> to the deletion is received </w:t>
      </w:r>
      <w:r w:rsidRPr="00320E57">
        <w:rPr>
          <w:sz w:val="22"/>
          <w:szCs w:val="18"/>
        </w:rPr>
        <w:t>by 2359 hours UTC</w:t>
      </w:r>
      <w:r w:rsidRPr="00320E57">
        <w:rPr>
          <w:b/>
          <w:sz w:val="22"/>
          <w:szCs w:val="18"/>
        </w:rPr>
        <w:t xml:space="preserve"> </w:t>
      </w:r>
      <w:r w:rsidRPr="00320E57">
        <w:rPr>
          <w:bCs/>
          <w:sz w:val="22"/>
          <w:szCs w:val="18"/>
        </w:rPr>
        <w:t>on</w:t>
      </w:r>
      <w:r w:rsidRPr="00320E57">
        <w:rPr>
          <w:b/>
          <w:sz w:val="22"/>
          <w:szCs w:val="18"/>
        </w:rPr>
        <w:t xml:space="preserve"> </w:t>
      </w:r>
      <w:r w:rsidR="00320E57" w:rsidRPr="00320E57">
        <w:rPr>
          <w:b/>
          <w:sz w:val="22"/>
          <w:szCs w:val="18"/>
        </w:rPr>
        <w:t>4 January 2024</w:t>
      </w:r>
      <w:r w:rsidRPr="00320E57">
        <w:rPr>
          <w:sz w:val="22"/>
          <w:szCs w:val="18"/>
        </w:rPr>
        <w:t>.</w:t>
      </w:r>
    </w:p>
    <w:p w14:paraId="08B8CC6F" w14:textId="79B70DA1" w:rsidR="00C978EA" w:rsidRPr="00320E57" w:rsidRDefault="00C978EA" w:rsidP="00C978EA">
      <w:pPr>
        <w:rPr>
          <w:sz w:val="22"/>
          <w:szCs w:val="18"/>
        </w:rPr>
      </w:pPr>
      <w:r w:rsidRPr="00320E57">
        <w:rPr>
          <w:sz w:val="22"/>
          <w:szCs w:val="18"/>
        </w:rPr>
        <w:tab/>
        <w:t xml:space="preserve">Should any Member States or Sector Members </w:t>
      </w:r>
      <w:r w:rsidR="00640A58" w:rsidRPr="00320E57">
        <w:rPr>
          <w:sz w:val="22"/>
          <w:szCs w:val="18"/>
        </w:rPr>
        <w:t xml:space="preserve">acting on behalf of Member States under No. 239 of the ITU Convention </w:t>
      </w:r>
      <w:proofErr w:type="gramStart"/>
      <w:r w:rsidRPr="00320E57">
        <w:rPr>
          <w:sz w:val="22"/>
          <w:szCs w:val="18"/>
        </w:rPr>
        <w:t>be of the opinion that</w:t>
      </w:r>
      <w:proofErr w:type="gramEnd"/>
      <w:r w:rsidRPr="00320E57">
        <w:rPr>
          <w:sz w:val="22"/>
          <w:szCs w:val="18"/>
        </w:rPr>
        <w:t xml:space="preserve"> deletion should not be accepted, they should advise their reasons for disapproving and the matter would be referred back to the study group.</w:t>
      </w:r>
    </w:p>
    <w:p w14:paraId="348763A4" w14:textId="6ACB17FE" w:rsidR="00C978EA" w:rsidRPr="00320E57" w:rsidRDefault="00C978EA" w:rsidP="00C978EA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rPr>
          <w:sz w:val="22"/>
          <w:szCs w:val="18"/>
        </w:rPr>
      </w:pPr>
      <w:r w:rsidRPr="00320E57">
        <w:rPr>
          <w:sz w:val="22"/>
          <w:szCs w:val="18"/>
        </w:rPr>
        <w:t>4</w:t>
      </w:r>
      <w:r w:rsidRPr="00320E57">
        <w:rPr>
          <w:sz w:val="22"/>
          <w:szCs w:val="18"/>
        </w:rPr>
        <w:tab/>
      </w:r>
      <w:r w:rsidR="005D076C" w:rsidRPr="00320E57">
        <w:rPr>
          <w:sz w:val="22"/>
          <w:szCs w:val="18"/>
        </w:rPr>
        <w:t>T</w:t>
      </w:r>
      <w:r w:rsidRPr="00320E57">
        <w:rPr>
          <w:sz w:val="22"/>
          <w:szCs w:val="18"/>
        </w:rPr>
        <w:t>he result of th</w:t>
      </w:r>
      <w:r w:rsidR="005D076C" w:rsidRPr="00320E57">
        <w:rPr>
          <w:sz w:val="22"/>
          <w:szCs w:val="18"/>
        </w:rPr>
        <w:t>is</w:t>
      </w:r>
      <w:r w:rsidRPr="00320E57">
        <w:rPr>
          <w:sz w:val="22"/>
          <w:szCs w:val="18"/>
        </w:rPr>
        <w:t xml:space="preserve"> consultation</w:t>
      </w:r>
      <w:r w:rsidR="005D076C" w:rsidRPr="00320E57">
        <w:rPr>
          <w:sz w:val="22"/>
          <w:szCs w:val="18"/>
        </w:rPr>
        <w:t xml:space="preserve"> will be announced</w:t>
      </w:r>
      <w:r w:rsidR="009B44E9" w:rsidRPr="00320E57">
        <w:rPr>
          <w:sz w:val="22"/>
          <w:szCs w:val="18"/>
        </w:rPr>
        <w:t xml:space="preserve"> shortly after the deadline via a TSB Circular and </w:t>
      </w:r>
      <w:r w:rsidRPr="00320E57">
        <w:rPr>
          <w:sz w:val="22"/>
          <w:szCs w:val="18"/>
        </w:rPr>
        <w:t>published in the ITU Operational Bulletin.</w:t>
      </w:r>
    </w:p>
    <w:p w14:paraId="49064F96" w14:textId="0E1BFEE4" w:rsidR="00C978EA" w:rsidRPr="00DC324F" w:rsidRDefault="00C978EA" w:rsidP="00C978EA">
      <w:pPr>
        <w:keepNext/>
        <w:keepLines/>
        <w:spacing w:before="240"/>
        <w:rPr>
          <w:sz w:val="22"/>
          <w:szCs w:val="18"/>
        </w:rPr>
      </w:pPr>
      <w:r w:rsidRPr="00320E57">
        <w:rPr>
          <w:sz w:val="22"/>
          <w:szCs w:val="18"/>
        </w:rPr>
        <w:t>Yours faithfully,</w:t>
      </w:r>
    </w:p>
    <w:p w14:paraId="12281280" w14:textId="3B7562A4" w:rsidR="00C978EA" w:rsidRPr="00DC324F" w:rsidRDefault="00695665" w:rsidP="00C978EA">
      <w:pPr>
        <w:keepNext/>
        <w:keepLines/>
        <w:spacing w:before="960"/>
        <w:rPr>
          <w:sz w:val="22"/>
          <w:szCs w:val="18"/>
        </w:rPr>
      </w:pPr>
      <w:r w:rsidRPr="00DC324F"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21560DF0" wp14:editId="14DACBFE">
            <wp:simplePos x="0" y="0"/>
            <wp:positionH relativeFrom="column">
              <wp:posOffset>-19050</wp:posOffset>
            </wp:positionH>
            <wp:positionV relativeFrom="paragraph">
              <wp:posOffset>226060</wp:posOffset>
            </wp:positionV>
            <wp:extent cx="603885" cy="255089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25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29C" w:rsidRPr="0012229C">
        <w:rPr>
          <w:noProof/>
          <w:sz w:val="22"/>
          <w:szCs w:val="18"/>
          <w:lang w:val="en-US"/>
        </w:rPr>
        <w:t>Seizo Onoe</w:t>
      </w:r>
      <w:r w:rsidR="00C978EA" w:rsidRPr="00DC324F">
        <w:rPr>
          <w:sz w:val="22"/>
          <w:szCs w:val="18"/>
        </w:rPr>
        <w:br/>
        <w:t>Director of the Telecommunication</w:t>
      </w:r>
      <w:r w:rsidR="00C978EA" w:rsidRPr="00DC324F">
        <w:rPr>
          <w:sz w:val="22"/>
          <w:szCs w:val="18"/>
        </w:rPr>
        <w:br/>
        <w:t>Standardization Bureau</w:t>
      </w:r>
    </w:p>
    <w:p w14:paraId="265A6648" w14:textId="57D8BD8B" w:rsidR="00C978EA" w:rsidRPr="00686C31" w:rsidRDefault="00C978EA" w:rsidP="00C978EA">
      <w:pPr>
        <w:spacing w:before="360"/>
        <w:rPr>
          <w:b/>
          <w:sz w:val="22"/>
          <w:szCs w:val="18"/>
          <w:lang w:val="fr-FR"/>
        </w:rPr>
      </w:pPr>
      <w:proofErr w:type="gramStart"/>
      <w:r w:rsidRPr="00686C31">
        <w:rPr>
          <w:b/>
          <w:sz w:val="22"/>
          <w:szCs w:val="18"/>
          <w:lang w:val="fr-FR"/>
        </w:rPr>
        <w:t>Annex</w:t>
      </w:r>
      <w:r w:rsidRPr="00686C31">
        <w:rPr>
          <w:sz w:val="22"/>
          <w:szCs w:val="18"/>
          <w:lang w:val="fr-FR"/>
        </w:rPr>
        <w:t>:</w:t>
      </w:r>
      <w:proofErr w:type="gramEnd"/>
      <w:r w:rsidRPr="00686C31">
        <w:rPr>
          <w:sz w:val="22"/>
          <w:szCs w:val="18"/>
          <w:lang w:val="fr-FR"/>
        </w:rPr>
        <w:t xml:space="preserve"> 1</w:t>
      </w:r>
    </w:p>
    <w:p w14:paraId="72519382" w14:textId="4A7627AE" w:rsidR="00C978EA" w:rsidRPr="00686C31" w:rsidRDefault="00C978EA" w:rsidP="00C978EA">
      <w:pPr>
        <w:rPr>
          <w:lang w:val="fr-FR"/>
        </w:rPr>
      </w:pPr>
      <w:r w:rsidRPr="00686C31">
        <w:rPr>
          <w:lang w:val="fr-FR"/>
        </w:rPr>
        <w:br w:type="page"/>
      </w:r>
    </w:p>
    <w:p w14:paraId="0EE3A17F" w14:textId="75984B09" w:rsidR="00315F99" w:rsidRDefault="005638D8" w:rsidP="00092594">
      <w:pPr>
        <w:jc w:val="center"/>
        <w:rPr>
          <w:b/>
          <w:bCs/>
          <w:sz w:val="28"/>
          <w:szCs w:val="22"/>
          <w:lang w:val="fr-FR"/>
        </w:rPr>
      </w:pPr>
      <w:r w:rsidRPr="00320E57">
        <w:rPr>
          <w:b/>
          <w:bCs/>
          <w:sz w:val="28"/>
          <w:szCs w:val="22"/>
          <w:lang w:val="fr-FR"/>
        </w:rPr>
        <w:lastRenderedPageBreak/>
        <w:t>A</w:t>
      </w:r>
      <w:r w:rsidR="00092594" w:rsidRPr="00320E57">
        <w:rPr>
          <w:b/>
          <w:bCs/>
          <w:sz w:val="28"/>
          <w:szCs w:val="22"/>
          <w:lang w:val="fr-FR"/>
        </w:rPr>
        <w:t>nnex</w:t>
      </w:r>
      <w:r w:rsidRPr="00320E57">
        <w:rPr>
          <w:b/>
          <w:bCs/>
          <w:sz w:val="28"/>
          <w:szCs w:val="22"/>
          <w:lang w:val="fr-FR"/>
        </w:rPr>
        <w:t xml:space="preserve"> 1</w:t>
      </w:r>
      <w:r w:rsidR="00092594" w:rsidRPr="00320E57">
        <w:rPr>
          <w:b/>
          <w:bCs/>
          <w:sz w:val="28"/>
          <w:szCs w:val="22"/>
          <w:lang w:val="fr-FR"/>
        </w:rPr>
        <w:br/>
      </w:r>
      <w:proofErr w:type="spellStart"/>
      <w:r w:rsidR="005F755F" w:rsidRPr="00320E57">
        <w:rPr>
          <w:b/>
          <w:bCs/>
          <w:sz w:val="28"/>
          <w:szCs w:val="22"/>
          <w:lang w:val="fr-FR"/>
        </w:rPr>
        <w:t>Recommendation</w:t>
      </w:r>
      <w:r w:rsidR="00092594" w:rsidRPr="00320E57">
        <w:rPr>
          <w:b/>
          <w:bCs/>
          <w:sz w:val="28"/>
          <w:szCs w:val="22"/>
          <w:lang w:val="fr-FR"/>
        </w:rPr>
        <w:t>s</w:t>
      </w:r>
      <w:proofErr w:type="spellEnd"/>
      <w:r w:rsidR="005F755F" w:rsidRPr="00320E57">
        <w:rPr>
          <w:b/>
          <w:bCs/>
          <w:sz w:val="28"/>
          <w:szCs w:val="22"/>
          <w:lang w:val="fr-FR"/>
        </w:rPr>
        <w:t xml:space="preserve"> </w:t>
      </w:r>
      <w:proofErr w:type="spellStart"/>
      <w:r w:rsidR="005F755F" w:rsidRPr="00320E57">
        <w:rPr>
          <w:b/>
          <w:bCs/>
          <w:sz w:val="28"/>
          <w:szCs w:val="22"/>
          <w:lang w:val="fr-FR"/>
        </w:rPr>
        <w:t>proposed</w:t>
      </w:r>
      <w:proofErr w:type="spellEnd"/>
      <w:r w:rsidR="005F755F" w:rsidRPr="00320E57">
        <w:rPr>
          <w:b/>
          <w:bCs/>
          <w:sz w:val="28"/>
          <w:szCs w:val="22"/>
          <w:lang w:val="fr-FR"/>
        </w:rPr>
        <w:t xml:space="preserve"> for </w:t>
      </w:r>
      <w:proofErr w:type="spellStart"/>
      <w:proofErr w:type="gramStart"/>
      <w:r w:rsidR="005F755F" w:rsidRPr="00320E57">
        <w:rPr>
          <w:b/>
          <w:bCs/>
          <w:sz w:val="28"/>
          <w:szCs w:val="22"/>
          <w:lang w:val="fr-FR"/>
        </w:rPr>
        <w:t>deletion</w:t>
      </w:r>
      <w:proofErr w:type="spellEnd"/>
      <w:r w:rsidR="005F755F" w:rsidRPr="00320E57">
        <w:rPr>
          <w:b/>
          <w:bCs/>
          <w:sz w:val="28"/>
          <w:szCs w:val="22"/>
          <w:lang w:val="fr-FR"/>
        </w:rPr>
        <w:t>:</w:t>
      </w:r>
      <w:proofErr w:type="gramEnd"/>
      <w:r w:rsidR="005F755F" w:rsidRPr="00320E57">
        <w:rPr>
          <w:b/>
          <w:bCs/>
          <w:sz w:val="28"/>
          <w:szCs w:val="22"/>
          <w:lang w:val="fr-FR"/>
        </w:rPr>
        <w:t xml:space="preserve"> </w:t>
      </w:r>
      <w:r w:rsidR="00F94B4C">
        <w:rPr>
          <w:b/>
          <w:bCs/>
          <w:sz w:val="28"/>
          <w:szCs w:val="22"/>
          <w:lang w:val="fr-FR"/>
        </w:rPr>
        <w:br/>
      </w:r>
      <w:r w:rsidR="00320E57" w:rsidRPr="00320E57">
        <w:rPr>
          <w:b/>
          <w:bCs/>
          <w:sz w:val="28"/>
          <w:szCs w:val="22"/>
          <w:lang w:val="fr-FR"/>
        </w:rPr>
        <w:t>ITU-T P.862, ITU-T P.862.1, ITU-T P.862.2, ITU-T P.862.3</w:t>
      </w:r>
    </w:p>
    <w:p w14:paraId="26EEA9BD" w14:textId="77777777" w:rsidR="00F94B4C" w:rsidRPr="00320E57" w:rsidRDefault="00F94B4C" w:rsidP="001873F4">
      <w:pPr>
        <w:spacing w:before="0"/>
        <w:jc w:val="center"/>
        <w:rPr>
          <w:lang w:val="fr-FR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AE6D6D" w:rsidRPr="00AE6D6D" w14:paraId="2AB8F7CE" w14:textId="77777777" w:rsidTr="00AE6D6D">
        <w:tc>
          <w:tcPr>
            <w:tcW w:w="9719" w:type="dxa"/>
          </w:tcPr>
          <w:p w14:paraId="67A47212" w14:textId="565839AD" w:rsidR="00AE6D6D" w:rsidRPr="00AE6D6D" w:rsidRDefault="00AE6D6D" w:rsidP="00035BC0">
            <w:pPr>
              <w:spacing w:before="240"/>
              <w:rPr>
                <w:b/>
                <w:bCs/>
                <w:lang w:eastAsia="ja-JP"/>
              </w:rPr>
            </w:pPr>
            <w:r w:rsidRPr="00343E4A">
              <w:rPr>
                <w:b/>
                <w:bCs/>
                <w:lang w:eastAsia="ja-JP"/>
              </w:rPr>
              <w:t xml:space="preserve">Recommendation ITU-T </w:t>
            </w:r>
            <w:r w:rsidR="00320E57" w:rsidRPr="00343E4A">
              <w:rPr>
                <w:b/>
                <w:bCs/>
                <w:lang w:eastAsia="ja-JP"/>
              </w:rPr>
              <w:t>P.862</w:t>
            </w:r>
            <w:r w:rsidRPr="00343E4A">
              <w:rPr>
                <w:b/>
                <w:bCs/>
                <w:lang w:eastAsia="ja-JP"/>
              </w:rPr>
              <w:t xml:space="preserve">, </w:t>
            </w:r>
            <w:r w:rsidR="00320E57" w:rsidRPr="00343E4A">
              <w:rPr>
                <w:b/>
                <w:bCs/>
                <w:i/>
                <w:iCs/>
                <w:lang w:eastAsia="ja-JP"/>
              </w:rPr>
              <w:t>Perceptual evaluation of speech quality (PESQ): An objective method for end-to-end speech quality assessment of narrow-band telephone networks and speech codecs</w:t>
            </w:r>
            <w:r w:rsidR="00035BC0" w:rsidRPr="00343E4A">
              <w:rPr>
                <w:b/>
                <w:bCs/>
                <w:lang w:eastAsia="ja-JP"/>
              </w:rPr>
              <w:t xml:space="preserve"> (</w:t>
            </w:r>
            <w:r w:rsidR="00320E57" w:rsidRPr="00343E4A">
              <w:rPr>
                <w:b/>
                <w:bCs/>
                <w:lang w:eastAsia="ja-JP"/>
              </w:rPr>
              <w:t>02</w:t>
            </w:r>
            <w:r w:rsidR="00035BC0" w:rsidRPr="00343E4A">
              <w:rPr>
                <w:b/>
                <w:bCs/>
                <w:lang w:eastAsia="ja-JP"/>
              </w:rPr>
              <w:t>/</w:t>
            </w:r>
            <w:r w:rsidR="00320E57" w:rsidRPr="00343E4A">
              <w:rPr>
                <w:b/>
                <w:bCs/>
                <w:lang w:eastAsia="ja-JP"/>
              </w:rPr>
              <w:t>2001</w:t>
            </w:r>
            <w:r w:rsidR="00035BC0" w:rsidRPr="00343E4A">
              <w:rPr>
                <w:b/>
                <w:bCs/>
                <w:lang w:eastAsia="ja-JP"/>
              </w:rPr>
              <w:t>)</w:t>
            </w:r>
          </w:p>
        </w:tc>
      </w:tr>
      <w:tr w:rsidR="00AE6D6D" w:rsidRPr="00AE6D6D" w14:paraId="7F0676E6" w14:textId="77777777" w:rsidTr="00AE6D6D">
        <w:tc>
          <w:tcPr>
            <w:tcW w:w="9719" w:type="dxa"/>
          </w:tcPr>
          <w:p w14:paraId="08E2C75A" w14:textId="1FA81ADD" w:rsidR="00AE6D6D" w:rsidRPr="00AE6D6D" w:rsidRDefault="00AE6D6D" w:rsidP="00DA4BB4">
            <w:pPr>
              <w:rPr>
                <w:i/>
                <w:iCs/>
              </w:rPr>
            </w:pPr>
            <w:r w:rsidRPr="00AE6D6D">
              <w:rPr>
                <w:i/>
                <w:iCs/>
              </w:rPr>
              <w:t>Summary:</w:t>
            </w:r>
          </w:p>
        </w:tc>
      </w:tr>
      <w:tr w:rsidR="00AE6D6D" w:rsidRPr="00AE6D6D" w14:paraId="0F012ABB" w14:textId="77777777" w:rsidTr="00AE6D6D">
        <w:tc>
          <w:tcPr>
            <w:tcW w:w="9719" w:type="dxa"/>
          </w:tcPr>
          <w:p w14:paraId="553928AF" w14:textId="6D1E4397" w:rsidR="00343E4A" w:rsidRDefault="00343E4A" w:rsidP="00343E4A">
            <w:r>
              <w:t xml:space="preserve">This Recommendation describes an objective method for predicting the subjective quality of 3.1 kHz (narrow-band) handset telephony and narrow-band speech codecs. This Recommendation presents a high-level description of the method, advice on how to use it, and part of the results from a Study Group 12 benchmark carried out in the period 1999-2000. An ANSI-C reference implementation, described in Annex A, is provided in separate </w:t>
            </w:r>
            <w:proofErr w:type="gramStart"/>
            <w:r>
              <w:t>files</w:t>
            </w:r>
            <w:proofErr w:type="gramEnd"/>
            <w:r>
              <w:t xml:space="preserve"> and form an integral part of this Recommendation. A conformance testing procedure is also specified in Annex A to allow a user to validate that an alternative implementation of the model is correct. This ANSI-C reference implementation shall take precedence in case of conflicts between the high-level description as given in this Recommendation and the ANSI-C reference implementation. </w:t>
            </w:r>
          </w:p>
          <w:p w14:paraId="360C4007" w14:textId="77DEF22D" w:rsidR="00AE6D6D" w:rsidRPr="00AE6D6D" w:rsidRDefault="00343E4A" w:rsidP="00343E4A">
            <w:r>
              <w:t>This Recommendation includes an electronic attachment containing an ANSI-C reference implementation of PESQ and conformance testing data.</w:t>
            </w:r>
          </w:p>
        </w:tc>
      </w:tr>
      <w:tr w:rsidR="00AE6D6D" w:rsidRPr="00AE6D6D" w14:paraId="0024077B" w14:textId="77777777" w:rsidTr="00AE6D6D">
        <w:tc>
          <w:tcPr>
            <w:tcW w:w="9719" w:type="dxa"/>
          </w:tcPr>
          <w:p w14:paraId="3AD107C6" w14:textId="76869041" w:rsidR="00AE6D6D" w:rsidRPr="00AE6D6D" w:rsidRDefault="00AE6D6D" w:rsidP="00AE6D6D">
            <w:pPr>
              <w:rPr>
                <w:i/>
                <w:iCs/>
                <w:lang w:eastAsia="ja-JP"/>
              </w:rPr>
            </w:pPr>
            <w:r w:rsidRPr="00AE6D6D">
              <w:rPr>
                <w:i/>
                <w:iCs/>
                <w:lang w:eastAsia="ja-JP"/>
              </w:rPr>
              <w:t>Reasons for the deletion of the Recommendation listed above:</w:t>
            </w:r>
          </w:p>
        </w:tc>
      </w:tr>
      <w:tr w:rsidR="00AE6D6D" w:rsidRPr="00AE6D6D" w14:paraId="0466DE1D" w14:textId="77777777" w:rsidTr="00AE6D6D">
        <w:tc>
          <w:tcPr>
            <w:tcW w:w="9719" w:type="dxa"/>
          </w:tcPr>
          <w:p w14:paraId="69AC05F7" w14:textId="330742C9" w:rsidR="00F94B4C" w:rsidRDefault="00F94B4C" w:rsidP="00F94B4C">
            <w:pPr>
              <w:jc w:val="both"/>
            </w:pPr>
            <w:r>
              <w:t xml:space="preserve">The </w:t>
            </w:r>
            <w:r w:rsidRPr="00F94B4C">
              <w:rPr>
                <w:i/>
                <w:iCs/>
              </w:rPr>
              <w:t>Perceptual evaluation of speech quality</w:t>
            </w:r>
            <w:r w:rsidRPr="00833370">
              <w:t xml:space="preserve"> (PESQ)</w:t>
            </w:r>
            <w:r w:rsidRPr="000A2AB1">
              <w:t xml:space="preserve"> </w:t>
            </w:r>
            <w:r>
              <w:t>speech quality prediction algorithm (approved in 2001) was developed to predict listening quality in pure narrowband speech transmission scenarios.</w:t>
            </w:r>
            <w:r w:rsidRPr="00717221">
              <w:t xml:space="preserve"> </w:t>
            </w:r>
            <w:r>
              <w:t>It is thus unable to provide accurate and reliable results in the case of advanced time warping and packet-loss replacement technologies</w:t>
            </w:r>
            <w:r w:rsidDel="006C5875">
              <w:t xml:space="preserve"> </w:t>
            </w:r>
            <w:r>
              <w:t xml:space="preserve">as well as dynamic gain adaptions which are typical in today’s VoIP and VoLTE connections. </w:t>
            </w:r>
          </w:p>
          <w:p w14:paraId="076DD47D" w14:textId="77777777" w:rsidR="00F94B4C" w:rsidRDefault="00F94B4C" w:rsidP="00F94B4C">
            <w:pPr>
              <w:jc w:val="both"/>
            </w:pPr>
            <w:r w:rsidRPr="00717221">
              <w:t xml:space="preserve">To address these limitations and </w:t>
            </w:r>
            <w:r>
              <w:t>extend to more recent technologies</w:t>
            </w:r>
            <w:r w:rsidRPr="00717221">
              <w:t>, Recommendation ITU-T P.863</w:t>
            </w:r>
            <w:r>
              <w:t xml:space="preserve"> </w:t>
            </w:r>
            <w:r w:rsidRPr="00833370">
              <w:rPr>
                <w:i/>
                <w:iCs/>
              </w:rPr>
              <w:t>“Perceptual objective listening quality prediction”</w:t>
            </w:r>
            <w:r>
              <w:t xml:space="preserve"> (initially approved in 2011, latest edition in 2018) </w:t>
            </w:r>
            <w:r w:rsidRPr="00717221">
              <w:t>was developed</w:t>
            </w:r>
            <w:r>
              <w:t xml:space="preserve"> which</w:t>
            </w:r>
            <w:r w:rsidRPr="00717221">
              <w:t xml:space="preserve"> </w:t>
            </w:r>
            <w:r>
              <w:t>covers</w:t>
            </w:r>
            <w:r w:rsidRPr="00717221">
              <w:t xml:space="preserve"> both</w:t>
            </w:r>
            <w:r>
              <w:t xml:space="preserve"> </w:t>
            </w:r>
            <w:r w:rsidRPr="00717221">
              <w:t>narrowband</w:t>
            </w:r>
            <w:r>
              <w:t xml:space="preserve"> </w:t>
            </w:r>
            <w:r w:rsidRPr="00717221">
              <w:t xml:space="preserve">and </w:t>
            </w:r>
            <w:proofErr w:type="spellStart"/>
            <w:r w:rsidRPr="00717221">
              <w:t>fullband</w:t>
            </w:r>
            <w:proofErr w:type="spellEnd"/>
            <w:r w:rsidRPr="00717221">
              <w:t xml:space="preserve"> modes. </w:t>
            </w:r>
          </w:p>
          <w:p w14:paraId="1B7D6746" w14:textId="77777777" w:rsidR="00F94B4C" w:rsidRDefault="00F94B4C" w:rsidP="00F94B4C">
            <w:pPr>
              <w:jc w:val="both"/>
            </w:pPr>
            <w:r w:rsidRPr="00717221">
              <w:t>The narrowband</w:t>
            </w:r>
            <w:r>
              <w:t xml:space="preserve"> </w:t>
            </w:r>
            <w:r w:rsidRPr="00717221">
              <w:t>mode</w:t>
            </w:r>
            <w:r>
              <w:t xml:space="preserve"> in ITU-T </w:t>
            </w:r>
            <w:r w:rsidRPr="00717221">
              <w:t>P.863 maintains backward compatibility with P.862</w:t>
            </w:r>
            <w:r>
              <w:t xml:space="preserve"> </w:t>
            </w:r>
            <w:r w:rsidRPr="00717221">
              <w:t>allowing a seamless transition</w:t>
            </w:r>
            <w:r>
              <w:t xml:space="preserve"> from P.862 to </w:t>
            </w:r>
            <w:r w:rsidRPr="00717221">
              <w:t xml:space="preserve">P.863, while the </w:t>
            </w:r>
            <w:proofErr w:type="spellStart"/>
            <w:r w:rsidRPr="00717221">
              <w:t>fullband</w:t>
            </w:r>
            <w:proofErr w:type="spellEnd"/>
            <w:r w:rsidRPr="00717221">
              <w:t xml:space="preserve"> mode has become the standard for quality measurements in </w:t>
            </w:r>
            <w:r>
              <w:t>current</w:t>
            </w:r>
            <w:r w:rsidRPr="00717221">
              <w:t xml:space="preserve"> telephony networks. </w:t>
            </w:r>
          </w:p>
          <w:p w14:paraId="013FB747" w14:textId="7B1E6688" w:rsidR="00AE6D6D" w:rsidRPr="00AE6D6D" w:rsidRDefault="00F94B4C" w:rsidP="00F94B4C">
            <w:pPr>
              <w:jc w:val="both"/>
            </w:pPr>
            <w:r w:rsidRPr="00717221">
              <w:t xml:space="preserve">Consequently, the PESQ-related </w:t>
            </w:r>
            <w:r>
              <w:t>R</w:t>
            </w:r>
            <w:r w:rsidRPr="00717221">
              <w:t xml:space="preserve">ecommendations </w:t>
            </w:r>
            <w:r w:rsidRPr="000A2AB1">
              <w:t>ITU-T P.862</w:t>
            </w:r>
            <w:r>
              <w:t>[</w:t>
            </w:r>
            <w:r w:rsidRPr="000A2AB1">
              <w:t xml:space="preserve">.x] </w:t>
            </w:r>
            <w:r w:rsidRPr="00717221">
              <w:t xml:space="preserve">are no longer pertinent in today's </w:t>
            </w:r>
            <w:r>
              <w:t>tele</w:t>
            </w:r>
            <w:r w:rsidRPr="00717221">
              <w:t>communication landscape.</w:t>
            </w:r>
          </w:p>
        </w:tc>
      </w:tr>
    </w:tbl>
    <w:p w14:paraId="28F34D7B" w14:textId="77777777" w:rsidR="005F755F" w:rsidRDefault="005F755F" w:rsidP="005F755F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035BC0" w:rsidRPr="00AE6D6D" w14:paraId="09A794E6" w14:textId="77777777" w:rsidTr="00D21ECF">
        <w:tc>
          <w:tcPr>
            <w:tcW w:w="9719" w:type="dxa"/>
          </w:tcPr>
          <w:p w14:paraId="5FF308DB" w14:textId="2F6D7FFA" w:rsidR="00035BC0" w:rsidRPr="00AE6D6D" w:rsidRDefault="00035BC0" w:rsidP="00D21ECF">
            <w:pPr>
              <w:spacing w:before="240"/>
              <w:rPr>
                <w:b/>
                <w:bCs/>
                <w:lang w:eastAsia="ja-JP"/>
              </w:rPr>
            </w:pPr>
            <w:r w:rsidRPr="00343E4A">
              <w:rPr>
                <w:b/>
                <w:bCs/>
                <w:lang w:eastAsia="ja-JP"/>
              </w:rPr>
              <w:t xml:space="preserve">Recommendation ITU-T </w:t>
            </w:r>
            <w:r w:rsidR="00320E57" w:rsidRPr="00343E4A">
              <w:rPr>
                <w:b/>
                <w:bCs/>
                <w:lang w:eastAsia="ja-JP"/>
              </w:rPr>
              <w:t>P.862.1</w:t>
            </w:r>
            <w:r w:rsidRPr="00343E4A">
              <w:rPr>
                <w:b/>
                <w:bCs/>
                <w:lang w:eastAsia="ja-JP"/>
              </w:rPr>
              <w:t xml:space="preserve">, </w:t>
            </w:r>
            <w:r w:rsidR="00320E57" w:rsidRPr="00343E4A">
              <w:rPr>
                <w:b/>
                <w:bCs/>
                <w:i/>
                <w:iCs/>
                <w:lang w:eastAsia="ja-JP"/>
              </w:rPr>
              <w:t>Mapping function for transforming P.862 raw result scores to MOS-LQO</w:t>
            </w:r>
            <w:r w:rsidRPr="00343E4A">
              <w:rPr>
                <w:b/>
                <w:bCs/>
                <w:lang w:eastAsia="ja-JP"/>
              </w:rPr>
              <w:t xml:space="preserve"> (</w:t>
            </w:r>
            <w:r w:rsidR="00320E57" w:rsidRPr="00343E4A">
              <w:rPr>
                <w:b/>
                <w:bCs/>
                <w:lang w:eastAsia="ja-JP"/>
              </w:rPr>
              <w:t>11</w:t>
            </w:r>
            <w:r w:rsidRPr="00343E4A">
              <w:rPr>
                <w:b/>
                <w:bCs/>
                <w:lang w:eastAsia="ja-JP"/>
              </w:rPr>
              <w:t>/</w:t>
            </w:r>
            <w:r w:rsidR="00320E57" w:rsidRPr="00343E4A">
              <w:rPr>
                <w:b/>
                <w:bCs/>
                <w:lang w:eastAsia="ja-JP"/>
              </w:rPr>
              <w:t>2003</w:t>
            </w:r>
            <w:r w:rsidRPr="00343E4A">
              <w:rPr>
                <w:b/>
                <w:bCs/>
                <w:lang w:eastAsia="ja-JP"/>
              </w:rPr>
              <w:t>)</w:t>
            </w:r>
          </w:p>
        </w:tc>
      </w:tr>
      <w:tr w:rsidR="00035BC0" w:rsidRPr="00AE6D6D" w14:paraId="36D3DBC6" w14:textId="77777777" w:rsidTr="00D21ECF">
        <w:tc>
          <w:tcPr>
            <w:tcW w:w="9719" w:type="dxa"/>
          </w:tcPr>
          <w:p w14:paraId="7D07FF23" w14:textId="77777777" w:rsidR="00035BC0" w:rsidRPr="00AE6D6D" w:rsidRDefault="00035BC0" w:rsidP="00D21ECF">
            <w:pPr>
              <w:rPr>
                <w:i/>
                <w:iCs/>
              </w:rPr>
            </w:pPr>
            <w:r w:rsidRPr="00AE6D6D">
              <w:rPr>
                <w:i/>
                <w:iCs/>
              </w:rPr>
              <w:t>Summary:</w:t>
            </w:r>
          </w:p>
        </w:tc>
      </w:tr>
      <w:tr w:rsidR="00035BC0" w:rsidRPr="00AE6D6D" w14:paraId="22C56239" w14:textId="77777777" w:rsidTr="00D21ECF">
        <w:tc>
          <w:tcPr>
            <w:tcW w:w="9719" w:type="dxa"/>
          </w:tcPr>
          <w:p w14:paraId="5E967A94" w14:textId="7AB7C09D" w:rsidR="00343E4A" w:rsidRDefault="00343E4A" w:rsidP="00343E4A">
            <w:r>
              <w:t>ITU-T Rec. P.862 provides raw scores in the range –0.5 to 4.5. It is desired to provide a MOS-LQO (P.800.1) score from P.862 to allow a linear comparison with MOS. This Recommendation presents the mapping function and its performance for a single mapping from raw P.862 scores to the MOS-LQO (P.800.1).</w:t>
            </w:r>
          </w:p>
          <w:p w14:paraId="78A310B8" w14:textId="5513FCE8" w:rsidR="00035BC0" w:rsidRPr="00AE6D6D" w:rsidRDefault="00343E4A" w:rsidP="00343E4A">
            <w:r>
              <w:t xml:space="preserve">This will allow MOS-LQO scores from ITU-T Rec. P.862 to be comparable independent of the implementation of ITU-T Rec. P.862. The given function for transformation presented in this </w:t>
            </w:r>
            <w:r>
              <w:lastRenderedPageBreak/>
              <w:t>Recommendation has been optimized on a large corpus of subjective data representing different applications and languages.</w:t>
            </w:r>
          </w:p>
        </w:tc>
      </w:tr>
      <w:tr w:rsidR="00035BC0" w:rsidRPr="00AE6D6D" w14:paraId="41DCA080" w14:textId="77777777" w:rsidTr="00D21ECF">
        <w:tc>
          <w:tcPr>
            <w:tcW w:w="9719" w:type="dxa"/>
          </w:tcPr>
          <w:p w14:paraId="0955F675" w14:textId="160E47CA" w:rsidR="00035BC0" w:rsidRPr="00AE6D6D" w:rsidRDefault="00035BC0" w:rsidP="00D21ECF">
            <w:pPr>
              <w:rPr>
                <w:i/>
                <w:iCs/>
                <w:lang w:eastAsia="ja-JP"/>
              </w:rPr>
            </w:pPr>
            <w:r w:rsidRPr="00AE6D6D">
              <w:rPr>
                <w:i/>
                <w:iCs/>
                <w:lang w:eastAsia="ja-JP"/>
              </w:rPr>
              <w:lastRenderedPageBreak/>
              <w:t>Reasons for the deletion of the Recommendation listed above:</w:t>
            </w:r>
          </w:p>
        </w:tc>
      </w:tr>
      <w:tr w:rsidR="00343E4A" w:rsidRPr="00AE6D6D" w14:paraId="2B800FC1" w14:textId="77777777" w:rsidTr="00D21ECF">
        <w:tc>
          <w:tcPr>
            <w:tcW w:w="9719" w:type="dxa"/>
          </w:tcPr>
          <w:p w14:paraId="3941C71A" w14:textId="12196861" w:rsidR="00343E4A" w:rsidRPr="00AE6D6D" w:rsidRDefault="00343E4A" w:rsidP="00D21ECF">
            <w:pPr>
              <w:rPr>
                <w:i/>
                <w:iCs/>
                <w:lang w:eastAsia="ja-JP"/>
              </w:rPr>
            </w:pPr>
            <w:r w:rsidRPr="00343E4A">
              <w:rPr>
                <w:lang w:eastAsia="ja-JP"/>
              </w:rPr>
              <w:t>See reason</w:t>
            </w:r>
            <w:r>
              <w:rPr>
                <w:lang w:eastAsia="ja-JP"/>
              </w:rPr>
              <w:t>s</w:t>
            </w:r>
            <w:r w:rsidRPr="00343E4A">
              <w:rPr>
                <w:lang w:eastAsia="ja-JP"/>
              </w:rPr>
              <w:t xml:space="preserve"> for deletion of </w:t>
            </w:r>
            <w:r w:rsidRPr="00343E4A">
              <w:rPr>
                <w:b/>
                <w:bCs/>
                <w:lang w:eastAsia="ja-JP"/>
              </w:rPr>
              <w:t xml:space="preserve">Recommendation ITU-T P.862, </w:t>
            </w:r>
            <w:r w:rsidRPr="00343E4A">
              <w:rPr>
                <w:b/>
                <w:bCs/>
                <w:i/>
                <w:iCs/>
                <w:lang w:eastAsia="ja-JP"/>
              </w:rPr>
              <w:t>Perceptual evaluation of speech quality (PESQ): An objective method for end-to-end speech quality assessment of narrow-band telephone networks and speech codecs</w:t>
            </w:r>
            <w:r w:rsidRPr="00343E4A">
              <w:rPr>
                <w:b/>
                <w:bCs/>
                <w:lang w:eastAsia="ja-JP"/>
              </w:rPr>
              <w:t xml:space="preserve"> (02/2001)</w:t>
            </w:r>
            <w:r w:rsidRPr="00343E4A">
              <w:rPr>
                <w:lang w:eastAsia="ja-JP"/>
              </w:rPr>
              <w:t>.</w:t>
            </w:r>
          </w:p>
        </w:tc>
      </w:tr>
    </w:tbl>
    <w:p w14:paraId="44989725" w14:textId="77777777" w:rsidR="00035BC0" w:rsidRDefault="00035BC0" w:rsidP="00035BC0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320E57" w:rsidRPr="00AE6D6D" w14:paraId="2EC9A0AA" w14:textId="77777777" w:rsidTr="0095740A">
        <w:tc>
          <w:tcPr>
            <w:tcW w:w="9719" w:type="dxa"/>
          </w:tcPr>
          <w:p w14:paraId="120A436E" w14:textId="5F447400" w:rsidR="00320E57" w:rsidRPr="00AE6D6D" w:rsidRDefault="00320E57" w:rsidP="0095740A">
            <w:pPr>
              <w:spacing w:before="240"/>
              <w:rPr>
                <w:b/>
                <w:bCs/>
                <w:lang w:eastAsia="ja-JP"/>
              </w:rPr>
            </w:pPr>
            <w:r w:rsidRPr="00343E4A">
              <w:rPr>
                <w:b/>
                <w:bCs/>
                <w:lang w:eastAsia="ja-JP"/>
              </w:rPr>
              <w:t xml:space="preserve">Recommendation ITU-T P.862.2, </w:t>
            </w:r>
            <w:r w:rsidRPr="00343E4A">
              <w:rPr>
                <w:b/>
                <w:bCs/>
                <w:i/>
                <w:iCs/>
                <w:lang w:eastAsia="ja-JP"/>
              </w:rPr>
              <w:t>Wideband extension to Recommendation P.862 for the assessment of wideband telephone networks and speech codecs</w:t>
            </w:r>
            <w:r w:rsidRPr="00343E4A">
              <w:rPr>
                <w:b/>
                <w:bCs/>
                <w:lang w:eastAsia="ja-JP"/>
              </w:rPr>
              <w:t xml:space="preserve"> (11/2007)</w:t>
            </w:r>
          </w:p>
        </w:tc>
      </w:tr>
      <w:tr w:rsidR="00320E57" w:rsidRPr="00AE6D6D" w14:paraId="1C24908C" w14:textId="77777777" w:rsidTr="0095740A">
        <w:tc>
          <w:tcPr>
            <w:tcW w:w="9719" w:type="dxa"/>
          </w:tcPr>
          <w:p w14:paraId="08255B19" w14:textId="77777777" w:rsidR="00320E57" w:rsidRPr="00AE6D6D" w:rsidRDefault="00320E57" w:rsidP="0095740A">
            <w:pPr>
              <w:rPr>
                <w:i/>
                <w:iCs/>
              </w:rPr>
            </w:pPr>
            <w:r w:rsidRPr="00AE6D6D">
              <w:rPr>
                <w:i/>
                <w:iCs/>
              </w:rPr>
              <w:t>Summary:</w:t>
            </w:r>
          </w:p>
        </w:tc>
      </w:tr>
      <w:tr w:rsidR="00320E57" w:rsidRPr="00AE6D6D" w14:paraId="7DD89348" w14:textId="77777777" w:rsidTr="0095740A">
        <w:tc>
          <w:tcPr>
            <w:tcW w:w="9719" w:type="dxa"/>
          </w:tcPr>
          <w:p w14:paraId="41CA02C2" w14:textId="597EB075" w:rsidR="00320E57" w:rsidRPr="00AE6D6D" w:rsidRDefault="00343E4A" w:rsidP="00343E4A">
            <w:r>
              <w:t>ITU-T Recommendation P.862.2 describes a simple extension to the perceptual evaluation of listening speech quality (PESQ) algorithm defined in ITU-T Recommendation P.862. It allows ITU</w:t>
            </w:r>
            <w:r>
              <w:noBreakHyphen/>
              <w:t>T Recommendation P.862 to be applied to the evaluation of conditions, such as speech codecs, where the listener uses wideband headphones. (In contrast, ITU-T Recommendation P.862 assumes a standard IRS-type narrow-band telephone handset which attenuates strongly below 300 Hz and above 3100 Hz.) This Recommendation is mainly intended for use with wideband audio systems (50-7000 Hz), although it may also be applied to systems with a narrower bandwidth.</w:t>
            </w:r>
          </w:p>
        </w:tc>
      </w:tr>
      <w:tr w:rsidR="00320E57" w:rsidRPr="00AE6D6D" w14:paraId="594ADF3E" w14:textId="77777777" w:rsidTr="0095740A">
        <w:tc>
          <w:tcPr>
            <w:tcW w:w="9719" w:type="dxa"/>
          </w:tcPr>
          <w:p w14:paraId="789723F1" w14:textId="12F9097C" w:rsidR="00320E57" w:rsidRPr="00AE6D6D" w:rsidRDefault="00320E57" w:rsidP="0095740A">
            <w:pPr>
              <w:rPr>
                <w:i/>
                <w:iCs/>
                <w:lang w:eastAsia="ja-JP"/>
              </w:rPr>
            </w:pPr>
            <w:r w:rsidRPr="00AE6D6D">
              <w:rPr>
                <w:i/>
                <w:iCs/>
                <w:lang w:eastAsia="ja-JP"/>
              </w:rPr>
              <w:t>Reasons for the deletion of the Recommendation listed above:</w:t>
            </w:r>
          </w:p>
        </w:tc>
      </w:tr>
      <w:tr w:rsidR="00343E4A" w:rsidRPr="00AE6D6D" w14:paraId="673EA21B" w14:textId="77777777" w:rsidTr="0095740A">
        <w:tc>
          <w:tcPr>
            <w:tcW w:w="9719" w:type="dxa"/>
          </w:tcPr>
          <w:p w14:paraId="31961F61" w14:textId="7C8F0C0C" w:rsidR="00343E4A" w:rsidRPr="00AE6D6D" w:rsidRDefault="00343E4A" w:rsidP="0095740A">
            <w:pPr>
              <w:rPr>
                <w:i/>
                <w:iCs/>
                <w:lang w:eastAsia="ja-JP"/>
              </w:rPr>
            </w:pPr>
            <w:r w:rsidRPr="00343E4A">
              <w:rPr>
                <w:lang w:eastAsia="ja-JP"/>
              </w:rPr>
              <w:t>See reason</w:t>
            </w:r>
            <w:r>
              <w:rPr>
                <w:lang w:eastAsia="ja-JP"/>
              </w:rPr>
              <w:t>s</w:t>
            </w:r>
            <w:r w:rsidRPr="00343E4A">
              <w:rPr>
                <w:lang w:eastAsia="ja-JP"/>
              </w:rPr>
              <w:t xml:space="preserve"> for deletion of </w:t>
            </w:r>
            <w:r w:rsidRPr="00343E4A">
              <w:rPr>
                <w:b/>
                <w:bCs/>
                <w:lang w:eastAsia="ja-JP"/>
              </w:rPr>
              <w:t xml:space="preserve">Recommendation ITU-T P.862, </w:t>
            </w:r>
            <w:r w:rsidRPr="00343E4A">
              <w:rPr>
                <w:b/>
                <w:bCs/>
                <w:i/>
                <w:iCs/>
                <w:lang w:eastAsia="ja-JP"/>
              </w:rPr>
              <w:t>Perceptual evaluation of speech quality (PESQ): An objective method for end-to-end speech quality assessment of narrow-band telephone networks and speech codecs</w:t>
            </w:r>
            <w:r w:rsidRPr="00343E4A">
              <w:rPr>
                <w:b/>
                <w:bCs/>
                <w:lang w:eastAsia="ja-JP"/>
              </w:rPr>
              <w:t xml:space="preserve"> (02/2001)</w:t>
            </w:r>
            <w:r w:rsidRPr="00343E4A">
              <w:rPr>
                <w:lang w:eastAsia="ja-JP"/>
              </w:rPr>
              <w:t>.</w:t>
            </w:r>
          </w:p>
        </w:tc>
      </w:tr>
    </w:tbl>
    <w:p w14:paraId="3C69BBEC" w14:textId="77777777" w:rsidR="00320E57" w:rsidRDefault="00320E57" w:rsidP="00633FD9">
      <w:pPr>
        <w:jc w:val="center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320E57" w:rsidRPr="00AE6D6D" w14:paraId="4337B5CE" w14:textId="77777777" w:rsidTr="0095740A">
        <w:tc>
          <w:tcPr>
            <w:tcW w:w="9719" w:type="dxa"/>
          </w:tcPr>
          <w:p w14:paraId="1E9B3472" w14:textId="3F8CF2B8" w:rsidR="00320E57" w:rsidRPr="00AE6D6D" w:rsidRDefault="00320E57" w:rsidP="0095740A">
            <w:pPr>
              <w:spacing w:before="240"/>
              <w:rPr>
                <w:b/>
                <w:bCs/>
                <w:lang w:eastAsia="ja-JP"/>
              </w:rPr>
            </w:pPr>
            <w:r w:rsidRPr="00343E4A">
              <w:rPr>
                <w:b/>
                <w:bCs/>
                <w:lang w:eastAsia="ja-JP"/>
              </w:rPr>
              <w:t xml:space="preserve">Recommendation ITU-T P.862.3, </w:t>
            </w:r>
            <w:r w:rsidR="00343E4A" w:rsidRPr="00343E4A">
              <w:rPr>
                <w:b/>
                <w:bCs/>
                <w:i/>
                <w:iCs/>
                <w:lang w:eastAsia="ja-JP"/>
              </w:rPr>
              <w:t>Application guide for objective quality measurement based on Recommendations P.862, P.862.1 and P.862.2</w:t>
            </w:r>
            <w:r w:rsidRPr="00343E4A">
              <w:rPr>
                <w:b/>
                <w:bCs/>
                <w:lang w:eastAsia="ja-JP"/>
              </w:rPr>
              <w:t xml:space="preserve"> (</w:t>
            </w:r>
            <w:r w:rsidR="00343E4A" w:rsidRPr="00343E4A">
              <w:rPr>
                <w:b/>
                <w:bCs/>
                <w:lang w:eastAsia="ja-JP"/>
              </w:rPr>
              <w:t>11</w:t>
            </w:r>
            <w:r w:rsidRPr="00343E4A">
              <w:rPr>
                <w:b/>
                <w:bCs/>
                <w:lang w:eastAsia="ja-JP"/>
              </w:rPr>
              <w:t>/</w:t>
            </w:r>
            <w:r w:rsidR="00343E4A" w:rsidRPr="00343E4A">
              <w:rPr>
                <w:b/>
                <w:bCs/>
                <w:lang w:eastAsia="ja-JP"/>
              </w:rPr>
              <w:t>2007</w:t>
            </w:r>
            <w:r w:rsidRPr="00343E4A">
              <w:rPr>
                <w:b/>
                <w:bCs/>
                <w:lang w:eastAsia="ja-JP"/>
              </w:rPr>
              <w:t>)</w:t>
            </w:r>
          </w:p>
        </w:tc>
      </w:tr>
      <w:tr w:rsidR="00320E57" w:rsidRPr="00AE6D6D" w14:paraId="6C06D8E0" w14:textId="77777777" w:rsidTr="0095740A">
        <w:tc>
          <w:tcPr>
            <w:tcW w:w="9719" w:type="dxa"/>
          </w:tcPr>
          <w:p w14:paraId="4B46891C" w14:textId="77777777" w:rsidR="00320E57" w:rsidRPr="00AE6D6D" w:rsidRDefault="00320E57" w:rsidP="0095740A">
            <w:pPr>
              <w:rPr>
                <w:i/>
                <w:iCs/>
              </w:rPr>
            </w:pPr>
            <w:r w:rsidRPr="00AE6D6D">
              <w:rPr>
                <w:i/>
                <w:iCs/>
              </w:rPr>
              <w:t>Summary:</w:t>
            </w:r>
          </w:p>
        </w:tc>
      </w:tr>
      <w:tr w:rsidR="00320E57" w:rsidRPr="00AE6D6D" w14:paraId="6A9C4DD2" w14:textId="77777777" w:rsidTr="0095740A">
        <w:tc>
          <w:tcPr>
            <w:tcW w:w="9719" w:type="dxa"/>
          </w:tcPr>
          <w:p w14:paraId="2F88A047" w14:textId="29E72513" w:rsidR="00343E4A" w:rsidRDefault="00343E4A" w:rsidP="00343E4A">
            <w:r>
              <w:t xml:space="preserve">ITU-T Recommendation P.862.3 provides some important remarks that should be </w:t>
            </w:r>
            <w:proofErr w:type="gramStart"/>
            <w:r>
              <w:t>taken into account</w:t>
            </w:r>
            <w:proofErr w:type="gramEnd"/>
            <w:r>
              <w:t xml:space="preserve"> in the objective quality evaluation of speech conforming to ITU-T Recommendations P.862, P.862.1 and P.862.2. Users of ITU-T Recommendation P.862 should understand and follow the guidance given in this Recommendation.</w:t>
            </w:r>
          </w:p>
          <w:p w14:paraId="5DBB042E" w14:textId="427BD564" w:rsidR="00320E57" w:rsidRPr="00AE6D6D" w:rsidRDefault="00343E4A" w:rsidP="00343E4A">
            <w:r>
              <w:t>This Recommendation forms a supplementary guide for users of ITU-T Recommendation P.862,</w:t>
            </w:r>
            <w:r w:rsidR="00F94B4C">
              <w:t xml:space="preserve"> </w:t>
            </w:r>
            <w:r>
              <w:t xml:space="preserve">which recommends a means of estimating listening speech quality by using reference and degraded speech samples. The scope of ITU-T Recommendation P.862 is clearly </w:t>
            </w:r>
            <w:proofErr w:type="gramStart"/>
            <w:r>
              <w:t>defined in itself</w:t>
            </w:r>
            <w:proofErr w:type="gramEnd"/>
            <w:r>
              <w:t xml:space="preserve">. This Recommendation does not extend or narrow the scope, but provides necessary and important information for obtaining stable, </w:t>
            </w:r>
            <w:proofErr w:type="gramStart"/>
            <w:r>
              <w:t>reliable</w:t>
            </w:r>
            <w:proofErr w:type="gramEnd"/>
            <w:r>
              <w:t xml:space="preserve"> and meaningful objective measurement results in practice.</w:t>
            </w:r>
          </w:p>
        </w:tc>
      </w:tr>
      <w:tr w:rsidR="00320E57" w:rsidRPr="00AE6D6D" w14:paraId="201BE6C9" w14:textId="77777777" w:rsidTr="0095740A">
        <w:tc>
          <w:tcPr>
            <w:tcW w:w="9719" w:type="dxa"/>
          </w:tcPr>
          <w:p w14:paraId="09626DD3" w14:textId="11914128" w:rsidR="00320E57" w:rsidRPr="00AE6D6D" w:rsidRDefault="00320E57" w:rsidP="0095740A">
            <w:pPr>
              <w:rPr>
                <w:i/>
                <w:iCs/>
                <w:lang w:eastAsia="ja-JP"/>
              </w:rPr>
            </w:pPr>
            <w:r w:rsidRPr="00AE6D6D">
              <w:rPr>
                <w:i/>
                <w:iCs/>
                <w:lang w:eastAsia="ja-JP"/>
              </w:rPr>
              <w:t>Reasons for the deletion of the Recommendation listed above:</w:t>
            </w:r>
          </w:p>
        </w:tc>
      </w:tr>
      <w:tr w:rsidR="00320E57" w:rsidRPr="00AE6D6D" w14:paraId="3F028920" w14:textId="77777777" w:rsidTr="0095740A">
        <w:tc>
          <w:tcPr>
            <w:tcW w:w="9719" w:type="dxa"/>
          </w:tcPr>
          <w:p w14:paraId="69716A29" w14:textId="42B4C4F0" w:rsidR="00320E57" w:rsidRPr="00AE6D6D" w:rsidRDefault="00343E4A" w:rsidP="0095740A">
            <w:pPr>
              <w:rPr>
                <w:lang w:eastAsia="ja-JP"/>
              </w:rPr>
            </w:pPr>
            <w:r w:rsidRPr="00343E4A">
              <w:rPr>
                <w:lang w:eastAsia="ja-JP"/>
              </w:rPr>
              <w:t>See r</w:t>
            </w:r>
            <w:r w:rsidR="00320E57" w:rsidRPr="00343E4A">
              <w:rPr>
                <w:lang w:eastAsia="ja-JP"/>
              </w:rPr>
              <w:t>eason</w:t>
            </w:r>
            <w:r>
              <w:rPr>
                <w:lang w:eastAsia="ja-JP"/>
              </w:rPr>
              <w:t>s</w:t>
            </w:r>
            <w:r w:rsidR="00320E57" w:rsidRPr="00343E4A">
              <w:rPr>
                <w:lang w:eastAsia="ja-JP"/>
              </w:rPr>
              <w:t xml:space="preserve"> for deletion</w:t>
            </w:r>
            <w:r w:rsidRPr="00343E4A">
              <w:rPr>
                <w:lang w:eastAsia="ja-JP"/>
              </w:rPr>
              <w:t xml:space="preserve"> of </w:t>
            </w:r>
            <w:r w:rsidRPr="00343E4A">
              <w:rPr>
                <w:b/>
                <w:bCs/>
                <w:lang w:eastAsia="ja-JP"/>
              </w:rPr>
              <w:t xml:space="preserve">Recommendation ITU-T P.862, </w:t>
            </w:r>
            <w:r w:rsidRPr="00343E4A">
              <w:rPr>
                <w:b/>
                <w:bCs/>
                <w:i/>
                <w:iCs/>
                <w:lang w:eastAsia="ja-JP"/>
              </w:rPr>
              <w:t>Perceptual evaluation of speech quality (PESQ): An objective method for end-to-end speech quality assessment of narrow-band telephone networks and speech codecs</w:t>
            </w:r>
            <w:r w:rsidRPr="00343E4A">
              <w:rPr>
                <w:b/>
                <w:bCs/>
                <w:lang w:eastAsia="ja-JP"/>
              </w:rPr>
              <w:t xml:space="preserve"> (02/2001)</w:t>
            </w:r>
            <w:r w:rsidRPr="00343E4A">
              <w:rPr>
                <w:lang w:eastAsia="ja-JP"/>
              </w:rPr>
              <w:t>.</w:t>
            </w:r>
          </w:p>
        </w:tc>
      </w:tr>
    </w:tbl>
    <w:p w14:paraId="18F0353D" w14:textId="126545C5" w:rsidR="00633FD9" w:rsidRPr="005F755F" w:rsidRDefault="00633FD9" w:rsidP="00633FD9">
      <w:pPr>
        <w:jc w:val="center"/>
        <w:rPr>
          <w:lang w:eastAsia="ja-JP"/>
        </w:rPr>
      </w:pPr>
    </w:p>
    <w:sectPr w:rsidR="00633FD9" w:rsidRPr="005F755F" w:rsidSect="006D775C">
      <w:headerReference w:type="default" r:id="rId14"/>
      <w:footerReference w:type="default" r:id="rId15"/>
      <w:headerReference w:type="firs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7772" w14:textId="77777777" w:rsidR="008010EB" w:rsidRDefault="008010EB">
      <w:r>
        <w:separator/>
      </w:r>
    </w:p>
  </w:endnote>
  <w:endnote w:type="continuationSeparator" w:id="0">
    <w:p w14:paraId="4035BA86" w14:textId="77777777" w:rsidR="008010EB" w:rsidRDefault="0080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6D775C" w:rsidRDefault="006D775C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6D775C" w:rsidRPr="00BA1F70" w:rsidRDefault="00D40F22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6FC3" w14:textId="77777777" w:rsidR="008010EB" w:rsidRDefault="008010EB">
      <w:r>
        <w:t>____________________</w:t>
      </w:r>
    </w:p>
  </w:footnote>
  <w:footnote w:type="continuationSeparator" w:id="0">
    <w:p w14:paraId="7E21E07C" w14:textId="77777777" w:rsidR="008010EB" w:rsidRDefault="0080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36C" w14:textId="27A66A83" w:rsidR="005815AD" w:rsidRDefault="005815AD" w:rsidP="00BC730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="00C978EA">
      <w:rPr>
        <w:sz w:val="18"/>
      </w:rPr>
      <w:fldChar w:fldCharType="begin"/>
    </w:r>
    <w:r w:rsidR="00C978EA">
      <w:rPr>
        <w:sz w:val="18"/>
      </w:rPr>
      <w:instrText xml:space="preserve"> styleref TSBCircNo </w:instrText>
    </w:r>
    <w:r w:rsidR="00C978EA">
      <w:rPr>
        <w:sz w:val="18"/>
      </w:rPr>
      <w:fldChar w:fldCharType="separate"/>
    </w:r>
    <w:r w:rsidR="00695665">
      <w:rPr>
        <w:noProof/>
        <w:sz w:val="18"/>
      </w:rPr>
      <w:t>TSB Circular 141</w:t>
    </w:r>
    <w:r w:rsidR="00C978EA">
      <w:rPr>
        <w:sz w:val="18"/>
      </w:rPr>
      <w:fldChar w:fldCharType="end"/>
    </w:r>
  </w:p>
  <w:p w14:paraId="048A0CB5" w14:textId="77777777" w:rsidR="006D775C" w:rsidRDefault="006D775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7107ED0C" w14:paraId="66310683" w14:textId="77777777" w:rsidTr="7107ED0C">
      <w:trPr>
        <w:trHeight w:val="300"/>
      </w:trPr>
      <w:tc>
        <w:tcPr>
          <w:tcW w:w="3240" w:type="dxa"/>
        </w:tcPr>
        <w:p w14:paraId="69CDFE52" w14:textId="72F823FA" w:rsidR="7107ED0C" w:rsidRDefault="7107ED0C" w:rsidP="7107ED0C">
          <w:pPr>
            <w:pStyle w:val="Header"/>
            <w:ind w:left="-115"/>
            <w:jc w:val="left"/>
          </w:pPr>
        </w:p>
      </w:tc>
      <w:tc>
        <w:tcPr>
          <w:tcW w:w="3240" w:type="dxa"/>
        </w:tcPr>
        <w:p w14:paraId="5A5C000E" w14:textId="4FE54A74" w:rsidR="7107ED0C" w:rsidRDefault="7107ED0C" w:rsidP="7107ED0C">
          <w:pPr>
            <w:pStyle w:val="Header"/>
          </w:pPr>
        </w:p>
      </w:tc>
      <w:tc>
        <w:tcPr>
          <w:tcW w:w="3240" w:type="dxa"/>
        </w:tcPr>
        <w:p w14:paraId="131562F1" w14:textId="7B0BE499" w:rsidR="7107ED0C" w:rsidRDefault="7107ED0C" w:rsidP="7107ED0C">
          <w:pPr>
            <w:pStyle w:val="Header"/>
            <w:ind w:right="-115"/>
            <w:jc w:val="right"/>
          </w:pPr>
        </w:p>
      </w:tc>
    </w:tr>
  </w:tbl>
  <w:p w14:paraId="7EA74EE4" w14:textId="4998EB6B" w:rsidR="7107ED0C" w:rsidRDefault="7107ED0C" w:rsidP="7107E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C21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41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5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EAF7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60D5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206F8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AAD6C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C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DC8B7C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626336">
    <w:abstractNumId w:val="9"/>
  </w:num>
  <w:num w:numId="2" w16cid:durableId="33822063">
    <w:abstractNumId w:val="7"/>
  </w:num>
  <w:num w:numId="3" w16cid:durableId="2081828596">
    <w:abstractNumId w:val="6"/>
  </w:num>
  <w:num w:numId="4" w16cid:durableId="1093747203">
    <w:abstractNumId w:val="5"/>
  </w:num>
  <w:num w:numId="5" w16cid:durableId="1679573341">
    <w:abstractNumId w:val="4"/>
  </w:num>
  <w:num w:numId="6" w16cid:durableId="1850366352">
    <w:abstractNumId w:val="8"/>
  </w:num>
  <w:num w:numId="7" w16cid:durableId="222716763">
    <w:abstractNumId w:val="3"/>
  </w:num>
  <w:num w:numId="8" w16cid:durableId="969094415">
    <w:abstractNumId w:val="2"/>
  </w:num>
  <w:num w:numId="9" w16cid:durableId="1615135447">
    <w:abstractNumId w:val="1"/>
  </w:num>
  <w:num w:numId="10" w16cid:durableId="39886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7ACD"/>
    <w:rsid w:val="000227D6"/>
    <w:rsid w:val="00035BC0"/>
    <w:rsid w:val="00071F8A"/>
    <w:rsid w:val="00092594"/>
    <w:rsid w:val="00096EBE"/>
    <w:rsid w:val="000A0633"/>
    <w:rsid w:val="000E6136"/>
    <w:rsid w:val="000F6929"/>
    <w:rsid w:val="0012229C"/>
    <w:rsid w:val="001501A1"/>
    <w:rsid w:val="00165A31"/>
    <w:rsid w:val="001873F4"/>
    <w:rsid w:val="001C7660"/>
    <w:rsid w:val="001D496F"/>
    <w:rsid w:val="001F4E42"/>
    <w:rsid w:val="00274AB0"/>
    <w:rsid w:val="002C29D2"/>
    <w:rsid w:val="00311C30"/>
    <w:rsid w:val="00315F99"/>
    <w:rsid w:val="00320E57"/>
    <w:rsid w:val="00343E4A"/>
    <w:rsid w:val="00367459"/>
    <w:rsid w:val="003C5AE7"/>
    <w:rsid w:val="003C757A"/>
    <w:rsid w:val="0041348B"/>
    <w:rsid w:val="004254CA"/>
    <w:rsid w:val="00451E27"/>
    <w:rsid w:val="00451EB2"/>
    <w:rsid w:val="00473270"/>
    <w:rsid w:val="00473ECD"/>
    <w:rsid w:val="004C1BA8"/>
    <w:rsid w:val="004C2F91"/>
    <w:rsid w:val="005308BC"/>
    <w:rsid w:val="00533D70"/>
    <w:rsid w:val="00547E35"/>
    <w:rsid w:val="005638D8"/>
    <w:rsid w:val="005641A3"/>
    <w:rsid w:val="005815AD"/>
    <w:rsid w:val="00592EA7"/>
    <w:rsid w:val="005A5D84"/>
    <w:rsid w:val="005D076C"/>
    <w:rsid w:val="005F755F"/>
    <w:rsid w:val="00631EE3"/>
    <w:rsid w:val="00633FD9"/>
    <w:rsid w:val="00640A58"/>
    <w:rsid w:val="00653A8A"/>
    <w:rsid w:val="00653BB2"/>
    <w:rsid w:val="00686C31"/>
    <w:rsid w:val="00690EE4"/>
    <w:rsid w:val="00695665"/>
    <w:rsid w:val="006D775C"/>
    <w:rsid w:val="006F458F"/>
    <w:rsid w:val="00746EA0"/>
    <w:rsid w:val="00780241"/>
    <w:rsid w:val="007827C2"/>
    <w:rsid w:val="00785CF9"/>
    <w:rsid w:val="00790E09"/>
    <w:rsid w:val="007B10E9"/>
    <w:rsid w:val="007B2E56"/>
    <w:rsid w:val="007C067C"/>
    <w:rsid w:val="007C0DA1"/>
    <w:rsid w:val="007C6A2C"/>
    <w:rsid w:val="007D62C6"/>
    <w:rsid w:val="007F1638"/>
    <w:rsid w:val="008010EB"/>
    <w:rsid w:val="00822DE4"/>
    <w:rsid w:val="00855EAC"/>
    <w:rsid w:val="008A50E0"/>
    <w:rsid w:val="008B00F6"/>
    <w:rsid w:val="008F16B1"/>
    <w:rsid w:val="00910DBF"/>
    <w:rsid w:val="00921325"/>
    <w:rsid w:val="009443EA"/>
    <w:rsid w:val="009A552F"/>
    <w:rsid w:val="009A6444"/>
    <w:rsid w:val="009B44E9"/>
    <w:rsid w:val="00A15CAC"/>
    <w:rsid w:val="00AA4679"/>
    <w:rsid w:val="00AE6D6D"/>
    <w:rsid w:val="00B049BB"/>
    <w:rsid w:val="00B26E10"/>
    <w:rsid w:val="00B27D1E"/>
    <w:rsid w:val="00B347F0"/>
    <w:rsid w:val="00B53441"/>
    <w:rsid w:val="00B613EA"/>
    <w:rsid w:val="00BA1F70"/>
    <w:rsid w:val="00BC730F"/>
    <w:rsid w:val="00BD4B85"/>
    <w:rsid w:val="00C02B28"/>
    <w:rsid w:val="00C338BE"/>
    <w:rsid w:val="00C8766D"/>
    <w:rsid w:val="00C978EA"/>
    <w:rsid w:val="00CC752A"/>
    <w:rsid w:val="00D07810"/>
    <w:rsid w:val="00D40F22"/>
    <w:rsid w:val="00D82C10"/>
    <w:rsid w:val="00D84BD4"/>
    <w:rsid w:val="00D87885"/>
    <w:rsid w:val="00DA6940"/>
    <w:rsid w:val="00DC324F"/>
    <w:rsid w:val="00E41008"/>
    <w:rsid w:val="00E42063"/>
    <w:rsid w:val="00E939A5"/>
    <w:rsid w:val="00EB12C2"/>
    <w:rsid w:val="00F24281"/>
    <w:rsid w:val="00F441C6"/>
    <w:rsid w:val="00F51780"/>
    <w:rsid w:val="00F7366F"/>
    <w:rsid w:val="00F94B4C"/>
    <w:rsid w:val="00FB1396"/>
    <w:rsid w:val="00FD23E6"/>
    <w:rsid w:val="315C3A3D"/>
    <w:rsid w:val="701521DE"/>
    <w:rsid w:val="7107E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E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customStyle="1" w:styleId="TSBCircNo">
    <w:name w:val="TSBCircNo"/>
    <w:basedOn w:val="Tabletext"/>
    <w:rsid w:val="00C978EA"/>
    <w:pPr>
      <w:framePr w:hSpace="181" w:wrap="around" w:vAnchor="page" w:hAnchor="margin" w:xAlign="center" w:y="664"/>
    </w:pPr>
    <w:rPr>
      <w:b/>
      <w:bCs/>
      <w:sz w:val="22"/>
      <w:szCs w:val="18"/>
    </w:rPr>
  </w:style>
  <w:style w:type="character" w:styleId="Mention">
    <w:name w:val="Mention"/>
    <w:basedOn w:val="DefaultParagraphFont"/>
    <w:uiPriority w:val="99"/>
    <w:unhideWhenUsed/>
    <w:rsid w:val="009A6444"/>
    <w:rPr>
      <w:color w:val="2B579A"/>
      <w:shd w:val="clear" w:color="auto" w:fill="E1DFDD"/>
    </w:rPr>
  </w:style>
  <w:style w:type="table" w:styleId="TableGrid">
    <w:name w:val="Table Grid"/>
    <w:basedOn w:val="TableNormal"/>
    <w:rsid w:val="00AE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505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12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tu.in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Makamara, Gillian</DisplayName>
        <AccountId>13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77CA2-4BF7-45BF-82C4-4A107FB7C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673D7-7EDE-42DA-B306-6F990909AE4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3.xml><?xml version="1.0" encoding="utf-8"?>
<ds:datastoreItem xmlns:ds="http://schemas.openxmlformats.org/officeDocument/2006/customXml" ds:itemID="{B515DE4B-CF4C-4D5D-B6F0-EB903DC6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1175</Words>
  <Characters>6701</Characters>
  <Application>Microsoft Office Word</Application>
  <DocSecurity>0</DocSecurity>
  <Lines>55</Lines>
  <Paragraphs>15</Paragraphs>
  <ScaleCrop>false</ScaleCrop>
  <Company>ITU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8</cp:revision>
  <cp:lastPrinted>2023-10-03T14:34:00Z</cp:lastPrinted>
  <dcterms:created xsi:type="dcterms:W3CDTF">2023-10-03T08:10:00Z</dcterms:created>
  <dcterms:modified xsi:type="dcterms:W3CDTF">2023-10-03T14:34:00Z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MediaServiceImageTags">
    <vt:lpwstr/>
  </property>
</Properties>
</file>