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rsidRPr="00D33C15" w14:paraId="254945A5" w14:textId="77777777">
        <w:trPr>
          <w:trHeight w:val="1282"/>
        </w:trPr>
        <w:tc>
          <w:tcPr>
            <w:tcW w:w="1276" w:type="dxa"/>
            <w:gridSpan w:val="2"/>
            <w:shd w:val="clear" w:color="auto" w:fill="auto"/>
            <w:tcMar>
              <w:left w:w="0" w:type="dxa"/>
              <w:right w:w="0" w:type="dxa"/>
            </w:tcMar>
            <w:vAlign w:val="center"/>
          </w:tcPr>
          <w:p w14:paraId="29EA04C3" w14:textId="77777777" w:rsidR="00FA46A0" w:rsidRPr="00D33C15" w:rsidRDefault="009747C5">
            <w:pPr>
              <w:pStyle w:val="Tabletext"/>
              <w:jc w:val="center"/>
              <w:rPr>
                <w:noProof/>
              </w:rPr>
            </w:pPr>
            <w:r w:rsidRPr="00D33C15">
              <w:rPr>
                <w:noProof/>
                <w:lang w:eastAsia="zh-CN"/>
              </w:rPr>
              <w:drawing>
                <wp:inline distT="0" distB="0" distL="0" distR="0" wp14:anchorId="40073A62" wp14:editId="7057A122">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1C5723A" w14:textId="77777777" w:rsidR="00FA46A0" w:rsidRPr="00D33C15" w:rsidRDefault="00B61012">
            <w:pPr>
              <w:spacing w:before="0"/>
              <w:rPr>
                <w:rFonts w:cs="Times New Roman Bold"/>
                <w:b/>
                <w:bCs/>
                <w:smallCaps/>
                <w:noProof/>
                <w:sz w:val="26"/>
                <w:szCs w:val="26"/>
              </w:rPr>
            </w:pPr>
            <w:r w:rsidRPr="00D33C15">
              <w:rPr>
                <w:rFonts w:cs="Times New Roman Bold"/>
                <w:b/>
                <w:bCs/>
                <w:smallCaps/>
                <w:noProof/>
                <w:sz w:val="36"/>
                <w:szCs w:val="36"/>
              </w:rPr>
              <w:t>International telecommunication union</w:t>
            </w:r>
          </w:p>
          <w:p w14:paraId="5EBBD630" w14:textId="77777777" w:rsidR="00FA46A0" w:rsidRPr="00D33C15" w:rsidRDefault="00B61012">
            <w:pPr>
              <w:spacing w:before="0"/>
              <w:rPr>
                <w:rFonts w:ascii="Verdana" w:hAnsi="Verdana"/>
                <w:noProof/>
                <w:color w:val="FFFFFF"/>
                <w:sz w:val="26"/>
                <w:szCs w:val="26"/>
              </w:rPr>
            </w:pPr>
            <w:r w:rsidRPr="00D33C15">
              <w:rPr>
                <w:rFonts w:cs="Times New Roman Bold"/>
                <w:b/>
                <w:bCs/>
                <w:iCs/>
                <w:smallCaps/>
                <w:noProof/>
                <w:sz w:val="28"/>
                <w:szCs w:val="28"/>
              </w:rPr>
              <w:t>Telecommunication Standardization Bureau</w:t>
            </w:r>
          </w:p>
        </w:tc>
        <w:tc>
          <w:tcPr>
            <w:tcW w:w="1984" w:type="dxa"/>
            <w:shd w:val="clear" w:color="auto" w:fill="auto"/>
            <w:vAlign w:val="center"/>
          </w:tcPr>
          <w:p w14:paraId="6714D557" w14:textId="77777777" w:rsidR="00FA46A0" w:rsidRPr="00D33C15" w:rsidRDefault="00FA46A0">
            <w:pPr>
              <w:spacing w:before="0"/>
              <w:jc w:val="right"/>
              <w:rPr>
                <w:rFonts w:ascii="Verdana" w:hAnsi="Verdana"/>
                <w:noProof/>
                <w:color w:val="FFFFFF"/>
                <w:sz w:val="26"/>
                <w:szCs w:val="26"/>
              </w:rPr>
            </w:pPr>
          </w:p>
        </w:tc>
      </w:tr>
      <w:tr w:rsidR="00FA46A0" w:rsidRPr="00F73E00" w14:paraId="44CFA512" w14:textId="77777777">
        <w:trPr>
          <w:cantSplit/>
          <w:trHeight w:val="80"/>
        </w:trPr>
        <w:tc>
          <w:tcPr>
            <w:tcW w:w="4678" w:type="dxa"/>
            <w:gridSpan w:val="3"/>
            <w:vAlign w:val="center"/>
          </w:tcPr>
          <w:p w14:paraId="07019905" w14:textId="77777777" w:rsidR="00FA46A0" w:rsidRPr="00F73E00" w:rsidRDefault="00FA46A0">
            <w:pPr>
              <w:pStyle w:val="Tabletext"/>
              <w:jc w:val="right"/>
              <w:rPr>
                <w:noProof/>
                <w:sz w:val="22"/>
                <w:szCs w:val="22"/>
              </w:rPr>
            </w:pPr>
          </w:p>
        </w:tc>
        <w:tc>
          <w:tcPr>
            <w:tcW w:w="5103" w:type="dxa"/>
            <w:gridSpan w:val="2"/>
            <w:vAlign w:val="center"/>
          </w:tcPr>
          <w:p w14:paraId="635812A1" w14:textId="305AAC59" w:rsidR="00FA46A0" w:rsidRPr="00F73E00" w:rsidRDefault="0059574D" w:rsidP="00F73E00">
            <w:pPr>
              <w:pStyle w:val="Tabletext"/>
              <w:tabs>
                <w:tab w:val="clear" w:pos="3402"/>
                <w:tab w:val="left" w:pos="3330"/>
              </w:tabs>
              <w:spacing w:before="240" w:after="120"/>
              <w:ind w:left="-108"/>
              <w:rPr>
                <w:noProof/>
                <w:sz w:val="22"/>
                <w:szCs w:val="22"/>
              </w:rPr>
            </w:pPr>
            <w:r w:rsidRPr="00F73E00">
              <w:rPr>
                <w:noProof/>
                <w:sz w:val="22"/>
                <w:szCs w:val="22"/>
              </w:rPr>
              <w:t xml:space="preserve">Geneva, </w:t>
            </w:r>
            <w:r w:rsidR="007D292E" w:rsidRPr="00F73E00">
              <w:rPr>
                <w:noProof/>
                <w:sz w:val="22"/>
                <w:szCs w:val="22"/>
              </w:rPr>
              <w:t>13 September 2023</w:t>
            </w:r>
            <w:r w:rsidR="004B7656" w:rsidRPr="00F73E00">
              <w:rPr>
                <w:noProof/>
                <w:sz w:val="22"/>
                <w:szCs w:val="22"/>
              </w:rPr>
              <w:t xml:space="preserve"> </w:t>
            </w:r>
          </w:p>
        </w:tc>
      </w:tr>
      <w:tr w:rsidR="00FA46A0" w:rsidRPr="00F73E00" w14:paraId="078A4B0C" w14:textId="77777777">
        <w:trPr>
          <w:cantSplit/>
          <w:trHeight w:val="746"/>
        </w:trPr>
        <w:tc>
          <w:tcPr>
            <w:tcW w:w="1134" w:type="dxa"/>
          </w:tcPr>
          <w:p w14:paraId="6CFC83AB" w14:textId="77777777" w:rsidR="00FA46A0" w:rsidRPr="00F73E00" w:rsidRDefault="00E26223">
            <w:pPr>
              <w:pStyle w:val="Tabletext"/>
              <w:rPr>
                <w:noProof/>
                <w:sz w:val="22"/>
                <w:szCs w:val="22"/>
              </w:rPr>
            </w:pPr>
            <w:r w:rsidRPr="00F73E00">
              <w:rPr>
                <w:noProof/>
                <w:sz w:val="22"/>
                <w:szCs w:val="22"/>
              </w:rPr>
              <w:t>Ref:</w:t>
            </w:r>
          </w:p>
          <w:p w14:paraId="2E54390C" w14:textId="77777777" w:rsidR="00F567F5" w:rsidRPr="00F73E00" w:rsidRDefault="00F567F5">
            <w:pPr>
              <w:pStyle w:val="Tabletext"/>
              <w:rPr>
                <w:noProof/>
                <w:sz w:val="22"/>
                <w:szCs w:val="22"/>
              </w:rPr>
            </w:pPr>
          </w:p>
          <w:p w14:paraId="701D59FF" w14:textId="77777777" w:rsidR="00E26223" w:rsidRPr="00F73E00" w:rsidRDefault="00F567F5">
            <w:pPr>
              <w:pStyle w:val="Tabletext"/>
              <w:rPr>
                <w:noProof/>
                <w:sz w:val="22"/>
                <w:szCs w:val="22"/>
              </w:rPr>
            </w:pPr>
            <w:r w:rsidRPr="00F73E00">
              <w:rPr>
                <w:noProof/>
                <w:sz w:val="22"/>
                <w:szCs w:val="22"/>
              </w:rPr>
              <w:br/>
            </w:r>
            <w:r w:rsidR="00E26223" w:rsidRPr="00F73E00">
              <w:rPr>
                <w:noProof/>
                <w:sz w:val="22"/>
                <w:szCs w:val="22"/>
              </w:rPr>
              <w:t>Contact</w:t>
            </w:r>
          </w:p>
        </w:tc>
        <w:tc>
          <w:tcPr>
            <w:tcW w:w="3544" w:type="dxa"/>
            <w:gridSpan w:val="2"/>
          </w:tcPr>
          <w:p w14:paraId="31128745" w14:textId="2A5AA876" w:rsidR="00FA46A0" w:rsidRPr="00F73E00" w:rsidRDefault="00B61012" w:rsidP="00FC1C19">
            <w:pPr>
              <w:pStyle w:val="Tabletext"/>
              <w:rPr>
                <w:bCs/>
                <w:noProof/>
                <w:sz w:val="22"/>
                <w:szCs w:val="22"/>
              </w:rPr>
            </w:pPr>
            <w:r w:rsidRPr="00F73E00">
              <w:rPr>
                <w:b/>
                <w:bCs/>
                <w:noProof/>
                <w:sz w:val="22"/>
                <w:szCs w:val="22"/>
              </w:rPr>
              <w:t>TSB Circular</w:t>
            </w:r>
            <w:r w:rsidR="00FE3518" w:rsidRPr="00F73E00">
              <w:rPr>
                <w:b/>
                <w:bCs/>
                <w:noProof/>
                <w:sz w:val="22"/>
                <w:szCs w:val="22"/>
              </w:rPr>
              <w:t xml:space="preserve"> </w:t>
            </w:r>
            <w:r w:rsidR="007D292E" w:rsidRPr="00F73E00">
              <w:rPr>
                <w:b/>
                <w:bCs/>
                <w:noProof/>
                <w:sz w:val="22"/>
                <w:szCs w:val="22"/>
              </w:rPr>
              <w:t>138</w:t>
            </w:r>
            <w:r w:rsidR="00E26223" w:rsidRPr="00F73E00">
              <w:rPr>
                <w:bCs/>
                <w:noProof/>
                <w:sz w:val="22"/>
                <w:szCs w:val="22"/>
              </w:rPr>
              <w:br/>
              <w:t>FNC</w:t>
            </w:r>
            <w:r w:rsidR="007D292E" w:rsidRPr="00F73E00">
              <w:rPr>
                <w:bCs/>
                <w:noProof/>
                <w:sz w:val="22"/>
                <w:szCs w:val="22"/>
              </w:rPr>
              <w:t>-Spin</w:t>
            </w:r>
            <w:r w:rsidR="0005030F" w:rsidRPr="00F73E00">
              <w:rPr>
                <w:bCs/>
                <w:noProof/>
                <w:sz w:val="22"/>
                <w:szCs w:val="22"/>
              </w:rPr>
              <w:t>-</w:t>
            </w:r>
            <w:r w:rsidR="007D292E" w:rsidRPr="00F73E00">
              <w:rPr>
                <w:bCs/>
                <w:noProof/>
                <w:sz w:val="22"/>
                <w:szCs w:val="22"/>
              </w:rPr>
              <w:t>off</w:t>
            </w:r>
            <w:r w:rsidR="00E26223" w:rsidRPr="00F73E00">
              <w:rPr>
                <w:bCs/>
                <w:noProof/>
                <w:sz w:val="22"/>
                <w:szCs w:val="22"/>
              </w:rPr>
              <w:t>/SP</w:t>
            </w:r>
            <w:r w:rsidR="00F567F5" w:rsidRPr="00F73E00">
              <w:rPr>
                <w:bCs/>
                <w:noProof/>
                <w:sz w:val="22"/>
                <w:szCs w:val="22"/>
              </w:rPr>
              <w:br/>
            </w:r>
          </w:p>
          <w:p w14:paraId="2EDC30D1" w14:textId="77777777" w:rsidR="00E26223" w:rsidRPr="00F73E00" w:rsidRDefault="00E26223" w:rsidP="00FC1C19">
            <w:pPr>
              <w:pStyle w:val="Tabletext"/>
              <w:rPr>
                <w:bCs/>
                <w:noProof/>
                <w:sz w:val="22"/>
                <w:szCs w:val="22"/>
              </w:rPr>
            </w:pPr>
            <w:r w:rsidRPr="00F73E00">
              <w:rPr>
                <w:bCs/>
                <w:noProof/>
                <w:sz w:val="22"/>
                <w:szCs w:val="22"/>
              </w:rPr>
              <w:t>Stefano Polidori</w:t>
            </w:r>
          </w:p>
        </w:tc>
        <w:tc>
          <w:tcPr>
            <w:tcW w:w="5103" w:type="dxa"/>
            <w:gridSpan w:val="2"/>
            <w:vMerge w:val="restart"/>
          </w:tcPr>
          <w:p w14:paraId="50499818" w14:textId="77777777" w:rsidR="00FF5729" w:rsidRPr="00F73E00" w:rsidRDefault="00B61012" w:rsidP="00F73E00">
            <w:pPr>
              <w:tabs>
                <w:tab w:val="clear" w:pos="794"/>
                <w:tab w:val="clear" w:pos="1191"/>
                <w:tab w:val="clear" w:pos="1588"/>
                <w:tab w:val="clear" w:pos="1985"/>
                <w:tab w:val="left" w:pos="241"/>
                <w:tab w:val="left" w:pos="3330"/>
              </w:tabs>
              <w:spacing w:before="0"/>
              <w:ind w:left="283" w:hanging="391"/>
              <w:rPr>
                <w:noProof/>
                <w:sz w:val="22"/>
                <w:szCs w:val="22"/>
              </w:rPr>
            </w:pPr>
            <w:r w:rsidRPr="00F73E00">
              <w:rPr>
                <w:b/>
                <w:noProof/>
                <w:sz w:val="22"/>
                <w:szCs w:val="22"/>
              </w:rPr>
              <w:t>To:</w:t>
            </w:r>
          </w:p>
          <w:p w14:paraId="325CA637" w14:textId="6B03EAAE" w:rsidR="00FF5729" w:rsidRPr="00F73E00" w:rsidRDefault="00FF5729" w:rsidP="00F73E00">
            <w:pPr>
              <w:tabs>
                <w:tab w:val="clear" w:pos="794"/>
                <w:tab w:val="clear" w:pos="1191"/>
                <w:tab w:val="clear" w:pos="1588"/>
                <w:tab w:val="clear" w:pos="1985"/>
                <w:tab w:val="left" w:pos="3330"/>
              </w:tabs>
              <w:spacing w:before="40" w:after="40"/>
              <w:ind w:left="283" w:hanging="391"/>
              <w:rPr>
                <w:noProof/>
                <w:sz w:val="22"/>
                <w:szCs w:val="22"/>
              </w:rPr>
            </w:pPr>
            <w:r w:rsidRPr="00F73E00">
              <w:rPr>
                <w:noProof/>
                <w:sz w:val="22"/>
                <w:szCs w:val="22"/>
              </w:rPr>
              <w:t>-</w:t>
            </w:r>
            <w:r w:rsidRPr="00F73E00">
              <w:rPr>
                <w:noProof/>
                <w:sz w:val="22"/>
                <w:szCs w:val="22"/>
              </w:rPr>
              <w:tab/>
              <w:t>Administrations of Member States of</w:t>
            </w:r>
            <w:r w:rsidR="001614A6" w:rsidRPr="00F73E00">
              <w:rPr>
                <w:noProof/>
                <w:sz w:val="22"/>
                <w:szCs w:val="22"/>
              </w:rPr>
              <w:br/>
            </w:r>
            <w:r w:rsidRPr="00F73E00">
              <w:rPr>
                <w:noProof/>
                <w:sz w:val="22"/>
                <w:szCs w:val="22"/>
              </w:rPr>
              <w:t>the Union</w:t>
            </w:r>
            <w:r w:rsidR="00A72C30" w:rsidRPr="00F73E00">
              <w:rPr>
                <w:noProof/>
                <w:sz w:val="22"/>
                <w:szCs w:val="22"/>
              </w:rPr>
              <w:t>;</w:t>
            </w:r>
          </w:p>
          <w:p w14:paraId="27614920" w14:textId="77777777" w:rsidR="00FF5729" w:rsidRPr="00F73E00" w:rsidRDefault="00FF5729" w:rsidP="00F73E00">
            <w:pPr>
              <w:tabs>
                <w:tab w:val="clear" w:pos="794"/>
                <w:tab w:val="clear" w:pos="1191"/>
                <w:tab w:val="clear" w:pos="1588"/>
                <w:tab w:val="clear" w:pos="1985"/>
                <w:tab w:val="left" w:pos="3330"/>
              </w:tabs>
              <w:spacing w:before="40" w:after="40"/>
              <w:ind w:left="283" w:hanging="391"/>
              <w:rPr>
                <w:noProof/>
                <w:sz w:val="22"/>
                <w:szCs w:val="22"/>
                <w:lang w:val="fr-FR"/>
              </w:rPr>
            </w:pPr>
            <w:r w:rsidRPr="00F73E00">
              <w:rPr>
                <w:noProof/>
                <w:sz w:val="22"/>
                <w:szCs w:val="22"/>
                <w:lang w:val="fr-FR"/>
              </w:rPr>
              <w:t>-</w:t>
            </w:r>
            <w:r w:rsidRPr="00F73E00">
              <w:rPr>
                <w:noProof/>
                <w:sz w:val="22"/>
                <w:szCs w:val="22"/>
                <w:lang w:val="fr-FR"/>
              </w:rPr>
              <w:tab/>
              <w:t>ITU-T Sector Members</w:t>
            </w:r>
            <w:r w:rsidR="00A72C30" w:rsidRPr="00F73E00">
              <w:rPr>
                <w:noProof/>
                <w:sz w:val="22"/>
                <w:szCs w:val="22"/>
                <w:lang w:val="fr-FR"/>
              </w:rPr>
              <w:t>;</w:t>
            </w:r>
          </w:p>
          <w:p w14:paraId="5A3F0C7E" w14:textId="77777777" w:rsidR="00FF5729" w:rsidRPr="00F73E00" w:rsidRDefault="00FF5729" w:rsidP="00F73E00">
            <w:pPr>
              <w:tabs>
                <w:tab w:val="clear" w:pos="794"/>
                <w:tab w:val="clear" w:pos="1191"/>
                <w:tab w:val="clear" w:pos="1588"/>
                <w:tab w:val="clear" w:pos="1985"/>
                <w:tab w:val="left" w:pos="3330"/>
              </w:tabs>
              <w:spacing w:before="40" w:after="40"/>
              <w:ind w:left="283" w:hanging="391"/>
              <w:rPr>
                <w:noProof/>
                <w:sz w:val="22"/>
                <w:szCs w:val="22"/>
                <w:lang w:val="fr-FR"/>
              </w:rPr>
            </w:pPr>
            <w:r w:rsidRPr="00F73E00">
              <w:rPr>
                <w:noProof/>
                <w:sz w:val="22"/>
                <w:szCs w:val="22"/>
                <w:lang w:val="fr-FR"/>
              </w:rPr>
              <w:t>-</w:t>
            </w:r>
            <w:r w:rsidRPr="00F73E00">
              <w:rPr>
                <w:noProof/>
                <w:sz w:val="22"/>
                <w:szCs w:val="22"/>
                <w:lang w:val="fr-FR"/>
              </w:rPr>
              <w:tab/>
              <w:t>ITU-T Associates</w:t>
            </w:r>
            <w:r w:rsidR="00A72C30" w:rsidRPr="00F73E00">
              <w:rPr>
                <w:noProof/>
                <w:sz w:val="22"/>
                <w:szCs w:val="22"/>
                <w:lang w:val="fr-FR"/>
              </w:rPr>
              <w:t>;</w:t>
            </w:r>
          </w:p>
          <w:p w14:paraId="3FCF1CA2" w14:textId="77777777" w:rsidR="00FA46A0" w:rsidRPr="00F73E00" w:rsidRDefault="00FF5729" w:rsidP="00F73E00">
            <w:pPr>
              <w:tabs>
                <w:tab w:val="left" w:pos="284"/>
                <w:tab w:val="left" w:pos="567"/>
                <w:tab w:val="left" w:pos="851"/>
                <w:tab w:val="left" w:pos="1418"/>
                <w:tab w:val="left" w:pos="1701"/>
                <w:tab w:val="left" w:pos="2552"/>
                <w:tab w:val="left" w:pos="2835"/>
                <w:tab w:val="left" w:pos="3119"/>
                <w:tab w:val="left" w:pos="3330"/>
                <w:tab w:val="left" w:pos="3686"/>
                <w:tab w:val="left" w:pos="3969"/>
              </w:tabs>
              <w:spacing w:before="40" w:after="40"/>
              <w:ind w:left="283" w:hanging="391"/>
              <w:rPr>
                <w:noProof/>
                <w:sz w:val="22"/>
                <w:szCs w:val="22"/>
              </w:rPr>
            </w:pPr>
            <w:r w:rsidRPr="00F73E00">
              <w:rPr>
                <w:noProof/>
                <w:sz w:val="22"/>
                <w:szCs w:val="22"/>
              </w:rPr>
              <w:t>-</w:t>
            </w:r>
            <w:r w:rsidRPr="00F73E00">
              <w:rPr>
                <w:noProof/>
                <w:sz w:val="22"/>
                <w:szCs w:val="22"/>
              </w:rPr>
              <w:tab/>
              <w:t>ITU Academia</w:t>
            </w:r>
          </w:p>
        </w:tc>
      </w:tr>
      <w:tr w:rsidR="00FA46A0" w:rsidRPr="00F73E00" w14:paraId="61E5A015" w14:textId="77777777">
        <w:trPr>
          <w:cantSplit/>
          <w:trHeight w:val="221"/>
        </w:trPr>
        <w:tc>
          <w:tcPr>
            <w:tcW w:w="1134" w:type="dxa"/>
          </w:tcPr>
          <w:p w14:paraId="5F6DB6D1" w14:textId="77777777" w:rsidR="00FA46A0" w:rsidRPr="00F73E00" w:rsidRDefault="00B61012">
            <w:pPr>
              <w:pStyle w:val="Tabletext"/>
              <w:rPr>
                <w:noProof/>
                <w:sz w:val="22"/>
                <w:szCs w:val="22"/>
              </w:rPr>
            </w:pPr>
            <w:r w:rsidRPr="00F73E00">
              <w:rPr>
                <w:noProof/>
                <w:sz w:val="22"/>
                <w:szCs w:val="22"/>
              </w:rPr>
              <w:t>Tel:</w:t>
            </w:r>
          </w:p>
        </w:tc>
        <w:tc>
          <w:tcPr>
            <w:tcW w:w="3544" w:type="dxa"/>
            <w:gridSpan w:val="2"/>
          </w:tcPr>
          <w:p w14:paraId="0F0B5741" w14:textId="77777777" w:rsidR="00FA46A0" w:rsidRPr="00F73E00" w:rsidRDefault="00C95BF6" w:rsidP="00C95BF6">
            <w:pPr>
              <w:pStyle w:val="Tabletext"/>
              <w:rPr>
                <w:b/>
                <w:noProof/>
                <w:sz w:val="22"/>
                <w:szCs w:val="22"/>
              </w:rPr>
            </w:pPr>
            <w:r w:rsidRPr="00F73E00">
              <w:rPr>
                <w:noProof/>
                <w:sz w:val="22"/>
                <w:szCs w:val="22"/>
              </w:rPr>
              <w:t xml:space="preserve">+41 22 730 </w:t>
            </w:r>
            <w:r w:rsidR="00E26223" w:rsidRPr="00F73E00">
              <w:rPr>
                <w:noProof/>
                <w:sz w:val="22"/>
                <w:szCs w:val="22"/>
              </w:rPr>
              <w:t>5858</w:t>
            </w:r>
          </w:p>
        </w:tc>
        <w:tc>
          <w:tcPr>
            <w:tcW w:w="5103" w:type="dxa"/>
            <w:gridSpan w:val="2"/>
            <w:vMerge/>
          </w:tcPr>
          <w:p w14:paraId="411F1E99" w14:textId="77777777" w:rsidR="00FA46A0" w:rsidRPr="00F73E00" w:rsidRDefault="00FA46A0" w:rsidP="00F73E00">
            <w:pPr>
              <w:pStyle w:val="Tabletext"/>
              <w:tabs>
                <w:tab w:val="clear" w:pos="3402"/>
                <w:tab w:val="left" w:pos="3330"/>
              </w:tabs>
              <w:ind w:left="142" w:hanging="391"/>
              <w:rPr>
                <w:noProof/>
                <w:sz w:val="22"/>
                <w:szCs w:val="22"/>
              </w:rPr>
            </w:pPr>
          </w:p>
        </w:tc>
      </w:tr>
      <w:tr w:rsidR="00FA46A0" w:rsidRPr="00F73E00" w14:paraId="5D479830" w14:textId="77777777">
        <w:trPr>
          <w:cantSplit/>
          <w:trHeight w:val="282"/>
        </w:trPr>
        <w:tc>
          <w:tcPr>
            <w:tcW w:w="1134" w:type="dxa"/>
          </w:tcPr>
          <w:p w14:paraId="413B30ED" w14:textId="77777777" w:rsidR="00FA46A0" w:rsidRPr="00F73E00" w:rsidRDefault="00B61012">
            <w:pPr>
              <w:pStyle w:val="Tabletext"/>
              <w:rPr>
                <w:noProof/>
                <w:sz w:val="22"/>
                <w:szCs w:val="22"/>
              </w:rPr>
            </w:pPr>
            <w:r w:rsidRPr="00F73E00">
              <w:rPr>
                <w:noProof/>
                <w:sz w:val="22"/>
                <w:szCs w:val="22"/>
              </w:rPr>
              <w:t>Fax:</w:t>
            </w:r>
          </w:p>
        </w:tc>
        <w:tc>
          <w:tcPr>
            <w:tcW w:w="3544" w:type="dxa"/>
            <w:gridSpan w:val="2"/>
          </w:tcPr>
          <w:p w14:paraId="16D0D223" w14:textId="77777777" w:rsidR="00FA46A0" w:rsidRPr="00F73E00" w:rsidRDefault="00B61012">
            <w:pPr>
              <w:pStyle w:val="Tabletext"/>
              <w:rPr>
                <w:b/>
                <w:noProof/>
                <w:sz w:val="22"/>
                <w:szCs w:val="22"/>
              </w:rPr>
            </w:pPr>
            <w:r w:rsidRPr="00F73E00">
              <w:rPr>
                <w:noProof/>
                <w:sz w:val="22"/>
                <w:szCs w:val="22"/>
              </w:rPr>
              <w:t>+41 22 730 5853</w:t>
            </w:r>
          </w:p>
        </w:tc>
        <w:tc>
          <w:tcPr>
            <w:tcW w:w="5103" w:type="dxa"/>
            <w:gridSpan w:val="2"/>
            <w:vMerge/>
          </w:tcPr>
          <w:p w14:paraId="641A3A9D" w14:textId="77777777" w:rsidR="00FA46A0" w:rsidRPr="00F73E00" w:rsidRDefault="00FA46A0" w:rsidP="00F73E00">
            <w:pPr>
              <w:pStyle w:val="Tabletext"/>
              <w:tabs>
                <w:tab w:val="clear" w:pos="3402"/>
                <w:tab w:val="left" w:pos="3330"/>
              </w:tabs>
              <w:ind w:left="142" w:hanging="391"/>
              <w:rPr>
                <w:noProof/>
                <w:sz w:val="22"/>
                <w:szCs w:val="22"/>
              </w:rPr>
            </w:pPr>
          </w:p>
        </w:tc>
      </w:tr>
      <w:tr w:rsidR="00FA46A0" w:rsidRPr="00F73E00" w14:paraId="6856BDF7" w14:textId="77777777" w:rsidTr="00170A94">
        <w:trPr>
          <w:cantSplit/>
          <w:trHeight w:val="2084"/>
        </w:trPr>
        <w:tc>
          <w:tcPr>
            <w:tcW w:w="1134" w:type="dxa"/>
          </w:tcPr>
          <w:p w14:paraId="1EA64CA5" w14:textId="77777777" w:rsidR="00FA46A0" w:rsidRPr="00F73E00" w:rsidRDefault="00B61012">
            <w:pPr>
              <w:pStyle w:val="Tabletext"/>
              <w:rPr>
                <w:noProof/>
                <w:sz w:val="22"/>
                <w:szCs w:val="22"/>
              </w:rPr>
            </w:pPr>
            <w:r w:rsidRPr="00F73E00">
              <w:rPr>
                <w:noProof/>
                <w:sz w:val="22"/>
                <w:szCs w:val="22"/>
              </w:rPr>
              <w:t>E-mail:</w:t>
            </w:r>
          </w:p>
        </w:tc>
        <w:tc>
          <w:tcPr>
            <w:tcW w:w="3544" w:type="dxa"/>
            <w:gridSpan w:val="2"/>
          </w:tcPr>
          <w:p w14:paraId="6CD71C4C" w14:textId="7B2F5889" w:rsidR="00FA46A0" w:rsidRPr="00F73E00" w:rsidRDefault="00000000" w:rsidP="00FC1C19">
            <w:pPr>
              <w:pStyle w:val="Tabletext"/>
              <w:rPr>
                <w:noProof/>
                <w:sz w:val="22"/>
                <w:szCs w:val="22"/>
              </w:rPr>
            </w:pPr>
            <w:hyperlink r:id="rId9" w:history="1">
              <w:r w:rsidR="00D45E44" w:rsidRPr="00F73E00">
                <w:rPr>
                  <w:rStyle w:val="Hyperlink"/>
                  <w:noProof/>
                  <w:sz w:val="22"/>
                  <w:szCs w:val="22"/>
                </w:rPr>
                <w:t>tsbevents@itu.int</w:t>
              </w:r>
            </w:hyperlink>
          </w:p>
        </w:tc>
        <w:tc>
          <w:tcPr>
            <w:tcW w:w="5103" w:type="dxa"/>
            <w:gridSpan w:val="2"/>
          </w:tcPr>
          <w:p w14:paraId="13657EF5" w14:textId="77777777" w:rsidR="00FC1C19" w:rsidRPr="00F73E00" w:rsidRDefault="00B61012" w:rsidP="00F73E00">
            <w:pPr>
              <w:pStyle w:val="Tabletext"/>
              <w:tabs>
                <w:tab w:val="clear" w:pos="3402"/>
                <w:tab w:val="left" w:pos="3330"/>
              </w:tabs>
              <w:ind w:left="283" w:hanging="391"/>
              <w:rPr>
                <w:noProof/>
                <w:sz w:val="22"/>
                <w:szCs w:val="22"/>
              </w:rPr>
            </w:pPr>
            <w:r w:rsidRPr="00F73E00">
              <w:rPr>
                <w:b/>
                <w:noProof/>
                <w:sz w:val="22"/>
                <w:szCs w:val="22"/>
              </w:rPr>
              <w:t>Copy to:</w:t>
            </w:r>
          </w:p>
          <w:p w14:paraId="37C42D7C" w14:textId="646DBA60" w:rsidR="003746A5" w:rsidRPr="00F73E00" w:rsidRDefault="003746A5" w:rsidP="00F73E00">
            <w:pPr>
              <w:pStyle w:val="Tabletext"/>
              <w:tabs>
                <w:tab w:val="clear" w:pos="284"/>
                <w:tab w:val="clear" w:pos="3402"/>
                <w:tab w:val="left" w:pos="3330"/>
              </w:tabs>
              <w:ind w:left="283" w:hanging="391"/>
              <w:rPr>
                <w:noProof/>
                <w:sz w:val="22"/>
                <w:szCs w:val="22"/>
              </w:rPr>
            </w:pPr>
            <w:r w:rsidRPr="00F73E00">
              <w:rPr>
                <w:noProof/>
                <w:sz w:val="22"/>
                <w:szCs w:val="22"/>
              </w:rPr>
              <w:t>-</w:t>
            </w:r>
            <w:r w:rsidRPr="00F73E00">
              <w:rPr>
                <w:noProof/>
                <w:sz w:val="22"/>
                <w:szCs w:val="22"/>
              </w:rPr>
              <w:tab/>
            </w:r>
            <w:r w:rsidR="00963900" w:rsidRPr="00F73E00">
              <w:rPr>
                <w:noProof/>
                <w:sz w:val="22"/>
                <w:szCs w:val="22"/>
              </w:rPr>
              <w:t>T</w:t>
            </w:r>
            <w:r w:rsidRPr="00F73E00">
              <w:rPr>
                <w:noProof/>
                <w:sz w:val="22"/>
                <w:szCs w:val="22"/>
              </w:rPr>
              <w:t>he Chairm</w:t>
            </w:r>
            <w:r w:rsidR="00D62702" w:rsidRPr="00F73E00">
              <w:rPr>
                <w:noProof/>
                <w:sz w:val="22"/>
                <w:szCs w:val="22"/>
              </w:rPr>
              <w:t>e</w:t>
            </w:r>
            <w:r w:rsidRPr="00F73E00">
              <w:rPr>
                <w:noProof/>
                <w:sz w:val="22"/>
                <w:szCs w:val="22"/>
              </w:rPr>
              <w:t>n and Vice-Chairmen of</w:t>
            </w:r>
            <w:r w:rsidR="001614A6" w:rsidRPr="00F73E00">
              <w:rPr>
                <w:noProof/>
                <w:sz w:val="22"/>
                <w:szCs w:val="22"/>
              </w:rPr>
              <w:br/>
            </w:r>
            <w:r w:rsidRPr="00F73E00">
              <w:rPr>
                <w:noProof/>
                <w:sz w:val="22"/>
                <w:szCs w:val="22"/>
              </w:rPr>
              <w:t>Study Group</w:t>
            </w:r>
            <w:r w:rsidR="00FC1C19" w:rsidRPr="00F73E00">
              <w:rPr>
                <w:noProof/>
                <w:sz w:val="22"/>
                <w:szCs w:val="22"/>
              </w:rPr>
              <w:t>s;</w:t>
            </w:r>
          </w:p>
          <w:p w14:paraId="7C11B586" w14:textId="77777777" w:rsidR="003746A5" w:rsidRPr="00F73E00" w:rsidRDefault="003746A5" w:rsidP="00F73E00">
            <w:pPr>
              <w:pStyle w:val="Tabletext"/>
              <w:tabs>
                <w:tab w:val="clear" w:pos="284"/>
                <w:tab w:val="clear" w:pos="3402"/>
                <w:tab w:val="left" w:pos="3330"/>
              </w:tabs>
              <w:ind w:left="283" w:hanging="391"/>
              <w:rPr>
                <w:noProof/>
                <w:sz w:val="22"/>
                <w:szCs w:val="22"/>
              </w:rPr>
            </w:pPr>
            <w:r w:rsidRPr="00F73E00">
              <w:rPr>
                <w:noProof/>
                <w:sz w:val="22"/>
                <w:szCs w:val="22"/>
              </w:rPr>
              <w:t>-</w:t>
            </w:r>
            <w:r w:rsidRPr="00F73E00">
              <w:rPr>
                <w:noProof/>
                <w:sz w:val="22"/>
                <w:szCs w:val="22"/>
              </w:rPr>
              <w:tab/>
              <w:t>The Director of the Telecommunication Development Bureau;</w:t>
            </w:r>
          </w:p>
          <w:p w14:paraId="4E6DE0D2" w14:textId="692FD515" w:rsidR="0088540D" w:rsidRPr="00F73E00" w:rsidRDefault="003746A5" w:rsidP="00F73E00">
            <w:pPr>
              <w:pStyle w:val="Tabletext"/>
              <w:tabs>
                <w:tab w:val="clear" w:pos="284"/>
                <w:tab w:val="clear" w:pos="3402"/>
                <w:tab w:val="left" w:pos="3330"/>
              </w:tabs>
              <w:ind w:left="283" w:hanging="391"/>
              <w:rPr>
                <w:noProof/>
                <w:sz w:val="22"/>
                <w:szCs w:val="22"/>
              </w:rPr>
            </w:pPr>
            <w:r w:rsidRPr="00F73E00">
              <w:rPr>
                <w:noProof/>
                <w:sz w:val="22"/>
                <w:szCs w:val="22"/>
              </w:rPr>
              <w:t>-</w:t>
            </w:r>
            <w:r w:rsidRPr="00F73E00">
              <w:rPr>
                <w:noProof/>
                <w:sz w:val="22"/>
                <w:szCs w:val="22"/>
              </w:rPr>
              <w:tab/>
              <w:t>The Director of the Radiocommunication Bureau</w:t>
            </w:r>
          </w:p>
        </w:tc>
      </w:tr>
      <w:tr w:rsidR="00FA46A0" w:rsidRPr="00F73E00" w14:paraId="0154FE49" w14:textId="77777777">
        <w:trPr>
          <w:cantSplit/>
          <w:trHeight w:val="618"/>
        </w:trPr>
        <w:tc>
          <w:tcPr>
            <w:tcW w:w="1134" w:type="dxa"/>
          </w:tcPr>
          <w:p w14:paraId="62C2993A" w14:textId="2D0A25D7" w:rsidR="00FA46A0" w:rsidRPr="00F73E00" w:rsidRDefault="00A71DAE" w:rsidP="00D561D2">
            <w:pPr>
              <w:pStyle w:val="Tabletext"/>
              <w:spacing w:after="0"/>
              <w:ind w:left="-20"/>
              <w:rPr>
                <w:noProof/>
                <w:sz w:val="22"/>
                <w:szCs w:val="22"/>
              </w:rPr>
            </w:pPr>
            <w:r w:rsidRPr="00F73E00">
              <w:rPr>
                <w:b/>
                <w:noProof/>
                <w:sz w:val="22"/>
                <w:szCs w:val="22"/>
              </w:rPr>
              <w:t>Subject:</w:t>
            </w:r>
          </w:p>
        </w:tc>
        <w:tc>
          <w:tcPr>
            <w:tcW w:w="8647" w:type="dxa"/>
            <w:gridSpan w:val="4"/>
          </w:tcPr>
          <w:p w14:paraId="5E7D2082" w14:textId="52CBCC23" w:rsidR="00D05C75" w:rsidRPr="00F73E00" w:rsidRDefault="00E26223" w:rsidP="00DA1F03">
            <w:pPr>
              <w:pStyle w:val="Tabletext"/>
              <w:rPr>
                <w:b/>
                <w:noProof/>
                <w:sz w:val="22"/>
                <w:szCs w:val="22"/>
                <w:highlight w:val="yellow"/>
              </w:rPr>
            </w:pPr>
            <w:r w:rsidRPr="00F73E00">
              <w:rPr>
                <w:b/>
                <w:bCs/>
                <w:noProof/>
                <w:sz w:val="22"/>
                <w:szCs w:val="22"/>
              </w:rPr>
              <w:t>Future Networked Car</w:t>
            </w:r>
            <w:r w:rsidR="007D292E" w:rsidRPr="00F73E00">
              <w:rPr>
                <w:b/>
                <w:bCs/>
                <w:noProof/>
                <w:sz w:val="22"/>
                <w:szCs w:val="22"/>
              </w:rPr>
              <w:t xml:space="preserve"> </w:t>
            </w:r>
            <w:r w:rsidR="00894917" w:rsidRPr="00F73E00">
              <w:rPr>
                <w:b/>
                <w:bCs/>
                <w:noProof/>
                <w:sz w:val="22"/>
                <w:szCs w:val="22"/>
              </w:rPr>
              <w:t>Symposium</w:t>
            </w:r>
            <w:r w:rsidR="0005030F" w:rsidRPr="00F73E00">
              <w:rPr>
                <w:b/>
                <w:bCs/>
                <w:noProof/>
                <w:sz w:val="22"/>
                <w:szCs w:val="22"/>
              </w:rPr>
              <w:t>:</w:t>
            </w:r>
            <w:r w:rsidR="00894917" w:rsidRPr="00F73E00">
              <w:rPr>
                <w:b/>
                <w:bCs/>
                <w:noProof/>
                <w:sz w:val="22"/>
                <w:szCs w:val="22"/>
              </w:rPr>
              <w:t xml:space="preserve"> </w:t>
            </w:r>
            <w:r w:rsidR="007D292E" w:rsidRPr="00F73E00">
              <w:rPr>
                <w:b/>
                <w:bCs/>
                <w:noProof/>
                <w:sz w:val="22"/>
                <w:szCs w:val="22"/>
              </w:rPr>
              <w:t>Spin</w:t>
            </w:r>
            <w:r w:rsidR="0005030F" w:rsidRPr="00F73E00">
              <w:rPr>
                <w:b/>
                <w:bCs/>
                <w:noProof/>
                <w:sz w:val="22"/>
                <w:szCs w:val="22"/>
              </w:rPr>
              <w:t>-</w:t>
            </w:r>
            <w:r w:rsidR="00894917" w:rsidRPr="00F73E00">
              <w:rPr>
                <w:b/>
                <w:bCs/>
                <w:noProof/>
                <w:sz w:val="22"/>
                <w:szCs w:val="22"/>
              </w:rPr>
              <w:t>o</w:t>
            </w:r>
            <w:r w:rsidR="007D292E" w:rsidRPr="00F73E00">
              <w:rPr>
                <w:b/>
                <w:bCs/>
                <w:noProof/>
                <w:sz w:val="22"/>
                <w:szCs w:val="22"/>
              </w:rPr>
              <w:t xml:space="preserve">ff in Qatar </w:t>
            </w:r>
            <w:r w:rsidR="006A4D9C" w:rsidRPr="00F73E00">
              <w:rPr>
                <w:b/>
                <w:bCs/>
                <w:noProof/>
                <w:sz w:val="22"/>
                <w:szCs w:val="22"/>
              </w:rPr>
              <w:br/>
            </w:r>
            <w:r w:rsidR="00C415F2" w:rsidRPr="00F73E00">
              <w:rPr>
                <w:b/>
                <w:bCs/>
                <w:noProof/>
                <w:sz w:val="22"/>
                <w:szCs w:val="22"/>
              </w:rPr>
              <w:t>(</w:t>
            </w:r>
            <w:r w:rsidR="007D292E" w:rsidRPr="00F73E00">
              <w:rPr>
                <w:b/>
                <w:bCs/>
                <w:noProof/>
                <w:sz w:val="22"/>
                <w:szCs w:val="22"/>
              </w:rPr>
              <w:t>Doha, Qatar, 6 October 2023</w:t>
            </w:r>
            <w:r w:rsidR="00C415F2" w:rsidRPr="00F73E00">
              <w:rPr>
                <w:b/>
                <w:bCs/>
                <w:noProof/>
                <w:sz w:val="22"/>
                <w:szCs w:val="22"/>
              </w:rPr>
              <w:t>)</w:t>
            </w:r>
            <w:r w:rsidR="00D43550" w:rsidRPr="00F73E00">
              <w:rPr>
                <w:b/>
                <w:bCs/>
                <w:noProof/>
                <w:sz w:val="22"/>
                <w:szCs w:val="22"/>
              </w:rPr>
              <w:t xml:space="preserve"> </w:t>
            </w:r>
          </w:p>
        </w:tc>
      </w:tr>
    </w:tbl>
    <w:p w14:paraId="42FA64C6" w14:textId="77777777" w:rsidR="00FA46A0" w:rsidRPr="00F73E00" w:rsidRDefault="00B61012" w:rsidP="00A71DAE">
      <w:pPr>
        <w:spacing w:before="240"/>
        <w:rPr>
          <w:noProof/>
          <w:sz w:val="22"/>
          <w:szCs w:val="22"/>
        </w:rPr>
      </w:pPr>
      <w:r w:rsidRPr="00F73E00">
        <w:rPr>
          <w:noProof/>
          <w:sz w:val="22"/>
          <w:szCs w:val="22"/>
        </w:rPr>
        <w:t>Dear Sir/Madam,</w:t>
      </w:r>
    </w:p>
    <w:p w14:paraId="2E3E4908" w14:textId="44EA3286" w:rsidR="002D4654" w:rsidRPr="00F73E00" w:rsidRDefault="00E61758" w:rsidP="00E0345C">
      <w:pPr>
        <w:rPr>
          <w:noProof/>
          <w:sz w:val="22"/>
          <w:szCs w:val="22"/>
        </w:rPr>
      </w:pPr>
      <w:r w:rsidRPr="00F73E00">
        <w:rPr>
          <w:noProof/>
          <w:sz w:val="22"/>
          <w:szCs w:val="22"/>
        </w:rPr>
        <w:t>1</w:t>
      </w:r>
      <w:r w:rsidRPr="00F73E00">
        <w:rPr>
          <w:noProof/>
          <w:sz w:val="22"/>
          <w:szCs w:val="22"/>
        </w:rPr>
        <w:tab/>
        <w:t xml:space="preserve">I </w:t>
      </w:r>
      <w:r w:rsidR="005940CC" w:rsidRPr="00F73E00">
        <w:rPr>
          <w:noProof/>
          <w:sz w:val="22"/>
          <w:szCs w:val="22"/>
        </w:rPr>
        <w:t xml:space="preserve">am very pleased </w:t>
      </w:r>
      <w:r w:rsidRPr="00F73E00">
        <w:rPr>
          <w:noProof/>
          <w:sz w:val="22"/>
          <w:szCs w:val="22"/>
        </w:rPr>
        <w:t xml:space="preserve">to inform you that </w:t>
      </w:r>
      <w:r w:rsidR="000D760B" w:rsidRPr="00F73E00">
        <w:rPr>
          <w:noProof/>
          <w:sz w:val="22"/>
          <w:szCs w:val="22"/>
        </w:rPr>
        <w:t xml:space="preserve">the </w:t>
      </w:r>
      <w:r w:rsidR="002A736C" w:rsidRPr="00F73E00">
        <w:rPr>
          <w:b/>
          <w:bCs/>
          <w:noProof/>
          <w:sz w:val="22"/>
          <w:szCs w:val="22"/>
        </w:rPr>
        <w:t>International Telecommunication Union (ITU)</w:t>
      </w:r>
      <w:r w:rsidR="002A736C" w:rsidRPr="00F73E00">
        <w:rPr>
          <w:noProof/>
          <w:sz w:val="22"/>
          <w:szCs w:val="22"/>
        </w:rPr>
        <w:t xml:space="preserve"> and the </w:t>
      </w:r>
      <w:r w:rsidR="002A736C" w:rsidRPr="00F73E00">
        <w:rPr>
          <w:b/>
          <w:bCs/>
          <w:noProof/>
          <w:sz w:val="22"/>
          <w:szCs w:val="22"/>
        </w:rPr>
        <w:t xml:space="preserve">United Nations Economic Commission for Europe (UNECE) </w:t>
      </w:r>
      <w:r w:rsidRPr="00F73E00">
        <w:rPr>
          <w:noProof/>
          <w:sz w:val="22"/>
          <w:szCs w:val="22"/>
        </w:rPr>
        <w:t xml:space="preserve">will </w:t>
      </w:r>
      <w:r w:rsidR="009F366E" w:rsidRPr="00F73E00">
        <w:rPr>
          <w:noProof/>
          <w:sz w:val="22"/>
          <w:szCs w:val="22"/>
        </w:rPr>
        <w:t xml:space="preserve">be </w:t>
      </w:r>
      <w:r w:rsidR="00F3186C" w:rsidRPr="00F73E00">
        <w:rPr>
          <w:noProof/>
          <w:sz w:val="22"/>
          <w:szCs w:val="22"/>
        </w:rPr>
        <w:t>co-</w:t>
      </w:r>
      <w:r w:rsidR="009F366E" w:rsidRPr="00F73E00">
        <w:rPr>
          <w:noProof/>
          <w:sz w:val="22"/>
          <w:szCs w:val="22"/>
        </w:rPr>
        <w:t>organizing</w:t>
      </w:r>
      <w:r w:rsidRPr="00F73E00">
        <w:rPr>
          <w:noProof/>
          <w:sz w:val="22"/>
          <w:szCs w:val="22"/>
        </w:rPr>
        <w:t xml:space="preserve"> </w:t>
      </w:r>
      <w:r w:rsidR="00BC6169" w:rsidRPr="00F73E00">
        <w:rPr>
          <w:noProof/>
          <w:sz w:val="22"/>
          <w:szCs w:val="22"/>
        </w:rPr>
        <w:t>a spin</w:t>
      </w:r>
      <w:r w:rsidR="002D6588" w:rsidRPr="00F73E00">
        <w:rPr>
          <w:noProof/>
          <w:sz w:val="22"/>
          <w:szCs w:val="22"/>
        </w:rPr>
        <w:t>-</w:t>
      </w:r>
      <w:r w:rsidR="00BC6169" w:rsidRPr="00F73E00">
        <w:rPr>
          <w:noProof/>
          <w:sz w:val="22"/>
          <w:szCs w:val="22"/>
        </w:rPr>
        <w:t xml:space="preserve">off of the </w:t>
      </w:r>
      <w:r w:rsidRPr="00F73E00">
        <w:rPr>
          <w:b/>
          <w:bCs/>
          <w:noProof/>
          <w:sz w:val="22"/>
          <w:szCs w:val="22"/>
        </w:rPr>
        <w:t>Symposium on th</w:t>
      </w:r>
      <w:r w:rsidR="003631DA" w:rsidRPr="00F73E00">
        <w:rPr>
          <w:b/>
          <w:bCs/>
          <w:noProof/>
          <w:sz w:val="22"/>
          <w:szCs w:val="22"/>
        </w:rPr>
        <w:t xml:space="preserve">e Future Networked Car </w:t>
      </w:r>
      <w:r w:rsidR="00BC6169" w:rsidRPr="00F73E00">
        <w:rPr>
          <w:b/>
          <w:bCs/>
          <w:noProof/>
          <w:sz w:val="22"/>
          <w:szCs w:val="22"/>
        </w:rPr>
        <w:t>in Doha, Qatar on 6 October 2023</w:t>
      </w:r>
      <w:r w:rsidR="00B52843" w:rsidRPr="00F73E00">
        <w:rPr>
          <w:b/>
          <w:bCs/>
          <w:noProof/>
          <w:sz w:val="22"/>
          <w:szCs w:val="22"/>
        </w:rPr>
        <w:t xml:space="preserve"> from 14h00 to 21h00 </w:t>
      </w:r>
      <w:r w:rsidR="005A3140">
        <w:rPr>
          <w:b/>
          <w:bCs/>
          <w:noProof/>
          <w:sz w:val="22"/>
          <w:szCs w:val="22"/>
        </w:rPr>
        <w:t>A</w:t>
      </w:r>
      <w:r w:rsidR="00B52843" w:rsidRPr="00F73E00">
        <w:rPr>
          <w:b/>
          <w:bCs/>
          <w:noProof/>
          <w:sz w:val="22"/>
          <w:szCs w:val="22"/>
        </w:rPr>
        <w:t>ST</w:t>
      </w:r>
      <w:r w:rsidR="00B52843" w:rsidRPr="00F73E00">
        <w:rPr>
          <w:noProof/>
          <w:sz w:val="22"/>
          <w:szCs w:val="22"/>
        </w:rPr>
        <w:t>.</w:t>
      </w:r>
    </w:p>
    <w:p w14:paraId="51045AC2" w14:textId="082FD656" w:rsidR="00F53E7D" w:rsidRPr="00F73E00" w:rsidRDefault="002D4654" w:rsidP="00E0345C">
      <w:pPr>
        <w:rPr>
          <w:b/>
          <w:bCs/>
          <w:noProof/>
          <w:sz w:val="22"/>
          <w:szCs w:val="22"/>
        </w:rPr>
      </w:pPr>
      <w:r w:rsidRPr="00F73E00">
        <w:rPr>
          <w:noProof/>
          <w:sz w:val="22"/>
          <w:szCs w:val="22"/>
        </w:rPr>
        <w:t>This edition of the Symposium is kindly supported by the Communication Regulatory Authority of Qatar as platinum</w:t>
      </w:r>
      <w:r w:rsidRPr="00F73E00">
        <w:rPr>
          <w:b/>
          <w:bCs/>
          <w:noProof/>
          <w:sz w:val="22"/>
          <w:szCs w:val="22"/>
        </w:rPr>
        <w:t xml:space="preserve"> </w:t>
      </w:r>
      <w:r w:rsidRPr="00F73E00">
        <w:rPr>
          <w:noProof/>
          <w:sz w:val="22"/>
          <w:szCs w:val="22"/>
        </w:rPr>
        <w:t>sponsor.</w:t>
      </w:r>
    </w:p>
    <w:p w14:paraId="59545D5E" w14:textId="6F6336E0" w:rsidR="006F63B0" w:rsidRPr="00F73E00" w:rsidRDefault="00271A86" w:rsidP="00E0345C">
      <w:pPr>
        <w:rPr>
          <w:noProof/>
          <w:sz w:val="22"/>
          <w:szCs w:val="22"/>
        </w:rPr>
      </w:pPr>
      <w:r w:rsidRPr="00F73E00">
        <w:rPr>
          <w:rFonts w:eastAsia="SimSun" w:cs="Arial"/>
          <w:noProof/>
          <w:sz w:val="22"/>
          <w:szCs w:val="22"/>
          <w:lang w:eastAsia="zh-CN"/>
        </w:rPr>
        <w:t>T</w:t>
      </w:r>
      <w:r w:rsidR="00F53E7D" w:rsidRPr="00F73E00">
        <w:rPr>
          <w:rFonts w:eastAsia="SimSun" w:cs="Arial"/>
          <w:noProof/>
          <w:sz w:val="22"/>
          <w:szCs w:val="22"/>
          <w:lang w:eastAsia="zh-CN"/>
        </w:rPr>
        <w:t xml:space="preserve">he </w:t>
      </w:r>
      <w:r w:rsidR="00BC6169" w:rsidRPr="00F73E00">
        <w:rPr>
          <w:noProof/>
          <w:sz w:val="22"/>
          <w:szCs w:val="22"/>
        </w:rPr>
        <w:t>Future Networked Car Spin</w:t>
      </w:r>
      <w:r w:rsidR="0005030F" w:rsidRPr="00F73E00">
        <w:rPr>
          <w:noProof/>
          <w:sz w:val="22"/>
          <w:szCs w:val="22"/>
        </w:rPr>
        <w:t>-</w:t>
      </w:r>
      <w:r w:rsidR="00894917" w:rsidRPr="00F73E00">
        <w:rPr>
          <w:noProof/>
          <w:sz w:val="22"/>
          <w:szCs w:val="22"/>
        </w:rPr>
        <w:t>o</w:t>
      </w:r>
      <w:r w:rsidR="00BC6169" w:rsidRPr="00F73E00">
        <w:rPr>
          <w:noProof/>
          <w:sz w:val="22"/>
          <w:szCs w:val="22"/>
        </w:rPr>
        <w:t xml:space="preserve">ff will be organised in conjunction with the </w:t>
      </w:r>
      <w:r w:rsidR="00894917" w:rsidRPr="00F73E00">
        <w:rPr>
          <w:noProof/>
          <w:sz w:val="22"/>
          <w:szCs w:val="22"/>
        </w:rPr>
        <w:t xml:space="preserve">Qatar edition of the </w:t>
      </w:r>
      <w:r w:rsidR="00BC6169" w:rsidRPr="00F73E00">
        <w:rPr>
          <w:noProof/>
          <w:sz w:val="22"/>
          <w:szCs w:val="22"/>
        </w:rPr>
        <w:t>Geneva International Motor Show</w:t>
      </w:r>
      <w:r w:rsidR="00894917" w:rsidRPr="00F73E00">
        <w:rPr>
          <w:noProof/>
          <w:sz w:val="22"/>
          <w:szCs w:val="22"/>
        </w:rPr>
        <w:t xml:space="preserve">, </w:t>
      </w:r>
      <w:r w:rsidR="006F63B0" w:rsidRPr="00F73E00">
        <w:rPr>
          <w:noProof/>
          <w:sz w:val="22"/>
          <w:szCs w:val="22"/>
        </w:rPr>
        <w:t xml:space="preserve">as well as the F1 race, </w:t>
      </w:r>
      <w:r w:rsidR="00894917" w:rsidRPr="00F73E00">
        <w:rPr>
          <w:noProof/>
          <w:sz w:val="22"/>
          <w:szCs w:val="22"/>
        </w:rPr>
        <w:t xml:space="preserve">which </w:t>
      </w:r>
      <w:r w:rsidR="006F63B0" w:rsidRPr="00F73E00">
        <w:rPr>
          <w:noProof/>
          <w:sz w:val="22"/>
          <w:szCs w:val="22"/>
        </w:rPr>
        <w:t>are</w:t>
      </w:r>
      <w:r w:rsidR="00894917" w:rsidRPr="00F73E00">
        <w:rPr>
          <w:noProof/>
          <w:sz w:val="22"/>
          <w:szCs w:val="22"/>
        </w:rPr>
        <w:t xml:space="preserve"> also</w:t>
      </w:r>
      <w:r w:rsidR="00BC6169" w:rsidRPr="00F73E00">
        <w:rPr>
          <w:noProof/>
          <w:sz w:val="22"/>
          <w:szCs w:val="22"/>
        </w:rPr>
        <w:t xml:space="preserve"> </w:t>
      </w:r>
      <w:r w:rsidR="00376C40" w:rsidRPr="00F73E00">
        <w:rPr>
          <w:noProof/>
          <w:sz w:val="22"/>
          <w:szCs w:val="22"/>
        </w:rPr>
        <w:t>taking place in Qatar</w:t>
      </w:r>
      <w:r w:rsidR="00894917" w:rsidRPr="00F73E00">
        <w:rPr>
          <w:noProof/>
          <w:sz w:val="22"/>
          <w:szCs w:val="22"/>
        </w:rPr>
        <w:t xml:space="preserve"> in co-location</w:t>
      </w:r>
      <w:r w:rsidR="00376C40" w:rsidRPr="00F73E00">
        <w:rPr>
          <w:noProof/>
          <w:sz w:val="22"/>
          <w:szCs w:val="22"/>
        </w:rPr>
        <w:t>.</w:t>
      </w:r>
    </w:p>
    <w:p w14:paraId="1AF8E160" w14:textId="75489E55" w:rsidR="00E61758" w:rsidRPr="00F73E00" w:rsidRDefault="00376C40" w:rsidP="00E0345C">
      <w:pPr>
        <w:rPr>
          <w:noProof/>
          <w:sz w:val="22"/>
          <w:szCs w:val="22"/>
        </w:rPr>
      </w:pPr>
      <w:r w:rsidRPr="00F73E00">
        <w:rPr>
          <w:noProof/>
          <w:sz w:val="22"/>
          <w:szCs w:val="22"/>
        </w:rPr>
        <w:t>This spin</w:t>
      </w:r>
      <w:r w:rsidR="002D6588" w:rsidRPr="00F73E00">
        <w:rPr>
          <w:noProof/>
          <w:sz w:val="22"/>
          <w:szCs w:val="22"/>
        </w:rPr>
        <w:t>-</w:t>
      </w:r>
      <w:r w:rsidRPr="00F73E00">
        <w:rPr>
          <w:noProof/>
          <w:sz w:val="22"/>
          <w:szCs w:val="22"/>
        </w:rPr>
        <w:t xml:space="preserve">off will foster a deeper engagement with the automotive and telecommunication experts of the Gulf Cooperation Council (GCC) region. ITU and </w:t>
      </w:r>
      <w:r w:rsidR="00B52843" w:rsidRPr="00F73E00">
        <w:rPr>
          <w:noProof/>
          <w:sz w:val="22"/>
          <w:szCs w:val="22"/>
        </w:rPr>
        <w:t xml:space="preserve">the </w:t>
      </w:r>
      <w:r w:rsidRPr="00F73E00">
        <w:rPr>
          <w:noProof/>
          <w:sz w:val="22"/>
          <w:szCs w:val="22"/>
        </w:rPr>
        <w:t>UNECE see the opportunity of this spin</w:t>
      </w:r>
      <w:r w:rsidR="002D6588" w:rsidRPr="00F73E00">
        <w:rPr>
          <w:noProof/>
          <w:sz w:val="22"/>
          <w:szCs w:val="22"/>
        </w:rPr>
        <w:t>-</w:t>
      </w:r>
      <w:r w:rsidRPr="00F73E00">
        <w:rPr>
          <w:noProof/>
          <w:sz w:val="22"/>
          <w:szCs w:val="22"/>
        </w:rPr>
        <w:t>off</w:t>
      </w:r>
      <w:r w:rsidR="00B52843" w:rsidRPr="00F73E00">
        <w:rPr>
          <w:noProof/>
          <w:sz w:val="22"/>
          <w:szCs w:val="22"/>
        </w:rPr>
        <w:t xml:space="preserve"> to</w:t>
      </w:r>
      <w:r w:rsidRPr="00F73E00">
        <w:rPr>
          <w:noProof/>
          <w:sz w:val="22"/>
          <w:szCs w:val="22"/>
        </w:rPr>
        <w:t xml:space="preserve"> </w:t>
      </w:r>
      <w:r w:rsidR="00B52843" w:rsidRPr="00F73E00">
        <w:rPr>
          <w:noProof/>
          <w:sz w:val="22"/>
          <w:szCs w:val="22"/>
        </w:rPr>
        <w:t>re-initiate</w:t>
      </w:r>
      <w:r w:rsidRPr="00F73E00">
        <w:rPr>
          <w:noProof/>
          <w:sz w:val="22"/>
          <w:szCs w:val="22"/>
        </w:rPr>
        <w:t xml:space="preserve"> </w:t>
      </w:r>
      <w:r w:rsidR="00B52843" w:rsidRPr="00F73E00">
        <w:rPr>
          <w:noProof/>
          <w:sz w:val="22"/>
          <w:szCs w:val="22"/>
        </w:rPr>
        <w:t>the in-</w:t>
      </w:r>
      <w:r w:rsidRPr="00F73E00">
        <w:rPr>
          <w:noProof/>
          <w:sz w:val="22"/>
          <w:szCs w:val="22"/>
        </w:rPr>
        <w:t>person sessions of the FNC</w:t>
      </w:r>
      <w:r w:rsidR="002D6588" w:rsidRPr="00F73E00">
        <w:rPr>
          <w:noProof/>
          <w:sz w:val="22"/>
          <w:szCs w:val="22"/>
        </w:rPr>
        <w:t>,</w:t>
      </w:r>
      <w:r w:rsidRPr="00F73E00">
        <w:rPr>
          <w:noProof/>
          <w:sz w:val="22"/>
          <w:szCs w:val="22"/>
        </w:rPr>
        <w:t xml:space="preserve"> and also</w:t>
      </w:r>
      <w:r w:rsidR="002D6588" w:rsidRPr="00F73E00">
        <w:rPr>
          <w:noProof/>
          <w:sz w:val="22"/>
          <w:szCs w:val="22"/>
        </w:rPr>
        <w:t>,</w:t>
      </w:r>
      <w:r w:rsidRPr="00F73E00">
        <w:rPr>
          <w:noProof/>
          <w:sz w:val="22"/>
          <w:szCs w:val="22"/>
        </w:rPr>
        <w:t xml:space="preserve"> to showcase innovative ideas and solutions from the industry and academia from the GCC region to shape the future of the networked car.</w:t>
      </w:r>
      <w:r w:rsidR="00B52843" w:rsidRPr="00F73E00">
        <w:rPr>
          <w:noProof/>
          <w:sz w:val="22"/>
          <w:szCs w:val="22"/>
        </w:rPr>
        <w:t xml:space="preserve"> Remote participation will be provided. </w:t>
      </w:r>
    </w:p>
    <w:p w14:paraId="456288A2" w14:textId="77777777" w:rsidR="006F63B0" w:rsidRPr="00F73E00" w:rsidRDefault="006F63B0" w:rsidP="006F63B0">
      <w:pPr>
        <w:rPr>
          <w:noProof/>
          <w:sz w:val="22"/>
          <w:szCs w:val="22"/>
        </w:rPr>
      </w:pPr>
      <w:r w:rsidRPr="00F73E00">
        <w:rPr>
          <w:noProof/>
          <w:sz w:val="22"/>
          <w:szCs w:val="22"/>
        </w:rPr>
        <w:t>The UNECE-ITU event in Qatar will cover a range of topics related to the future of the networked car. Four subjects of interest to the audience in the GCC region are:</w:t>
      </w:r>
    </w:p>
    <w:p w14:paraId="70207AFA" w14:textId="54BC429A" w:rsidR="006F63B0" w:rsidRPr="00F73E00" w:rsidRDefault="006F63B0" w:rsidP="006F63B0">
      <w:pPr>
        <w:numPr>
          <w:ilvl w:val="0"/>
          <w:numId w:val="17"/>
        </w:numPr>
        <w:tabs>
          <w:tab w:val="clear" w:pos="720"/>
          <w:tab w:val="clear" w:pos="794"/>
        </w:tabs>
        <w:ind w:left="360"/>
        <w:rPr>
          <w:noProof/>
          <w:sz w:val="22"/>
          <w:szCs w:val="22"/>
        </w:rPr>
      </w:pPr>
      <w:r w:rsidRPr="00F73E00">
        <w:rPr>
          <w:noProof/>
          <w:sz w:val="22"/>
          <w:szCs w:val="22"/>
        </w:rPr>
        <w:t>5G and V2X Communications: This topic will explore the latest advancements in 5G and vehicle</w:t>
      </w:r>
      <w:r w:rsidR="00F73E00" w:rsidRPr="00F73E00">
        <w:rPr>
          <w:noProof/>
          <w:sz w:val="22"/>
          <w:szCs w:val="22"/>
        </w:rPr>
        <w:noBreakHyphen/>
      </w:r>
      <w:r w:rsidRPr="00F73E00">
        <w:rPr>
          <w:noProof/>
          <w:sz w:val="22"/>
          <w:szCs w:val="22"/>
        </w:rPr>
        <w:t>to</w:t>
      </w:r>
      <w:r w:rsidR="00F73E00" w:rsidRPr="00F73E00">
        <w:rPr>
          <w:noProof/>
          <w:sz w:val="22"/>
          <w:szCs w:val="22"/>
        </w:rPr>
        <w:noBreakHyphen/>
      </w:r>
      <w:r w:rsidRPr="00F73E00">
        <w:rPr>
          <w:noProof/>
          <w:sz w:val="22"/>
          <w:szCs w:val="22"/>
        </w:rPr>
        <w:t>everything (V2X) communications, and their potential to enable connected and automated driving. The discussion will focus on the deployment of 5G networks in the GCC region and their implications for the automotive industry.</w:t>
      </w:r>
    </w:p>
    <w:p w14:paraId="291AB7A4" w14:textId="77777777" w:rsidR="006F63B0" w:rsidRPr="00F73E00" w:rsidRDefault="006F63B0" w:rsidP="006F63B0">
      <w:pPr>
        <w:numPr>
          <w:ilvl w:val="0"/>
          <w:numId w:val="17"/>
        </w:numPr>
        <w:tabs>
          <w:tab w:val="clear" w:pos="720"/>
          <w:tab w:val="clear" w:pos="794"/>
        </w:tabs>
        <w:ind w:left="360"/>
        <w:rPr>
          <w:noProof/>
          <w:sz w:val="22"/>
          <w:szCs w:val="22"/>
        </w:rPr>
      </w:pPr>
      <w:r w:rsidRPr="00F73E00">
        <w:rPr>
          <w:noProof/>
          <w:sz w:val="22"/>
          <w:szCs w:val="22"/>
        </w:rPr>
        <w:t>Autonomous Driving: This topic will explore the latest developments in autonomous driving, including Level 4 and Level 5 automation. The discussion will focus on the opportunities and challenges for deploying autonomous vehicles in the GCC region, including regulatory and infrastructure requirements.</w:t>
      </w:r>
    </w:p>
    <w:p w14:paraId="0103DAEF" w14:textId="77777777" w:rsidR="006F63B0" w:rsidRPr="00F73E00" w:rsidRDefault="006F63B0" w:rsidP="006F63B0">
      <w:pPr>
        <w:numPr>
          <w:ilvl w:val="0"/>
          <w:numId w:val="17"/>
        </w:numPr>
        <w:tabs>
          <w:tab w:val="clear" w:pos="720"/>
          <w:tab w:val="clear" w:pos="794"/>
        </w:tabs>
        <w:ind w:left="360"/>
        <w:rPr>
          <w:noProof/>
          <w:sz w:val="22"/>
          <w:szCs w:val="22"/>
        </w:rPr>
      </w:pPr>
      <w:r w:rsidRPr="00F73E00">
        <w:rPr>
          <w:noProof/>
          <w:sz w:val="22"/>
          <w:szCs w:val="22"/>
        </w:rPr>
        <w:t>Cybersecurity: This topic will explore the cybersecurity challenges and solutions for the networked car, including secure communication, data privacy, and protection against cyber-attacks. The discussion will focus on the best practices and standards required to ensure the safe and secure operation of networked cars in the GCC region.</w:t>
      </w:r>
    </w:p>
    <w:p w14:paraId="2FD50456" w14:textId="5BDC473D" w:rsidR="006F63B0" w:rsidRPr="00F73E00" w:rsidRDefault="006F63B0" w:rsidP="00F73E00">
      <w:pPr>
        <w:numPr>
          <w:ilvl w:val="0"/>
          <w:numId w:val="17"/>
        </w:numPr>
        <w:tabs>
          <w:tab w:val="clear" w:pos="720"/>
          <w:tab w:val="clear" w:pos="794"/>
        </w:tabs>
        <w:ind w:left="360"/>
        <w:rPr>
          <w:noProof/>
          <w:sz w:val="22"/>
          <w:szCs w:val="22"/>
        </w:rPr>
      </w:pPr>
      <w:r w:rsidRPr="00F73E00">
        <w:rPr>
          <w:noProof/>
          <w:sz w:val="22"/>
          <w:szCs w:val="22"/>
        </w:rPr>
        <w:lastRenderedPageBreak/>
        <w:t>Software developed using Artificial Intelligence (AI) technology can either completely replace or supplement and improve human driving abilities to enhance safety, offer improved services, and optimize transport management.  Software developed using AI can achieve one or a limited set of objectives that can be implemented in different scenarios and timelines.  ITU proposed a new collaborative effort called AI for Road Safety. Let’s explore the innovative technologies and use cases developed in the region that could help achieve progress in Road Safety.</w:t>
      </w:r>
    </w:p>
    <w:p w14:paraId="12259C30" w14:textId="3161C402" w:rsidR="00894917" w:rsidRPr="00F73E00" w:rsidRDefault="00B150EB" w:rsidP="00F73E00">
      <w:pPr>
        <w:rPr>
          <w:rFonts w:cstheme="majorBidi"/>
          <w:noProof/>
          <w:sz w:val="22"/>
          <w:szCs w:val="22"/>
        </w:rPr>
      </w:pPr>
      <w:r w:rsidRPr="00F73E00">
        <w:rPr>
          <w:rFonts w:cstheme="majorBidi"/>
          <w:noProof/>
          <w:sz w:val="22"/>
          <w:szCs w:val="22"/>
        </w:rPr>
        <w:t>2</w:t>
      </w:r>
      <w:r w:rsidRPr="00F73E00">
        <w:rPr>
          <w:rFonts w:cstheme="majorBidi"/>
          <w:noProof/>
          <w:sz w:val="22"/>
          <w:szCs w:val="22"/>
        </w:rPr>
        <w:tab/>
      </w:r>
      <w:r w:rsidR="00894917" w:rsidRPr="00F73E00">
        <w:rPr>
          <w:rFonts w:cstheme="majorBidi"/>
          <w:bCs/>
          <w:noProof/>
          <w:sz w:val="22"/>
          <w:szCs w:val="22"/>
        </w:rPr>
        <w:t xml:space="preserve">All relevant information pertaining to the Symposium, (including speakers, </w:t>
      </w:r>
      <w:r w:rsidR="006F63B0" w:rsidRPr="00F73E00">
        <w:rPr>
          <w:rFonts w:cstheme="majorBidi"/>
          <w:bCs/>
          <w:noProof/>
          <w:sz w:val="22"/>
          <w:szCs w:val="22"/>
        </w:rPr>
        <w:t xml:space="preserve">logistics, </w:t>
      </w:r>
      <w:r w:rsidR="00894917" w:rsidRPr="00F73E00">
        <w:rPr>
          <w:rFonts w:cstheme="majorBidi"/>
          <w:bCs/>
          <w:noProof/>
          <w:sz w:val="22"/>
          <w:szCs w:val="22"/>
        </w:rPr>
        <w:t xml:space="preserve">remote connection details, registration links) will be made available on the event website found at: </w:t>
      </w:r>
      <w:hyperlink r:id="rId10" w:history="1">
        <w:r w:rsidR="00894917" w:rsidRPr="00F73E00">
          <w:rPr>
            <w:rStyle w:val="Hyperlink"/>
            <w:rFonts w:cstheme="majorBidi"/>
            <w:bCs/>
            <w:noProof/>
            <w:sz w:val="22"/>
            <w:szCs w:val="22"/>
          </w:rPr>
          <w:t>https://fnc.itu.int/</w:t>
        </w:r>
      </w:hyperlink>
    </w:p>
    <w:p w14:paraId="6A9FC86C" w14:textId="7DEF119F" w:rsidR="00894917" w:rsidRPr="00F73E00" w:rsidRDefault="006F63B0" w:rsidP="00F73E00">
      <w:pPr>
        <w:rPr>
          <w:rFonts w:cstheme="majorBidi"/>
          <w:noProof/>
          <w:sz w:val="22"/>
          <w:szCs w:val="22"/>
        </w:rPr>
      </w:pPr>
      <w:r w:rsidRPr="00F73E00">
        <w:rPr>
          <w:rFonts w:cstheme="majorBidi"/>
          <w:noProof/>
          <w:sz w:val="22"/>
          <w:szCs w:val="22"/>
        </w:rPr>
        <w:t>3</w:t>
      </w:r>
      <w:r w:rsidRPr="00F73E00">
        <w:rPr>
          <w:rFonts w:cstheme="majorBidi"/>
          <w:noProof/>
          <w:sz w:val="22"/>
          <w:szCs w:val="22"/>
        </w:rPr>
        <w:tab/>
      </w:r>
      <w:r w:rsidR="0069038A" w:rsidRPr="00F73E00">
        <w:rPr>
          <w:rFonts w:cstheme="majorBidi"/>
          <w:noProof/>
          <w:sz w:val="22"/>
          <w:szCs w:val="22"/>
        </w:rPr>
        <w:t>Th</w:t>
      </w:r>
      <w:r w:rsidR="00271A86" w:rsidRPr="00F73E00">
        <w:rPr>
          <w:rFonts w:cstheme="majorBidi"/>
          <w:noProof/>
          <w:sz w:val="22"/>
          <w:szCs w:val="22"/>
        </w:rPr>
        <w:t xml:space="preserve">e </w:t>
      </w:r>
      <w:r w:rsidR="00894917" w:rsidRPr="00F73E00">
        <w:rPr>
          <w:rFonts w:cstheme="majorBidi"/>
          <w:noProof/>
          <w:sz w:val="22"/>
          <w:szCs w:val="22"/>
        </w:rPr>
        <w:t xml:space="preserve">objectives </w:t>
      </w:r>
      <w:r w:rsidR="00271A86" w:rsidRPr="00F73E00">
        <w:rPr>
          <w:rFonts w:cstheme="majorBidi"/>
          <w:noProof/>
          <w:sz w:val="22"/>
          <w:szCs w:val="22"/>
        </w:rPr>
        <w:t>of the</w:t>
      </w:r>
      <w:r w:rsidR="00F53E7D" w:rsidRPr="00F73E00">
        <w:rPr>
          <w:rFonts w:cstheme="majorBidi"/>
          <w:noProof/>
          <w:sz w:val="22"/>
          <w:szCs w:val="22"/>
        </w:rPr>
        <w:t xml:space="preserve"> </w:t>
      </w:r>
      <w:r w:rsidR="00894917" w:rsidRPr="00F73E00">
        <w:rPr>
          <w:rFonts w:cstheme="majorBidi"/>
          <w:noProof/>
          <w:sz w:val="22"/>
          <w:szCs w:val="22"/>
        </w:rPr>
        <w:t xml:space="preserve">Qatar edition of the </w:t>
      </w:r>
      <w:r w:rsidR="00F53E7D" w:rsidRPr="00F73E00">
        <w:rPr>
          <w:rFonts w:cstheme="majorBidi"/>
          <w:noProof/>
          <w:sz w:val="22"/>
          <w:szCs w:val="22"/>
        </w:rPr>
        <w:t>Symposium</w:t>
      </w:r>
      <w:r w:rsidR="00894917" w:rsidRPr="00F73E00">
        <w:rPr>
          <w:rFonts w:cstheme="majorBidi"/>
          <w:noProof/>
          <w:sz w:val="22"/>
          <w:szCs w:val="22"/>
        </w:rPr>
        <w:t>, as well as the detailed programme,</w:t>
      </w:r>
      <w:r w:rsidR="00F53E7D" w:rsidRPr="00F73E00">
        <w:rPr>
          <w:rFonts w:cstheme="majorBidi"/>
          <w:noProof/>
          <w:sz w:val="22"/>
          <w:szCs w:val="22"/>
        </w:rPr>
        <w:t xml:space="preserve"> </w:t>
      </w:r>
      <w:r w:rsidR="00894917" w:rsidRPr="00F73E00">
        <w:rPr>
          <w:rFonts w:cstheme="majorBidi"/>
          <w:noProof/>
          <w:sz w:val="22"/>
          <w:szCs w:val="22"/>
        </w:rPr>
        <w:t>are or will be made available from</w:t>
      </w:r>
      <w:r w:rsidR="00B52843" w:rsidRPr="00F73E00">
        <w:rPr>
          <w:rFonts w:cstheme="majorBidi"/>
          <w:noProof/>
          <w:sz w:val="22"/>
          <w:szCs w:val="22"/>
        </w:rPr>
        <w:t xml:space="preserve"> the </w:t>
      </w:r>
      <w:r w:rsidR="00894917" w:rsidRPr="00F73E00">
        <w:rPr>
          <w:rFonts w:cstheme="majorBidi"/>
          <w:noProof/>
          <w:sz w:val="22"/>
          <w:szCs w:val="22"/>
        </w:rPr>
        <w:t>FNC</w:t>
      </w:r>
      <w:r w:rsidRPr="00F73E00">
        <w:rPr>
          <w:rFonts w:cstheme="majorBidi"/>
          <w:noProof/>
          <w:sz w:val="22"/>
          <w:szCs w:val="22"/>
        </w:rPr>
        <w:t xml:space="preserve"> spin</w:t>
      </w:r>
      <w:r w:rsidR="002D6588" w:rsidRPr="00F73E00">
        <w:rPr>
          <w:rFonts w:cstheme="majorBidi"/>
          <w:noProof/>
          <w:sz w:val="22"/>
          <w:szCs w:val="22"/>
        </w:rPr>
        <w:t>-</w:t>
      </w:r>
      <w:r w:rsidRPr="00F73E00">
        <w:rPr>
          <w:rFonts w:cstheme="majorBidi"/>
          <w:noProof/>
          <w:sz w:val="22"/>
          <w:szCs w:val="22"/>
        </w:rPr>
        <w:t>off</w:t>
      </w:r>
      <w:r w:rsidR="00894917" w:rsidRPr="00F73E00">
        <w:rPr>
          <w:rFonts w:cstheme="majorBidi"/>
          <w:noProof/>
          <w:sz w:val="22"/>
          <w:szCs w:val="22"/>
        </w:rPr>
        <w:t xml:space="preserve"> programme</w:t>
      </w:r>
      <w:r w:rsidR="000536FA" w:rsidRPr="00F73E00">
        <w:rPr>
          <w:rFonts w:cstheme="majorBidi"/>
          <w:noProof/>
          <w:sz w:val="22"/>
          <w:szCs w:val="22"/>
        </w:rPr>
        <w:t xml:space="preserve"> </w:t>
      </w:r>
      <w:r w:rsidR="00B52843" w:rsidRPr="00F73E00">
        <w:rPr>
          <w:rFonts w:cstheme="majorBidi"/>
          <w:noProof/>
          <w:sz w:val="22"/>
          <w:szCs w:val="22"/>
        </w:rPr>
        <w:t>webpage</w:t>
      </w:r>
      <w:r w:rsidR="000536FA" w:rsidRPr="00F73E00">
        <w:rPr>
          <w:rFonts w:cstheme="majorBidi"/>
          <w:noProof/>
          <w:sz w:val="22"/>
          <w:szCs w:val="22"/>
        </w:rPr>
        <w:t xml:space="preserve">: </w:t>
      </w:r>
      <w:hyperlink r:id="rId11" w:history="1">
        <w:r w:rsidR="00894917" w:rsidRPr="00F73E00">
          <w:rPr>
            <w:rStyle w:val="Hyperlink"/>
            <w:rFonts w:cstheme="majorBidi"/>
            <w:noProof/>
            <w:sz w:val="22"/>
            <w:szCs w:val="22"/>
          </w:rPr>
          <w:t>https://fnc.itu.int/fnc-regional-spin-off-in-qatar/</w:t>
        </w:r>
      </w:hyperlink>
      <w:r w:rsidR="00894917" w:rsidRPr="00F73E00">
        <w:rPr>
          <w:rFonts w:cstheme="majorBidi"/>
          <w:noProof/>
          <w:sz w:val="22"/>
          <w:szCs w:val="22"/>
        </w:rPr>
        <w:t xml:space="preserve"> </w:t>
      </w:r>
    </w:p>
    <w:p w14:paraId="47E56563" w14:textId="7F7BF5D5" w:rsidR="00E61758" w:rsidRPr="00F73E00" w:rsidRDefault="006F63B0" w:rsidP="00F73E00">
      <w:pPr>
        <w:rPr>
          <w:rFonts w:cstheme="majorBidi"/>
          <w:noProof/>
          <w:sz w:val="22"/>
          <w:szCs w:val="22"/>
        </w:rPr>
      </w:pPr>
      <w:r w:rsidRPr="00F73E00">
        <w:rPr>
          <w:rFonts w:cstheme="majorBidi"/>
          <w:bCs/>
          <w:noProof/>
          <w:sz w:val="22"/>
          <w:szCs w:val="22"/>
        </w:rPr>
        <w:t>4</w:t>
      </w:r>
      <w:r w:rsidR="00E61758" w:rsidRPr="00F73E00">
        <w:rPr>
          <w:rFonts w:cstheme="majorBidi"/>
          <w:noProof/>
          <w:sz w:val="22"/>
          <w:szCs w:val="22"/>
        </w:rPr>
        <w:tab/>
      </w:r>
      <w:r w:rsidR="002E586B" w:rsidRPr="00F73E00">
        <w:rPr>
          <w:rFonts w:cstheme="majorBidi"/>
          <w:noProof/>
          <w:sz w:val="22"/>
          <w:szCs w:val="22"/>
        </w:rPr>
        <w:t>The d</w:t>
      </w:r>
      <w:r w:rsidR="00E61758" w:rsidRPr="00F73E00">
        <w:rPr>
          <w:rFonts w:cstheme="majorBidi"/>
          <w:noProof/>
          <w:sz w:val="22"/>
          <w:szCs w:val="22"/>
        </w:rPr>
        <w:t xml:space="preserve">iscussions will be held in English only. </w:t>
      </w:r>
    </w:p>
    <w:p w14:paraId="466F65F9" w14:textId="5192D80D" w:rsidR="00E61758" w:rsidRPr="00F73E00" w:rsidRDefault="006F63B0" w:rsidP="00F73E00">
      <w:pPr>
        <w:rPr>
          <w:rFonts w:cstheme="majorBidi"/>
          <w:noProof/>
          <w:sz w:val="22"/>
          <w:szCs w:val="22"/>
        </w:rPr>
      </w:pPr>
      <w:r w:rsidRPr="00F73E00">
        <w:rPr>
          <w:rFonts w:cstheme="majorBidi"/>
          <w:noProof/>
          <w:sz w:val="22"/>
          <w:szCs w:val="22"/>
        </w:rPr>
        <w:t>5</w:t>
      </w:r>
      <w:r w:rsidR="00E61758" w:rsidRPr="00F73E00">
        <w:rPr>
          <w:rFonts w:cstheme="majorBidi"/>
          <w:noProof/>
          <w:sz w:val="22"/>
          <w:szCs w:val="22"/>
        </w:rPr>
        <w:tab/>
        <w:t xml:space="preserve">Participation is open to ITU Member States, Sector Members, Associates and Academic Institutions and to any individual from a country which is a member of </w:t>
      </w:r>
      <w:r w:rsidR="006365C1" w:rsidRPr="00F73E00">
        <w:rPr>
          <w:rFonts w:cstheme="majorBidi"/>
          <w:noProof/>
          <w:sz w:val="22"/>
          <w:szCs w:val="22"/>
        </w:rPr>
        <w:t xml:space="preserve">the </w:t>
      </w:r>
      <w:r w:rsidR="00F3186C" w:rsidRPr="00F73E00">
        <w:rPr>
          <w:rFonts w:cstheme="majorBidi"/>
          <w:noProof/>
          <w:sz w:val="22"/>
          <w:szCs w:val="22"/>
        </w:rPr>
        <w:t>U</w:t>
      </w:r>
      <w:r w:rsidR="006365C1" w:rsidRPr="00F73E00">
        <w:rPr>
          <w:rFonts w:cstheme="majorBidi"/>
          <w:noProof/>
          <w:sz w:val="22"/>
          <w:szCs w:val="22"/>
        </w:rPr>
        <w:t xml:space="preserve">nited </w:t>
      </w:r>
      <w:r w:rsidR="00F3186C" w:rsidRPr="00F73E00">
        <w:rPr>
          <w:rFonts w:cstheme="majorBidi"/>
          <w:noProof/>
          <w:sz w:val="22"/>
          <w:szCs w:val="22"/>
        </w:rPr>
        <w:t>N</w:t>
      </w:r>
      <w:r w:rsidR="006365C1" w:rsidRPr="00F73E00">
        <w:rPr>
          <w:rFonts w:cstheme="majorBidi"/>
          <w:noProof/>
          <w:sz w:val="22"/>
          <w:szCs w:val="22"/>
        </w:rPr>
        <w:t>ations</w:t>
      </w:r>
      <w:r w:rsidR="00E61758" w:rsidRPr="00F73E00">
        <w:rPr>
          <w:rFonts w:cstheme="majorBidi"/>
          <w:noProof/>
          <w:sz w:val="22"/>
          <w:szCs w:val="22"/>
        </w:rPr>
        <w:t xml:space="preserve"> who wishes to contribute to the work. This includes individuals who are also members of international, regional and national organizations. </w:t>
      </w:r>
      <w:bookmarkStart w:id="0" w:name="_Hlk54906746"/>
      <w:r w:rsidR="00EB0AAF" w:rsidRPr="00F73E00">
        <w:rPr>
          <w:sz w:val="22"/>
          <w:szCs w:val="22"/>
        </w:rPr>
        <w:t xml:space="preserve">Participation in the </w:t>
      </w:r>
      <w:r w:rsidR="006365C1" w:rsidRPr="00F73E00">
        <w:rPr>
          <w:sz w:val="22"/>
          <w:szCs w:val="22"/>
        </w:rPr>
        <w:t>S</w:t>
      </w:r>
      <w:r w:rsidR="00EB0AAF" w:rsidRPr="00F73E00">
        <w:rPr>
          <w:sz w:val="22"/>
          <w:szCs w:val="22"/>
        </w:rPr>
        <w:t xml:space="preserve">ymposium will be free of charge. </w:t>
      </w:r>
      <w:bookmarkEnd w:id="0"/>
    </w:p>
    <w:p w14:paraId="1389D363" w14:textId="58D4B134" w:rsidR="00056832" w:rsidRPr="00F73E00" w:rsidRDefault="006F63B0" w:rsidP="00F73E00">
      <w:pPr>
        <w:rPr>
          <w:rFonts w:cstheme="majorBidi"/>
          <w:bCs/>
          <w:noProof/>
          <w:sz w:val="22"/>
          <w:szCs w:val="22"/>
        </w:rPr>
      </w:pPr>
      <w:r w:rsidRPr="00F73E00">
        <w:rPr>
          <w:rFonts w:cstheme="majorBidi"/>
          <w:bCs/>
          <w:noProof/>
          <w:sz w:val="22"/>
          <w:szCs w:val="22"/>
        </w:rPr>
        <w:t>6</w:t>
      </w:r>
      <w:r w:rsidR="00E61758" w:rsidRPr="00F73E00">
        <w:rPr>
          <w:rFonts w:cstheme="majorBidi"/>
          <w:bCs/>
          <w:noProof/>
          <w:sz w:val="22"/>
          <w:szCs w:val="22"/>
        </w:rPr>
        <w:tab/>
      </w:r>
      <w:r w:rsidR="0017051B" w:rsidRPr="00F73E00">
        <w:rPr>
          <w:rFonts w:cstheme="majorBidi"/>
          <w:b/>
          <w:noProof/>
          <w:sz w:val="22"/>
          <w:szCs w:val="22"/>
        </w:rPr>
        <w:t>Kindly note that registration is mandatory</w:t>
      </w:r>
      <w:r w:rsidR="0017051B" w:rsidRPr="00F73E00">
        <w:rPr>
          <w:rFonts w:cstheme="majorBidi"/>
          <w:bCs/>
          <w:noProof/>
          <w:sz w:val="22"/>
          <w:szCs w:val="22"/>
        </w:rPr>
        <w:t>.</w:t>
      </w:r>
      <w:r w:rsidR="00E61758" w:rsidRPr="00F73E00">
        <w:rPr>
          <w:rFonts w:cstheme="majorBidi"/>
          <w:bCs/>
          <w:noProof/>
          <w:sz w:val="22"/>
          <w:szCs w:val="22"/>
        </w:rPr>
        <w:t xml:space="preserve"> </w:t>
      </w:r>
      <w:r w:rsidR="0017051B" w:rsidRPr="00F73E00">
        <w:rPr>
          <w:rFonts w:cstheme="majorBidi"/>
          <w:bCs/>
          <w:noProof/>
          <w:sz w:val="22"/>
          <w:szCs w:val="22"/>
        </w:rPr>
        <w:t>The website will be regularly updated as new and modified</w:t>
      </w:r>
      <w:r w:rsidR="00784C19" w:rsidRPr="00F73E00">
        <w:rPr>
          <w:rFonts w:cstheme="majorBidi"/>
          <w:bCs/>
          <w:noProof/>
          <w:sz w:val="22"/>
          <w:szCs w:val="22"/>
        </w:rPr>
        <w:t xml:space="preserve"> information becomes available.</w:t>
      </w:r>
      <w:r w:rsidR="0017051B" w:rsidRPr="00F73E00">
        <w:rPr>
          <w:rFonts w:cstheme="majorBidi"/>
          <w:bCs/>
          <w:noProof/>
          <w:sz w:val="22"/>
          <w:szCs w:val="22"/>
        </w:rPr>
        <w:t xml:space="preserve"> </w:t>
      </w:r>
      <w:r w:rsidR="00E61758" w:rsidRPr="00F73E00">
        <w:rPr>
          <w:rFonts w:cstheme="majorBidi"/>
          <w:bCs/>
          <w:noProof/>
          <w:sz w:val="22"/>
          <w:szCs w:val="22"/>
        </w:rPr>
        <w:t xml:space="preserve">Participants are requested to check the symposium website periodically for updates. Please do not hesitate to contact </w:t>
      </w:r>
      <w:r w:rsidR="00A71DAE" w:rsidRPr="00F73E00">
        <w:rPr>
          <w:rFonts w:cstheme="majorBidi"/>
          <w:bCs/>
          <w:noProof/>
          <w:sz w:val="22"/>
          <w:szCs w:val="22"/>
        </w:rPr>
        <w:t xml:space="preserve">Mr </w:t>
      </w:r>
      <w:r w:rsidR="00E61758" w:rsidRPr="00F73E00">
        <w:rPr>
          <w:rFonts w:cstheme="majorBidi"/>
          <w:bCs/>
          <w:noProof/>
          <w:sz w:val="22"/>
          <w:szCs w:val="22"/>
        </w:rPr>
        <w:t>Stefano Polidori (</w:t>
      </w:r>
      <w:r w:rsidR="00E61758" w:rsidRPr="00F73E00">
        <w:rPr>
          <w:rStyle w:val="Hyperlink"/>
          <w:rFonts w:cstheme="majorBidi"/>
          <w:bCs/>
          <w:noProof/>
          <w:sz w:val="22"/>
          <w:szCs w:val="22"/>
        </w:rPr>
        <w:t>stefano.polidori@itu.int</w:t>
      </w:r>
      <w:r w:rsidR="00E61758" w:rsidRPr="00F73E00">
        <w:rPr>
          <w:rFonts w:cstheme="majorBidi"/>
          <w:bCs/>
          <w:noProof/>
          <w:sz w:val="22"/>
          <w:szCs w:val="22"/>
        </w:rPr>
        <w:t xml:space="preserve">) should you need additional information on the </w:t>
      </w:r>
      <w:r w:rsidR="00016891" w:rsidRPr="00F73E00">
        <w:rPr>
          <w:rFonts w:cstheme="majorBidi"/>
          <w:bCs/>
          <w:noProof/>
          <w:sz w:val="22"/>
          <w:szCs w:val="22"/>
        </w:rPr>
        <w:t>program</w:t>
      </w:r>
      <w:r w:rsidR="006365C1" w:rsidRPr="00F73E00">
        <w:rPr>
          <w:rFonts w:cstheme="majorBidi"/>
          <w:bCs/>
          <w:noProof/>
          <w:sz w:val="22"/>
          <w:szCs w:val="22"/>
        </w:rPr>
        <w:t>me</w:t>
      </w:r>
      <w:r w:rsidR="00016891" w:rsidRPr="00F73E00">
        <w:rPr>
          <w:rFonts w:cstheme="majorBidi"/>
          <w:bCs/>
          <w:noProof/>
          <w:sz w:val="22"/>
          <w:szCs w:val="22"/>
        </w:rPr>
        <w:t>.</w:t>
      </w:r>
      <w:r w:rsidR="00E61758" w:rsidRPr="00F73E00">
        <w:rPr>
          <w:rFonts w:cstheme="majorBidi"/>
          <w:bCs/>
          <w:noProof/>
          <w:sz w:val="22"/>
          <w:szCs w:val="22"/>
        </w:rPr>
        <w:t xml:space="preserve"> </w:t>
      </w:r>
    </w:p>
    <w:p w14:paraId="42B2D2F4" w14:textId="5783EC95" w:rsidR="00B577E7" w:rsidRPr="00F73E00" w:rsidRDefault="00E61758" w:rsidP="00F73E00">
      <w:pPr>
        <w:rPr>
          <w:rFonts w:cstheme="majorBidi"/>
          <w:bCs/>
          <w:noProof/>
          <w:color w:val="0000FF"/>
          <w:sz w:val="22"/>
          <w:szCs w:val="22"/>
          <w:u w:val="single"/>
        </w:rPr>
      </w:pPr>
      <w:r w:rsidRPr="00F73E00">
        <w:rPr>
          <w:rFonts w:cstheme="majorBidi"/>
          <w:bCs/>
          <w:noProof/>
          <w:sz w:val="22"/>
          <w:szCs w:val="22"/>
        </w:rPr>
        <w:t xml:space="preserve">For information on </w:t>
      </w:r>
      <w:r w:rsidRPr="00F73E00">
        <w:rPr>
          <w:rFonts w:cstheme="majorBidi"/>
          <w:b/>
          <w:noProof/>
          <w:sz w:val="22"/>
          <w:szCs w:val="22"/>
        </w:rPr>
        <w:t>sponsorship opportuni</w:t>
      </w:r>
      <w:r w:rsidR="00063830" w:rsidRPr="00F73E00">
        <w:rPr>
          <w:rFonts w:cstheme="majorBidi"/>
          <w:b/>
          <w:noProof/>
          <w:sz w:val="22"/>
          <w:szCs w:val="22"/>
        </w:rPr>
        <w:t>ties</w:t>
      </w:r>
      <w:r w:rsidR="00063830" w:rsidRPr="00F73E00">
        <w:rPr>
          <w:rFonts w:cstheme="majorBidi"/>
          <w:bCs/>
          <w:noProof/>
          <w:sz w:val="22"/>
          <w:szCs w:val="22"/>
        </w:rPr>
        <w:t xml:space="preserve"> for the FNC</w:t>
      </w:r>
      <w:r w:rsidR="00B52843" w:rsidRPr="00F73E00">
        <w:rPr>
          <w:rFonts w:cstheme="majorBidi"/>
          <w:bCs/>
          <w:noProof/>
          <w:sz w:val="22"/>
          <w:szCs w:val="22"/>
        </w:rPr>
        <w:t xml:space="preserve"> Spin</w:t>
      </w:r>
      <w:r w:rsidR="002D6588" w:rsidRPr="00F73E00">
        <w:rPr>
          <w:rFonts w:cstheme="majorBidi"/>
          <w:bCs/>
          <w:noProof/>
          <w:sz w:val="22"/>
          <w:szCs w:val="22"/>
        </w:rPr>
        <w:t>-</w:t>
      </w:r>
      <w:r w:rsidR="00B52843" w:rsidRPr="00F73E00">
        <w:rPr>
          <w:rFonts w:cstheme="majorBidi"/>
          <w:bCs/>
          <w:noProof/>
          <w:sz w:val="22"/>
          <w:szCs w:val="22"/>
        </w:rPr>
        <w:t>off in Qatar</w:t>
      </w:r>
      <w:r w:rsidR="00A55962" w:rsidRPr="00F73E00">
        <w:rPr>
          <w:rFonts w:cstheme="majorBidi"/>
          <w:bCs/>
          <w:noProof/>
          <w:sz w:val="22"/>
          <w:szCs w:val="22"/>
        </w:rPr>
        <w:t xml:space="preserve">, </w:t>
      </w:r>
      <w:r w:rsidRPr="00F73E00">
        <w:rPr>
          <w:rFonts w:cstheme="majorBidi"/>
          <w:bCs/>
          <w:noProof/>
          <w:sz w:val="22"/>
          <w:szCs w:val="22"/>
        </w:rPr>
        <w:t xml:space="preserve">please contact </w:t>
      </w:r>
      <w:hyperlink r:id="rId12" w:history="1">
        <w:r w:rsidR="004038A2" w:rsidRPr="00F73E00">
          <w:rPr>
            <w:rStyle w:val="Hyperlink"/>
            <w:noProof/>
            <w:sz w:val="22"/>
            <w:szCs w:val="22"/>
          </w:rPr>
          <w:t>tsbevents@itu.int</w:t>
        </w:r>
      </w:hyperlink>
      <w:r w:rsidRPr="00F73E00">
        <w:rPr>
          <w:rFonts w:cstheme="majorBidi"/>
          <w:bCs/>
          <w:noProof/>
          <w:sz w:val="22"/>
          <w:szCs w:val="22"/>
        </w:rPr>
        <w:t>.</w:t>
      </w:r>
      <w:r w:rsidR="001D421E" w:rsidRPr="00F73E00">
        <w:rPr>
          <w:rFonts w:cstheme="majorBidi"/>
          <w:bCs/>
          <w:noProof/>
          <w:sz w:val="22"/>
          <w:szCs w:val="22"/>
        </w:rPr>
        <w:t xml:space="preserve"> The sponsorship package can be downloaded online at: </w:t>
      </w:r>
      <w:hyperlink r:id="rId13" w:history="1">
        <w:r w:rsidR="00813057" w:rsidRPr="00F73E00">
          <w:rPr>
            <w:rStyle w:val="Hyperlink"/>
            <w:rFonts w:cstheme="majorBidi"/>
            <w:bCs/>
            <w:noProof/>
            <w:sz w:val="22"/>
            <w:szCs w:val="22"/>
          </w:rPr>
          <w:t>https://fnc.itu.int/engage/</w:t>
        </w:r>
      </w:hyperlink>
      <w:r w:rsidR="00813057" w:rsidRPr="00F73E00">
        <w:rPr>
          <w:rFonts w:cstheme="majorBidi"/>
          <w:bCs/>
          <w:noProof/>
          <w:sz w:val="22"/>
          <w:szCs w:val="22"/>
        </w:rPr>
        <w:t xml:space="preserve"> </w:t>
      </w:r>
    </w:p>
    <w:p w14:paraId="4CF52728" w14:textId="7227A7D5" w:rsidR="00FA46A0" w:rsidRPr="00170A94" w:rsidRDefault="00B61012" w:rsidP="00F73E00">
      <w:pPr>
        <w:rPr>
          <w:noProof/>
          <w:sz w:val="22"/>
          <w:szCs w:val="22"/>
        </w:rPr>
      </w:pPr>
      <w:r w:rsidRPr="00F73E00">
        <w:rPr>
          <w:noProof/>
          <w:sz w:val="22"/>
          <w:szCs w:val="22"/>
        </w:rPr>
        <w:t>Yours faithfully</w:t>
      </w:r>
      <w:r w:rsidRPr="00170A94">
        <w:rPr>
          <w:noProof/>
          <w:sz w:val="22"/>
          <w:szCs w:val="22"/>
        </w:rPr>
        <w:t>,</w:t>
      </w:r>
    </w:p>
    <w:p w14:paraId="5D7080BA" w14:textId="3EA14B21" w:rsidR="00063830" w:rsidRDefault="00D7655F" w:rsidP="0005030F">
      <w:pPr>
        <w:spacing w:before="960"/>
      </w:pPr>
      <w:r w:rsidRPr="00170A94">
        <w:rPr>
          <w:noProof/>
          <w:sz w:val="22"/>
          <w:szCs w:val="22"/>
        </w:rPr>
        <w:drawing>
          <wp:anchor distT="0" distB="0" distL="114300" distR="114300" simplePos="0" relativeHeight="251659264" behindDoc="1" locked="0" layoutInCell="1" allowOverlap="1" wp14:anchorId="4CCC0488" wp14:editId="3F275F0F">
            <wp:simplePos x="0" y="0"/>
            <wp:positionH relativeFrom="column">
              <wp:posOffset>0</wp:posOffset>
            </wp:positionH>
            <wp:positionV relativeFrom="paragraph">
              <wp:posOffset>161925</wp:posOffset>
            </wp:positionV>
            <wp:extent cx="729084"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729084" cy="307975"/>
                    </a:xfrm>
                    <a:prstGeom prst="rect">
                      <a:avLst/>
                    </a:prstGeom>
                  </pic:spPr>
                </pic:pic>
              </a:graphicData>
            </a:graphic>
            <wp14:sizeRelH relativeFrom="margin">
              <wp14:pctWidth>0</wp14:pctWidth>
            </wp14:sizeRelH>
            <wp14:sizeRelV relativeFrom="margin">
              <wp14:pctHeight>0</wp14:pctHeight>
            </wp14:sizeRelV>
          </wp:anchor>
        </w:drawing>
      </w:r>
      <w:r w:rsidR="00894917">
        <w:rPr>
          <w:noProof/>
          <w:sz w:val="22"/>
          <w:szCs w:val="22"/>
        </w:rPr>
        <w:t>Seizo Onoe</w:t>
      </w:r>
      <w:r w:rsidR="00B61012" w:rsidRPr="00170A94">
        <w:rPr>
          <w:noProof/>
          <w:sz w:val="22"/>
          <w:szCs w:val="22"/>
        </w:rPr>
        <w:br/>
        <w:t>Director of the Telecommunication</w:t>
      </w:r>
      <w:r w:rsidR="00B61012" w:rsidRPr="00170A94">
        <w:rPr>
          <w:noProof/>
          <w:sz w:val="22"/>
          <w:szCs w:val="22"/>
        </w:rPr>
        <w:br/>
        <w:t>Standardization Bureau</w:t>
      </w:r>
      <w:r w:rsidR="00DA1F03" w:rsidRPr="00170A94">
        <w:rPr>
          <w:noProof/>
          <w:sz w:val="22"/>
          <w:szCs w:val="22"/>
        </w:rPr>
        <w:br/>
      </w:r>
    </w:p>
    <w:sectPr w:rsidR="00063830" w:rsidSect="00DA1F03">
      <w:headerReference w:type="default" r:id="rId15"/>
      <w:footerReference w:type="first" r:id="rId16"/>
      <w:type w:val="oddPage"/>
      <w:pgSz w:w="11907" w:h="16834" w:code="9"/>
      <w:pgMar w:top="567" w:right="1089" w:bottom="567" w:left="1089" w:header="567"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CDFC" w14:textId="77777777" w:rsidR="00DE2484" w:rsidRDefault="00DE2484">
      <w:r>
        <w:separator/>
      </w:r>
    </w:p>
    <w:p w14:paraId="6EBC27C4" w14:textId="77777777" w:rsidR="00DE2484" w:rsidRDefault="00DE2484"/>
  </w:endnote>
  <w:endnote w:type="continuationSeparator" w:id="0">
    <w:p w14:paraId="36B90E2F" w14:textId="77777777" w:rsidR="00DE2484" w:rsidRDefault="00DE2484">
      <w:r>
        <w:continuationSeparator/>
      </w:r>
    </w:p>
    <w:p w14:paraId="7461FC56" w14:textId="77777777" w:rsidR="00DE2484" w:rsidRDefault="00DE2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23EB" w14:textId="2A412D70" w:rsidR="00FA46A0" w:rsidRPr="00170A94" w:rsidRDefault="00170A94" w:rsidP="00170A94">
    <w:pPr>
      <w:pStyle w:val="FirstFooter"/>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7AC1" w14:textId="77777777" w:rsidR="00DE2484" w:rsidRDefault="00DE2484">
      <w:r>
        <w:t>____________________</w:t>
      </w:r>
    </w:p>
    <w:p w14:paraId="7D9710D5" w14:textId="77777777" w:rsidR="00DE2484" w:rsidRDefault="00DE2484"/>
  </w:footnote>
  <w:footnote w:type="continuationSeparator" w:id="0">
    <w:p w14:paraId="351033EA" w14:textId="77777777" w:rsidR="00DE2484" w:rsidRDefault="00DE2484">
      <w:r>
        <w:continuationSeparator/>
      </w:r>
    </w:p>
    <w:p w14:paraId="49A46FF9" w14:textId="77777777" w:rsidR="00DE2484" w:rsidRDefault="00DE2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3A0" w14:textId="385EAD3D" w:rsidR="009374E3" w:rsidRDefault="00B61012" w:rsidP="00A71DAE">
    <w:pPr>
      <w:pStyle w:val="Header"/>
      <w:rPr>
        <w:noProof/>
      </w:rPr>
    </w:pPr>
    <w:r>
      <w:t xml:space="preserve">- </w:t>
    </w:r>
    <w:r w:rsidR="00FA46A0">
      <w:fldChar w:fldCharType="begin"/>
    </w:r>
    <w:r>
      <w:instrText xml:space="preserve"> PAGE   \* MERGEFORMAT </w:instrText>
    </w:r>
    <w:r w:rsidR="00FA46A0">
      <w:fldChar w:fldCharType="separate"/>
    </w:r>
    <w:r w:rsidR="0045246D">
      <w:rPr>
        <w:noProof/>
      </w:rPr>
      <w:t>4</w:t>
    </w:r>
    <w:r w:rsidR="00FA46A0">
      <w:rPr>
        <w:noProof/>
      </w:rPr>
      <w:fldChar w:fldCharType="end"/>
    </w:r>
    <w:r>
      <w:rPr>
        <w:noProof/>
      </w:rPr>
      <w:t xml:space="preserve"> -</w:t>
    </w:r>
    <w:r w:rsidR="00503ADB">
      <w:rPr>
        <w:noProof/>
      </w:rPr>
      <w:br/>
      <w:t xml:space="preserve">TSB Circular </w:t>
    </w:r>
    <w:r w:rsidR="00B52843">
      <w:rPr>
        <w:noProof/>
      </w:rPr>
      <w:t>138</w:t>
    </w:r>
  </w:p>
  <w:p w14:paraId="59C2738D" w14:textId="77777777" w:rsidR="00A71DAE" w:rsidRDefault="00A71DAE" w:rsidP="00A71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93"/>
    <w:multiLevelType w:val="hybridMultilevel"/>
    <w:tmpl w:val="B9080250"/>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C630AA"/>
    <w:multiLevelType w:val="hybridMultilevel"/>
    <w:tmpl w:val="62641F9A"/>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40D92"/>
    <w:multiLevelType w:val="hybridMultilevel"/>
    <w:tmpl w:val="9DE87ED0"/>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92FE8"/>
    <w:multiLevelType w:val="multilevel"/>
    <w:tmpl w:val="2DA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56B71"/>
    <w:multiLevelType w:val="hybridMultilevel"/>
    <w:tmpl w:val="417EF47A"/>
    <w:lvl w:ilvl="0" w:tplc="8D2EC340">
      <w:numFmt w:val="bullet"/>
      <w:lvlText w:val="−"/>
      <w:lvlJc w:val="left"/>
      <w:pPr>
        <w:ind w:left="360" w:hanging="360"/>
      </w:pPr>
      <w:rPr>
        <w:rFonts w:ascii="Garamond" w:eastAsia="MS Mincho" w:hAnsi="Garamond"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092DBF"/>
    <w:multiLevelType w:val="hybridMultilevel"/>
    <w:tmpl w:val="6C44F96E"/>
    <w:lvl w:ilvl="0" w:tplc="6AA2432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C76447"/>
    <w:multiLevelType w:val="hybridMultilevel"/>
    <w:tmpl w:val="9B6E758A"/>
    <w:lvl w:ilvl="0" w:tplc="8D2EC340">
      <w:numFmt w:val="bullet"/>
      <w:lvlText w:val="−"/>
      <w:lvlJc w:val="left"/>
      <w:pPr>
        <w:ind w:left="360" w:hanging="360"/>
      </w:pPr>
      <w:rPr>
        <w:rFonts w:ascii="Garamond" w:eastAsia="MS Mincho"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9539461">
    <w:abstractNumId w:val="9"/>
  </w:num>
  <w:num w:numId="2" w16cid:durableId="1687752212">
    <w:abstractNumId w:val="7"/>
  </w:num>
  <w:num w:numId="3" w16cid:durableId="683634468">
    <w:abstractNumId w:val="6"/>
  </w:num>
  <w:num w:numId="4" w16cid:durableId="442699271">
    <w:abstractNumId w:val="5"/>
  </w:num>
  <w:num w:numId="5" w16cid:durableId="2099446758">
    <w:abstractNumId w:val="4"/>
  </w:num>
  <w:num w:numId="6" w16cid:durableId="1569994560">
    <w:abstractNumId w:val="8"/>
  </w:num>
  <w:num w:numId="7" w16cid:durableId="755831575">
    <w:abstractNumId w:val="3"/>
  </w:num>
  <w:num w:numId="8" w16cid:durableId="583994699">
    <w:abstractNumId w:val="2"/>
  </w:num>
  <w:num w:numId="9" w16cid:durableId="512114610">
    <w:abstractNumId w:val="1"/>
  </w:num>
  <w:num w:numId="10" w16cid:durableId="283732500">
    <w:abstractNumId w:val="0"/>
  </w:num>
  <w:num w:numId="11" w16cid:durableId="1705860871">
    <w:abstractNumId w:val="15"/>
  </w:num>
  <w:num w:numId="12" w16cid:durableId="246576264">
    <w:abstractNumId w:val="14"/>
  </w:num>
  <w:num w:numId="13" w16cid:durableId="825781220">
    <w:abstractNumId w:val="11"/>
  </w:num>
  <w:num w:numId="14" w16cid:durableId="639382108">
    <w:abstractNumId w:val="16"/>
  </w:num>
  <w:num w:numId="15" w16cid:durableId="252133728">
    <w:abstractNumId w:val="12"/>
  </w:num>
  <w:num w:numId="16" w16cid:durableId="843395618">
    <w:abstractNumId w:val="10"/>
  </w:num>
  <w:num w:numId="17" w16cid:durableId="1770001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3"/>
    <w:rsid w:val="00003B62"/>
    <w:rsid w:val="00016891"/>
    <w:rsid w:val="00022E6B"/>
    <w:rsid w:val="00023C58"/>
    <w:rsid w:val="000273AE"/>
    <w:rsid w:val="0005030F"/>
    <w:rsid w:val="000536FA"/>
    <w:rsid w:val="00056832"/>
    <w:rsid w:val="00063830"/>
    <w:rsid w:val="0009402B"/>
    <w:rsid w:val="00097A65"/>
    <w:rsid w:val="000A7DAB"/>
    <w:rsid w:val="000B15C8"/>
    <w:rsid w:val="000D760B"/>
    <w:rsid w:val="000E0A56"/>
    <w:rsid w:val="000E693F"/>
    <w:rsid w:val="000F7601"/>
    <w:rsid w:val="001018E1"/>
    <w:rsid w:val="00102DFE"/>
    <w:rsid w:val="0011107F"/>
    <w:rsid w:val="00112F37"/>
    <w:rsid w:val="001614A6"/>
    <w:rsid w:val="00163AFC"/>
    <w:rsid w:val="0017051B"/>
    <w:rsid w:val="00170A94"/>
    <w:rsid w:val="00187741"/>
    <w:rsid w:val="001A34EC"/>
    <w:rsid w:val="001D421E"/>
    <w:rsid w:val="001F0F81"/>
    <w:rsid w:val="002015F7"/>
    <w:rsid w:val="002047B9"/>
    <w:rsid w:val="00220A00"/>
    <w:rsid w:val="002437CB"/>
    <w:rsid w:val="0026606B"/>
    <w:rsid w:val="00271A86"/>
    <w:rsid w:val="00282E94"/>
    <w:rsid w:val="00291B20"/>
    <w:rsid w:val="002A736C"/>
    <w:rsid w:val="002A7510"/>
    <w:rsid w:val="002C3CA7"/>
    <w:rsid w:val="002D4654"/>
    <w:rsid w:val="002D6588"/>
    <w:rsid w:val="002E1225"/>
    <w:rsid w:val="002E586B"/>
    <w:rsid w:val="002F1EF1"/>
    <w:rsid w:val="00325401"/>
    <w:rsid w:val="003420E2"/>
    <w:rsid w:val="00356B73"/>
    <w:rsid w:val="003631DA"/>
    <w:rsid w:val="003746A5"/>
    <w:rsid w:val="00376C40"/>
    <w:rsid w:val="00381A11"/>
    <w:rsid w:val="00397217"/>
    <w:rsid w:val="003A327E"/>
    <w:rsid w:val="003C2CFC"/>
    <w:rsid w:val="003C59DC"/>
    <w:rsid w:val="003D37B7"/>
    <w:rsid w:val="003D4690"/>
    <w:rsid w:val="003D57BF"/>
    <w:rsid w:val="004038A2"/>
    <w:rsid w:val="00412628"/>
    <w:rsid w:val="00414C69"/>
    <w:rsid w:val="00421C21"/>
    <w:rsid w:val="0042674B"/>
    <w:rsid w:val="004402A5"/>
    <w:rsid w:val="0044133E"/>
    <w:rsid w:val="0045246D"/>
    <w:rsid w:val="00453CEA"/>
    <w:rsid w:val="00454A77"/>
    <w:rsid w:val="00474701"/>
    <w:rsid w:val="00487330"/>
    <w:rsid w:val="004B10CC"/>
    <w:rsid w:val="004B2C90"/>
    <w:rsid w:val="004B47CB"/>
    <w:rsid w:val="004B7656"/>
    <w:rsid w:val="004F3A64"/>
    <w:rsid w:val="00503ADB"/>
    <w:rsid w:val="00504255"/>
    <w:rsid w:val="005161FE"/>
    <w:rsid w:val="00537C20"/>
    <w:rsid w:val="00592DE3"/>
    <w:rsid w:val="005940CC"/>
    <w:rsid w:val="00594999"/>
    <w:rsid w:val="0059574D"/>
    <w:rsid w:val="005A3140"/>
    <w:rsid w:val="005E003C"/>
    <w:rsid w:val="005F2F66"/>
    <w:rsid w:val="00607110"/>
    <w:rsid w:val="00624BB6"/>
    <w:rsid w:val="00626094"/>
    <w:rsid w:val="006365C1"/>
    <w:rsid w:val="00644981"/>
    <w:rsid w:val="0065675C"/>
    <w:rsid w:val="00682925"/>
    <w:rsid w:val="0069038A"/>
    <w:rsid w:val="006A4D9C"/>
    <w:rsid w:val="006B6355"/>
    <w:rsid w:val="006B74FB"/>
    <w:rsid w:val="006D324F"/>
    <w:rsid w:val="006D35E0"/>
    <w:rsid w:val="006F63B0"/>
    <w:rsid w:val="0072731A"/>
    <w:rsid w:val="00727C98"/>
    <w:rsid w:val="00730A58"/>
    <w:rsid w:val="0075295C"/>
    <w:rsid w:val="00784C19"/>
    <w:rsid w:val="0079387E"/>
    <w:rsid w:val="0079763E"/>
    <w:rsid w:val="007A0060"/>
    <w:rsid w:val="007A65E8"/>
    <w:rsid w:val="007D292E"/>
    <w:rsid w:val="007D2FFA"/>
    <w:rsid w:val="007E4344"/>
    <w:rsid w:val="007E5FFE"/>
    <w:rsid w:val="007E7746"/>
    <w:rsid w:val="00810E3D"/>
    <w:rsid w:val="00813057"/>
    <w:rsid w:val="0085237A"/>
    <w:rsid w:val="0088540D"/>
    <w:rsid w:val="00894917"/>
    <w:rsid w:val="008A53AC"/>
    <w:rsid w:val="008B0EF2"/>
    <w:rsid w:val="008E6C50"/>
    <w:rsid w:val="009000C8"/>
    <w:rsid w:val="00901998"/>
    <w:rsid w:val="00906316"/>
    <w:rsid w:val="009374E3"/>
    <w:rsid w:val="00963900"/>
    <w:rsid w:val="009747C5"/>
    <w:rsid w:val="00977646"/>
    <w:rsid w:val="00990152"/>
    <w:rsid w:val="009B2EB5"/>
    <w:rsid w:val="009B7320"/>
    <w:rsid w:val="009C6BEB"/>
    <w:rsid w:val="009E3D06"/>
    <w:rsid w:val="009F366E"/>
    <w:rsid w:val="009F6510"/>
    <w:rsid w:val="00A0137E"/>
    <w:rsid w:val="00A25CE9"/>
    <w:rsid w:val="00A31E79"/>
    <w:rsid w:val="00A55962"/>
    <w:rsid w:val="00A71DAE"/>
    <w:rsid w:val="00A72C30"/>
    <w:rsid w:val="00AC1ECA"/>
    <w:rsid w:val="00AE1A1B"/>
    <w:rsid w:val="00AF3289"/>
    <w:rsid w:val="00B02171"/>
    <w:rsid w:val="00B06135"/>
    <w:rsid w:val="00B0644D"/>
    <w:rsid w:val="00B150EB"/>
    <w:rsid w:val="00B2488F"/>
    <w:rsid w:val="00B25321"/>
    <w:rsid w:val="00B313F8"/>
    <w:rsid w:val="00B4669D"/>
    <w:rsid w:val="00B52843"/>
    <w:rsid w:val="00B577E7"/>
    <w:rsid w:val="00B61012"/>
    <w:rsid w:val="00BA0C76"/>
    <w:rsid w:val="00BB2B76"/>
    <w:rsid w:val="00BC6169"/>
    <w:rsid w:val="00BD1182"/>
    <w:rsid w:val="00BD3301"/>
    <w:rsid w:val="00C01D57"/>
    <w:rsid w:val="00C272F6"/>
    <w:rsid w:val="00C27B3F"/>
    <w:rsid w:val="00C303F6"/>
    <w:rsid w:val="00C341AB"/>
    <w:rsid w:val="00C415F2"/>
    <w:rsid w:val="00C47CC8"/>
    <w:rsid w:val="00C50C03"/>
    <w:rsid w:val="00C774F9"/>
    <w:rsid w:val="00C85F50"/>
    <w:rsid w:val="00C95BF6"/>
    <w:rsid w:val="00CA41C4"/>
    <w:rsid w:val="00CB1009"/>
    <w:rsid w:val="00D05C75"/>
    <w:rsid w:val="00D0718F"/>
    <w:rsid w:val="00D25E0D"/>
    <w:rsid w:val="00D33C15"/>
    <w:rsid w:val="00D43550"/>
    <w:rsid w:val="00D45E44"/>
    <w:rsid w:val="00D561D2"/>
    <w:rsid w:val="00D62702"/>
    <w:rsid w:val="00D7655F"/>
    <w:rsid w:val="00D96CFE"/>
    <w:rsid w:val="00DA1F03"/>
    <w:rsid w:val="00DB709A"/>
    <w:rsid w:val="00DC197A"/>
    <w:rsid w:val="00DC4625"/>
    <w:rsid w:val="00DE2484"/>
    <w:rsid w:val="00DE66FE"/>
    <w:rsid w:val="00E0345C"/>
    <w:rsid w:val="00E26223"/>
    <w:rsid w:val="00E3156A"/>
    <w:rsid w:val="00E3550D"/>
    <w:rsid w:val="00E5027C"/>
    <w:rsid w:val="00E57D17"/>
    <w:rsid w:val="00E61758"/>
    <w:rsid w:val="00E71B88"/>
    <w:rsid w:val="00E82CC7"/>
    <w:rsid w:val="00E8771B"/>
    <w:rsid w:val="00EA2114"/>
    <w:rsid w:val="00EB082F"/>
    <w:rsid w:val="00EB0AAF"/>
    <w:rsid w:val="00EC15F4"/>
    <w:rsid w:val="00F0556F"/>
    <w:rsid w:val="00F22314"/>
    <w:rsid w:val="00F30DD2"/>
    <w:rsid w:val="00F3186C"/>
    <w:rsid w:val="00F52D74"/>
    <w:rsid w:val="00F53E7D"/>
    <w:rsid w:val="00F567F5"/>
    <w:rsid w:val="00F63ABC"/>
    <w:rsid w:val="00F73E00"/>
    <w:rsid w:val="00F94CE9"/>
    <w:rsid w:val="00FA46A0"/>
    <w:rsid w:val="00FC1C19"/>
    <w:rsid w:val="00FD40CA"/>
    <w:rsid w:val="00FE3518"/>
    <w:rsid w:val="00FE37EC"/>
    <w:rsid w:val="00FF57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BADB0"/>
  <w15:docId w15:val="{FEA0825B-527D-4C71-9E23-D70B4EA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Revision">
    <w:name w:val="Revision"/>
    <w:hidden/>
    <w:rsid w:val="00B0644D"/>
    <w:rPr>
      <w:rFonts w:ascii="Calibri" w:hAnsi="Calibri"/>
      <w:sz w:val="24"/>
      <w:lang w:val="en-GB" w:eastAsia="en-US"/>
    </w:rPr>
  </w:style>
  <w:style w:type="character" w:styleId="UnresolvedMention">
    <w:name w:val="Unresolved Mention"/>
    <w:basedOn w:val="DefaultParagraphFont"/>
    <w:uiPriority w:val="99"/>
    <w:semiHidden/>
    <w:unhideWhenUsed/>
    <w:rsid w:val="00D45E44"/>
    <w:rPr>
      <w:color w:val="605E5C"/>
      <w:shd w:val="clear" w:color="auto" w:fill="E1DFDD"/>
    </w:rPr>
  </w:style>
  <w:style w:type="table" w:styleId="TableGrid">
    <w:name w:val="Table Grid"/>
    <w:basedOn w:val="TableNormal"/>
    <w:uiPriority w:val="39"/>
    <w:rsid w:val="006903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8A"/>
    <w:pPr>
      <w:ind w:left="720"/>
      <w:contextualSpacing/>
    </w:pPr>
  </w:style>
  <w:style w:type="table" w:customStyle="1" w:styleId="TableGrid1">
    <w:name w:val="Table Grid1"/>
    <w:basedOn w:val="TableNormal"/>
    <w:next w:val="TableGrid"/>
    <w:uiPriority w:val="39"/>
    <w:rsid w:val="007A00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07432288">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01548499">
      <w:bodyDiv w:val="1"/>
      <w:marLeft w:val="0"/>
      <w:marRight w:val="0"/>
      <w:marTop w:val="0"/>
      <w:marBottom w:val="0"/>
      <w:divBdr>
        <w:top w:val="none" w:sz="0" w:space="0" w:color="auto"/>
        <w:left w:val="none" w:sz="0" w:space="0" w:color="auto"/>
        <w:bottom w:val="none" w:sz="0" w:space="0" w:color="auto"/>
        <w:right w:val="none" w:sz="0" w:space="0" w:color="auto"/>
      </w:divBdr>
    </w:div>
    <w:div w:id="1559972612">
      <w:bodyDiv w:val="1"/>
      <w:marLeft w:val="0"/>
      <w:marRight w:val="0"/>
      <w:marTop w:val="0"/>
      <w:marBottom w:val="0"/>
      <w:divBdr>
        <w:top w:val="none" w:sz="0" w:space="0" w:color="auto"/>
        <w:left w:val="none" w:sz="0" w:space="0" w:color="auto"/>
        <w:bottom w:val="none" w:sz="0" w:space="0" w:color="auto"/>
        <w:right w:val="none" w:sz="0" w:space="0" w:color="auto"/>
      </w:divBdr>
    </w:div>
    <w:div w:id="1915428615">
      <w:bodyDiv w:val="1"/>
      <w:marLeft w:val="0"/>
      <w:marRight w:val="0"/>
      <w:marTop w:val="0"/>
      <w:marBottom w:val="0"/>
      <w:divBdr>
        <w:top w:val="none" w:sz="0" w:space="0" w:color="auto"/>
        <w:left w:val="none" w:sz="0" w:space="0" w:color="auto"/>
        <w:bottom w:val="none" w:sz="0" w:space="0" w:color="auto"/>
        <w:right w:val="none" w:sz="0" w:space="0" w:color="auto"/>
      </w:divBdr>
    </w:div>
    <w:div w:id="21046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nc.itu.int/eng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car@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c.itu.int/fnc-regional-spin-off-in-qat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nc.itu.int/"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ahgif\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C2DB-4381-41CA-B8BB-832D86AD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17</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Gifty Adjo</dc:creator>
  <cp:keywords/>
  <dc:description/>
  <cp:lastModifiedBy>Amoah, Gifty Adjo</cp:lastModifiedBy>
  <cp:revision>2</cp:revision>
  <cp:lastPrinted>2023-09-13T08:25:00Z</cp:lastPrinted>
  <dcterms:created xsi:type="dcterms:W3CDTF">2023-09-13T11:57:00Z</dcterms:created>
  <dcterms:modified xsi:type="dcterms:W3CDTF">2023-09-13T11:57:00Z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