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D570FF" w14:paraId="7648D310" w14:textId="77777777" w:rsidTr="007B6316">
        <w:trPr>
          <w:cantSplit/>
          <w:trHeight w:val="340"/>
        </w:trPr>
        <w:tc>
          <w:tcPr>
            <w:tcW w:w="1410" w:type="dxa"/>
            <w:gridSpan w:val="2"/>
          </w:tcPr>
          <w:p w14:paraId="162415FB" w14:textId="7F742886" w:rsidR="007B6316" w:rsidRPr="00D570FF" w:rsidRDefault="007B6316" w:rsidP="00303D62">
            <w:pPr>
              <w:tabs>
                <w:tab w:val="left" w:pos="4111"/>
              </w:tabs>
              <w:spacing w:before="10"/>
              <w:ind w:left="57"/>
              <w:rPr>
                <w:sz w:val="22"/>
              </w:rPr>
            </w:pPr>
            <w:r w:rsidRPr="00D570FF">
              <w:rPr>
                <w:noProof/>
              </w:rPr>
              <w:drawing>
                <wp:inline distT="0" distB="0" distL="0" distR="0" wp14:anchorId="55568795" wp14:editId="0A50E29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016BEF44" w14:textId="77777777" w:rsidR="007B6316" w:rsidRPr="00D570FF" w:rsidRDefault="007B6316" w:rsidP="007B6316">
            <w:pPr>
              <w:spacing w:before="0"/>
              <w:rPr>
                <w:rFonts w:cs="Times New Roman Bold"/>
                <w:b/>
                <w:bCs/>
                <w:smallCaps/>
                <w:sz w:val="26"/>
                <w:szCs w:val="26"/>
              </w:rPr>
            </w:pPr>
            <w:r w:rsidRPr="00D570FF">
              <w:rPr>
                <w:rFonts w:cs="Times New Roman Bold"/>
                <w:b/>
                <w:bCs/>
                <w:smallCaps/>
                <w:sz w:val="36"/>
                <w:szCs w:val="36"/>
              </w:rPr>
              <w:t>Unión Internacional de Telecomunicaciones</w:t>
            </w:r>
          </w:p>
          <w:p w14:paraId="24C6B635" w14:textId="77777777" w:rsidR="007B6316" w:rsidRPr="00D570FF" w:rsidRDefault="007B6316" w:rsidP="007B6316">
            <w:pPr>
              <w:spacing w:before="0"/>
            </w:pPr>
            <w:r w:rsidRPr="00D570FF">
              <w:rPr>
                <w:rFonts w:cs="Times New Roman Bold"/>
                <w:b/>
                <w:bCs/>
                <w:smallCaps/>
                <w:sz w:val="28"/>
                <w:szCs w:val="28"/>
              </w:rPr>
              <w:t>Oficina</w:t>
            </w:r>
            <w:r w:rsidRPr="00D570FF">
              <w:rPr>
                <w:rFonts w:cs="Times New Roman Bold"/>
                <w:b/>
                <w:bCs/>
                <w:iCs/>
                <w:smallCaps/>
                <w:sz w:val="22"/>
                <w:szCs w:val="22"/>
              </w:rPr>
              <w:t xml:space="preserve"> </w:t>
            </w:r>
            <w:r w:rsidRPr="00D570FF">
              <w:rPr>
                <w:rFonts w:cs="Times New Roman Bold"/>
                <w:b/>
                <w:bCs/>
                <w:iCs/>
                <w:smallCaps/>
                <w:sz w:val="28"/>
                <w:szCs w:val="28"/>
              </w:rPr>
              <w:t>de Normalización de las Telecomunicaciones</w:t>
            </w:r>
          </w:p>
        </w:tc>
      </w:tr>
      <w:tr w:rsidR="007B6316" w:rsidRPr="000F6093" w14:paraId="4B5138E0" w14:textId="77777777" w:rsidTr="00303D62">
        <w:trPr>
          <w:cantSplit/>
          <w:trHeight w:val="340"/>
        </w:trPr>
        <w:tc>
          <w:tcPr>
            <w:tcW w:w="993" w:type="dxa"/>
          </w:tcPr>
          <w:p w14:paraId="62D600E9" w14:textId="13E87BA8" w:rsidR="007B6316" w:rsidRPr="000F6093" w:rsidRDefault="007B6316" w:rsidP="00303D62">
            <w:pPr>
              <w:tabs>
                <w:tab w:val="left" w:pos="4111"/>
              </w:tabs>
              <w:spacing w:before="10"/>
              <w:ind w:left="57"/>
              <w:rPr>
                <w:b/>
                <w:bCs/>
                <w:sz w:val="22"/>
                <w:szCs w:val="22"/>
              </w:rPr>
            </w:pPr>
          </w:p>
        </w:tc>
        <w:tc>
          <w:tcPr>
            <w:tcW w:w="3884" w:type="dxa"/>
            <w:gridSpan w:val="2"/>
          </w:tcPr>
          <w:p w14:paraId="46EDE90C" w14:textId="77777777" w:rsidR="007B6316" w:rsidRPr="000F6093" w:rsidRDefault="007B6316" w:rsidP="00303D62">
            <w:pPr>
              <w:tabs>
                <w:tab w:val="left" w:pos="4111"/>
              </w:tabs>
              <w:spacing w:before="0"/>
              <w:ind w:left="57"/>
              <w:rPr>
                <w:b/>
                <w:sz w:val="22"/>
                <w:szCs w:val="22"/>
              </w:rPr>
            </w:pPr>
          </w:p>
        </w:tc>
        <w:tc>
          <w:tcPr>
            <w:tcW w:w="5329" w:type="dxa"/>
          </w:tcPr>
          <w:p w14:paraId="30125B9C" w14:textId="77777777" w:rsidR="007B6316" w:rsidRPr="000F6093" w:rsidRDefault="007B6316" w:rsidP="007B6316">
            <w:pPr>
              <w:tabs>
                <w:tab w:val="clear" w:pos="794"/>
                <w:tab w:val="clear" w:pos="1191"/>
                <w:tab w:val="clear" w:pos="1588"/>
                <w:tab w:val="clear" w:pos="1985"/>
                <w:tab w:val="left" w:pos="284"/>
              </w:tabs>
              <w:spacing w:after="120"/>
              <w:ind w:left="284" w:hanging="227"/>
              <w:rPr>
                <w:sz w:val="22"/>
                <w:szCs w:val="22"/>
              </w:rPr>
            </w:pPr>
            <w:r w:rsidRPr="000F6093">
              <w:rPr>
                <w:sz w:val="22"/>
                <w:szCs w:val="22"/>
              </w:rPr>
              <w:t>Ginebra,</w:t>
            </w:r>
            <w:r w:rsidR="00911593" w:rsidRPr="000F6093">
              <w:rPr>
                <w:sz w:val="22"/>
                <w:szCs w:val="22"/>
              </w:rPr>
              <w:t xml:space="preserve"> 14 de septiembre de 2023</w:t>
            </w:r>
          </w:p>
        </w:tc>
      </w:tr>
      <w:tr w:rsidR="001350B9" w:rsidRPr="000F6093" w14:paraId="4E412695" w14:textId="77777777" w:rsidTr="00303D62">
        <w:trPr>
          <w:cantSplit/>
          <w:trHeight w:val="340"/>
        </w:trPr>
        <w:tc>
          <w:tcPr>
            <w:tcW w:w="993" w:type="dxa"/>
          </w:tcPr>
          <w:p w14:paraId="05FFD4FA" w14:textId="0FAA53A7" w:rsidR="001350B9" w:rsidRPr="000F6093" w:rsidRDefault="001350B9" w:rsidP="00303D62">
            <w:pPr>
              <w:tabs>
                <w:tab w:val="left" w:pos="4111"/>
              </w:tabs>
              <w:spacing w:before="10"/>
              <w:ind w:left="57"/>
              <w:rPr>
                <w:b/>
                <w:sz w:val="22"/>
                <w:szCs w:val="22"/>
              </w:rPr>
            </w:pPr>
            <w:r w:rsidRPr="000F6093">
              <w:rPr>
                <w:b/>
                <w:sz w:val="22"/>
                <w:szCs w:val="22"/>
              </w:rPr>
              <w:t>Ref.:</w:t>
            </w:r>
          </w:p>
          <w:p w14:paraId="429A2801" w14:textId="2E98BEC3" w:rsidR="001350B9" w:rsidRPr="000F6093" w:rsidRDefault="001350B9" w:rsidP="007B6316">
            <w:pPr>
              <w:tabs>
                <w:tab w:val="left" w:pos="4111"/>
              </w:tabs>
              <w:spacing w:before="10"/>
              <w:ind w:left="57"/>
              <w:rPr>
                <w:b/>
                <w:sz w:val="22"/>
                <w:szCs w:val="22"/>
              </w:rPr>
            </w:pPr>
          </w:p>
        </w:tc>
        <w:tc>
          <w:tcPr>
            <w:tcW w:w="3884" w:type="dxa"/>
            <w:gridSpan w:val="2"/>
          </w:tcPr>
          <w:p w14:paraId="2EFD7625" w14:textId="77777777" w:rsidR="001350B9" w:rsidRPr="000F6093" w:rsidRDefault="00911593" w:rsidP="00303D62">
            <w:pPr>
              <w:tabs>
                <w:tab w:val="left" w:pos="4111"/>
              </w:tabs>
              <w:spacing w:before="0"/>
              <w:ind w:left="57"/>
              <w:rPr>
                <w:b/>
                <w:sz w:val="22"/>
                <w:szCs w:val="22"/>
              </w:rPr>
            </w:pPr>
            <w:r w:rsidRPr="000F6093">
              <w:rPr>
                <w:b/>
                <w:sz w:val="22"/>
                <w:szCs w:val="22"/>
              </w:rPr>
              <w:t>Circular TSB 128</w:t>
            </w:r>
          </w:p>
          <w:p w14:paraId="4CAA43BB" w14:textId="77777777" w:rsidR="001350B9" w:rsidRPr="000F6093" w:rsidRDefault="00911593" w:rsidP="00303D62">
            <w:pPr>
              <w:tabs>
                <w:tab w:val="left" w:pos="4111"/>
              </w:tabs>
              <w:spacing w:before="0"/>
              <w:ind w:left="57"/>
              <w:rPr>
                <w:b/>
                <w:sz w:val="22"/>
                <w:szCs w:val="22"/>
              </w:rPr>
            </w:pPr>
            <w:r w:rsidRPr="000F6093">
              <w:rPr>
                <w:sz w:val="22"/>
                <w:szCs w:val="22"/>
              </w:rPr>
              <w:t>SG16/SC</w:t>
            </w:r>
          </w:p>
          <w:p w14:paraId="3AF5320E" w14:textId="77777777" w:rsidR="001350B9" w:rsidRPr="000F6093" w:rsidRDefault="001350B9" w:rsidP="007B6316">
            <w:pPr>
              <w:tabs>
                <w:tab w:val="left" w:pos="4111"/>
              </w:tabs>
              <w:spacing w:before="0"/>
              <w:ind w:left="57"/>
              <w:rPr>
                <w:sz w:val="22"/>
                <w:szCs w:val="22"/>
              </w:rPr>
            </w:pPr>
          </w:p>
        </w:tc>
        <w:tc>
          <w:tcPr>
            <w:tcW w:w="5329" w:type="dxa"/>
            <w:vMerge w:val="restart"/>
          </w:tcPr>
          <w:p w14:paraId="6B8E03BF" w14:textId="77777777" w:rsidR="00911593" w:rsidRPr="000F6093" w:rsidRDefault="00911593" w:rsidP="00911593">
            <w:pPr>
              <w:tabs>
                <w:tab w:val="clear" w:pos="794"/>
                <w:tab w:val="clear" w:pos="1191"/>
                <w:tab w:val="clear" w:pos="1588"/>
                <w:tab w:val="clear" w:pos="1985"/>
                <w:tab w:val="left" w:pos="284"/>
              </w:tabs>
              <w:spacing w:before="0"/>
              <w:ind w:left="284" w:hanging="227"/>
              <w:rPr>
                <w:b/>
                <w:sz w:val="22"/>
                <w:szCs w:val="22"/>
              </w:rPr>
            </w:pPr>
            <w:bookmarkStart w:id="0" w:name="Addressee_S"/>
            <w:bookmarkEnd w:id="0"/>
            <w:r w:rsidRPr="000F6093">
              <w:rPr>
                <w:b/>
                <w:sz w:val="22"/>
                <w:szCs w:val="22"/>
              </w:rPr>
              <w:t>A:</w:t>
            </w:r>
          </w:p>
          <w:p w14:paraId="4232AD39" w14:textId="77777777" w:rsidR="001350B9" w:rsidRPr="000F6093" w:rsidRDefault="001350B9" w:rsidP="00911593">
            <w:pPr>
              <w:tabs>
                <w:tab w:val="clear" w:pos="794"/>
                <w:tab w:val="clear" w:pos="1191"/>
                <w:tab w:val="clear" w:pos="1588"/>
                <w:tab w:val="clear" w:pos="1985"/>
                <w:tab w:val="left" w:pos="284"/>
              </w:tabs>
              <w:spacing w:before="0"/>
              <w:ind w:left="284" w:hanging="227"/>
              <w:rPr>
                <w:sz w:val="22"/>
                <w:szCs w:val="22"/>
              </w:rPr>
            </w:pPr>
            <w:r w:rsidRPr="000F6093">
              <w:rPr>
                <w:sz w:val="22"/>
                <w:szCs w:val="22"/>
              </w:rPr>
              <w:t>-</w:t>
            </w:r>
            <w:r w:rsidRPr="000F6093">
              <w:rPr>
                <w:sz w:val="22"/>
                <w:szCs w:val="22"/>
              </w:rPr>
              <w:tab/>
              <w:t>las Administraciones de los Estados Miembros de la</w:t>
            </w:r>
            <w:r w:rsidR="00911593" w:rsidRPr="000F6093">
              <w:rPr>
                <w:sz w:val="22"/>
                <w:szCs w:val="22"/>
              </w:rPr>
              <w:t> </w:t>
            </w:r>
            <w:r w:rsidRPr="000F6093">
              <w:rPr>
                <w:sz w:val="22"/>
                <w:szCs w:val="22"/>
              </w:rPr>
              <w:t>Unión</w:t>
            </w:r>
          </w:p>
          <w:p w14:paraId="2D2C40D8" w14:textId="77777777" w:rsidR="001350B9" w:rsidRPr="000F6093" w:rsidRDefault="00911593" w:rsidP="00911593">
            <w:pPr>
              <w:tabs>
                <w:tab w:val="clear" w:pos="794"/>
                <w:tab w:val="clear" w:pos="1191"/>
                <w:tab w:val="clear" w:pos="1588"/>
                <w:tab w:val="clear" w:pos="1985"/>
                <w:tab w:val="left" w:pos="226"/>
                <w:tab w:val="left" w:pos="510"/>
              </w:tabs>
              <w:spacing w:before="0"/>
              <w:ind w:left="226" w:hanging="169"/>
              <w:rPr>
                <w:sz w:val="22"/>
                <w:szCs w:val="22"/>
              </w:rPr>
            </w:pPr>
            <w:r w:rsidRPr="000F6093">
              <w:rPr>
                <w:sz w:val="22"/>
                <w:szCs w:val="22"/>
              </w:rPr>
              <w:t>-</w:t>
            </w:r>
            <w:r w:rsidRPr="000F6093">
              <w:rPr>
                <w:sz w:val="22"/>
                <w:szCs w:val="22"/>
              </w:rPr>
              <w:tab/>
              <w:t>los Miembros de</w:t>
            </w:r>
            <w:r w:rsidR="001350B9" w:rsidRPr="000F6093">
              <w:rPr>
                <w:sz w:val="22"/>
                <w:szCs w:val="22"/>
              </w:rPr>
              <w:t xml:space="preserve"> Sector UIT</w:t>
            </w:r>
            <w:r w:rsidR="001350B9" w:rsidRPr="000F6093">
              <w:rPr>
                <w:sz w:val="22"/>
                <w:szCs w:val="22"/>
              </w:rPr>
              <w:noBreakHyphen/>
              <w:t>T;</w:t>
            </w:r>
          </w:p>
          <w:p w14:paraId="15C06FD8" w14:textId="77777777" w:rsidR="001350B9" w:rsidRPr="000F6093" w:rsidRDefault="00911593" w:rsidP="00911593">
            <w:pPr>
              <w:tabs>
                <w:tab w:val="clear" w:pos="794"/>
                <w:tab w:val="clear" w:pos="1191"/>
                <w:tab w:val="clear" w:pos="1588"/>
                <w:tab w:val="clear" w:pos="1985"/>
                <w:tab w:val="left" w:pos="226"/>
                <w:tab w:val="left" w:pos="510"/>
              </w:tabs>
              <w:spacing w:before="0"/>
              <w:ind w:left="226" w:hanging="169"/>
              <w:rPr>
                <w:sz w:val="22"/>
                <w:szCs w:val="22"/>
              </w:rPr>
            </w:pPr>
            <w:r w:rsidRPr="000F6093">
              <w:rPr>
                <w:sz w:val="22"/>
                <w:szCs w:val="22"/>
              </w:rPr>
              <w:t>-</w:t>
            </w:r>
            <w:r w:rsidRPr="000F6093">
              <w:rPr>
                <w:sz w:val="22"/>
                <w:szCs w:val="22"/>
              </w:rPr>
              <w:tab/>
            </w:r>
            <w:r w:rsidR="001350B9" w:rsidRPr="000F6093">
              <w:rPr>
                <w:sz w:val="22"/>
                <w:szCs w:val="22"/>
              </w:rPr>
              <w:t>los Asociados de</w:t>
            </w:r>
            <w:r w:rsidRPr="000F6093">
              <w:rPr>
                <w:sz w:val="22"/>
                <w:szCs w:val="22"/>
              </w:rPr>
              <w:t xml:space="preserve"> la Comisión de Estudio 16 del </w:t>
            </w:r>
            <w:r w:rsidR="001350B9" w:rsidRPr="000F6093">
              <w:rPr>
                <w:sz w:val="22"/>
                <w:szCs w:val="22"/>
              </w:rPr>
              <w:t>UIT</w:t>
            </w:r>
            <w:r w:rsidR="001350B9" w:rsidRPr="000F6093">
              <w:rPr>
                <w:sz w:val="22"/>
                <w:szCs w:val="22"/>
              </w:rPr>
              <w:noBreakHyphen/>
              <w:t>T;</w:t>
            </w:r>
          </w:p>
          <w:p w14:paraId="128F6EFD" w14:textId="77777777" w:rsidR="001350B9" w:rsidRPr="000F6093" w:rsidRDefault="001350B9" w:rsidP="00911593">
            <w:pPr>
              <w:tabs>
                <w:tab w:val="clear" w:pos="794"/>
                <w:tab w:val="clear" w:pos="1191"/>
                <w:tab w:val="clear" w:pos="1588"/>
                <w:tab w:val="clear" w:pos="1985"/>
                <w:tab w:val="left" w:pos="226"/>
                <w:tab w:val="left" w:pos="510"/>
              </w:tabs>
              <w:spacing w:before="0"/>
              <w:ind w:left="226" w:hanging="169"/>
              <w:rPr>
                <w:sz w:val="22"/>
                <w:szCs w:val="22"/>
              </w:rPr>
            </w:pPr>
            <w:r w:rsidRPr="000F6093">
              <w:rPr>
                <w:sz w:val="22"/>
                <w:szCs w:val="22"/>
              </w:rPr>
              <w:t>-</w:t>
            </w:r>
            <w:r w:rsidR="00911593" w:rsidRPr="000F6093">
              <w:rPr>
                <w:sz w:val="22"/>
                <w:szCs w:val="22"/>
              </w:rPr>
              <w:tab/>
            </w:r>
            <w:r w:rsidRPr="000F6093">
              <w:rPr>
                <w:sz w:val="22"/>
                <w:szCs w:val="22"/>
              </w:rPr>
              <w:t xml:space="preserve">las Instituciones Académicas del </w:t>
            </w:r>
            <w:r w:rsidR="00474CD9" w:rsidRPr="000F6093">
              <w:rPr>
                <w:sz w:val="22"/>
                <w:szCs w:val="22"/>
              </w:rPr>
              <w:t>UIT</w:t>
            </w:r>
            <w:r w:rsidRPr="000F6093">
              <w:rPr>
                <w:sz w:val="22"/>
                <w:szCs w:val="22"/>
              </w:rPr>
              <w:t>;</w:t>
            </w:r>
          </w:p>
          <w:p w14:paraId="23A19842" w14:textId="77777777" w:rsidR="00911593" w:rsidRPr="000F6093" w:rsidRDefault="00911593" w:rsidP="00911593">
            <w:pPr>
              <w:tabs>
                <w:tab w:val="clear" w:pos="794"/>
                <w:tab w:val="clear" w:pos="1191"/>
                <w:tab w:val="clear" w:pos="1588"/>
                <w:tab w:val="clear" w:pos="1985"/>
                <w:tab w:val="left" w:pos="284"/>
              </w:tabs>
              <w:spacing w:before="0"/>
              <w:ind w:left="284" w:hanging="227"/>
              <w:rPr>
                <w:b/>
                <w:sz w:val="22"/>
                <w:szCs w:val="22"/>
              </w:rPr>
            </w:pPr>
            <w:r w:rsidRPr="000F6093">
              <w:rPr>
                <w:b/>
                <w:sz w:val="22"/>
                <w:szCs w:val="22"/>
              </w:rPr>
              <w:t>Copia:</w:t>
            </w:r>
          </w:p>
          <w:p w14:paraId="095AE63C" w14:textId="77777777" w:rsidR="001350B9" w:rsidRPr="000F6093" w:rsidRDefault="001350B9" w:rsidP="00911593">
            <w:pPr>
              <w:tabs>
                <w:tab w:val="clear" w:pos="794"/>
                <w:tab w:val="clear" w:pos="1191"/>
                <w:tab w:val="clear" w:pos="1588"/>
                <w:tab w:val="clear" w:pos="1985"/>
                <w:tab w:val="left" w:pos="226"/>
                <w:tab w:val="left" w:pos="510"/>
              </w:tabs>
              <w:spacing w:before="0"/>
              <w:ind w:left="226" w:hanging="169"/>
              <w:rPr>
                <w:sz w:val="22"/>
                <w:szCs w:val="22"/>
              </w:rPr>
            </w:pPr>
            <w:r w:rsidRPr="000F6093">
              <w:rPr>
                <w:sz w:val="22"/>
                <w:szCs w:val="22"/>
              </w:rPr>
              <w:t>-</w:t>
            </w:r>
            <w:r w:rsidRPr="000F6093">
              <w:rPr>
                <w:sz w:val="22"/>
                <w:szCs w:val="22"/>
              </w:rPr>
              <w:tab/>
              <w:t xml:space="preserve">Al </w:t>
            </w:r>
            <w:proofErr w:type="gramStart"/>
            <w:r w:rsidRPr="000F6093">
              <w:rPr>
                <w:sz w:val="22"/>
                <w:szCs w:val="22"/>
              </w:rPr>
              <w:t>Presidente</w:t>
            </w:r>
            <w:proofErr w:type="gramEnd"/>
            <w:r w:rsidRPr="000F6093">
              <w:rPr>
                <w:sz w:val="22"/>
                <w:szCs w:val="22"/>
              </w:rPr>
              <w:t xml:space="preserve"> y a los Vicepresident</w:t>
            </w:r>
            <w:r w:rsidR="00911593" w:rsidRPr="000F6093">
              <w:rPr>
                <w:sz w:val="22"/>
                <w:szCs w:val="22"/>
              </w:rPr>
              <w:t>es de la</w:t>
            </w:r>
            <w:r w:rsidR="00911593" w:rsidRPr="000F6093">
              <w:rPr>
                <w:sz w:val="22"/>
                <w:szCs w:val="22"/>
              </w:rPr>
              <w:br/>
              <w:t>Comisión de Estudio 16 del UIT-T</w:t>
            </w:r>
            <w:r w:rsidRPr="000F6093">
              <w:rPr>
                <w:sz w:val="22"/>
                <w:szCs w:val="22"/>
              </w:rPr>
              <w:t>;</w:t>
            </w:r>
          </w:p>
          <w:p w14:paraId="7F3F3F7E" w14:textId="77777777" w:rsidR="001350B9" w:rsidRPr="000F6093" w:rsidRDefault="001B4D60" w:rsidP="00303D62">
            <w:pPr>
              <w:tabs>
                <w:tab w:val="clear" w:pos="794"/>
                <w:tab w:val="clear" w:pos="1191"/>
                <w:tab w:val="clear" w:pos="1588"/>
                <w:tab w:val="clear" w:pos="1985"/>
                <w:tab w:val="left" w:pos="226"/>
                <w:tab w:val="left" w:pos="510"/>
              </w:tabs>
              <w:spacing w:before="0"/>
              <w:ind w:left="226" w:hanging="169"/>
              <w:rPr>
                <w:sz w:val="22"/>
                <w:szCs w:val="22"/>
              </w:rPr>
            </w:pPr>
            <w:r w:rsidRPr="000F6093">
              <w:rPr>
                <w:sz w:val="22"/>
                <w:szCs w:val="22"/>
              </w:rPr>
              <w:t>-</w:t>
            </w:r>
            <w:r w:rsidRPr="000F6093">
              <w:rPr>
                <w:sz w:val="22"/>
                <w:szCs w:val="22"/>
              </w:rPr>
              <w:tab/>
              <w:t xml:space="preserve">Al </w:t>
            </w:r>
            <w:proofErr w:type="gramStart"/>
            <w:r w:rsidRPr="000F6093">
              <w:rPr>
                <w:sz w:val="22"/>
                <w:szCs w:val="22"/>
              </w:rPr>
              <w:t>Director</w:t>
            </w:r>
            <w:proofErr w:type="gramEnd"/>
            <w:r w:rsidR="001350B9" w:rsidRPr="000F6093">
              <w:rPr>
                <w:sz w:val="22"/>
                <w:szCs w:val="22"/>
              </w:rPr>
              <w:t xml:space="preserve"> de la Oficina de Desarrollo de las Telecomunicaciones;</w:t>
            </w:r>
          </w:p>
          <w:p w14:paraId="3873D1B7" w14:textId="77777777" w:rsidR="001350B9" w:rsidRPr="000F6093" w:rsidRDefault="001350B9" w:rsidP="00303D62">
            <w:pPr>
              <w:tabs>
                <w:tab w:val="left" w:pos="226"/>
                <w:tab w:val="left" w:pos="510"/>
              </w:tabs>
              <w:spacing w:before="0"/>
              <w:ind w:left="226" w:hanging="169"/>
              <w:rPr>
                <w:sz w:val="22"/>
                <w:szCs w:val="22"/>
              </w:rPr>
            </w:pPr>
            <w:r w:rsidRPr="000F6093">
              <w:rPr>
                <w:sz w:val="22"/>
                <w:szCs w:val="22"/>
              </w:rPr>
              <w:t>-</w:t>
            </w:r>
            <w:r w:rsidRPr="000F6093">
              <w:rPr>
                <w:sz w:val="22"/>
                <w:szCs w:val="22"/>
              </w:rPr>
              <w:tab/>
              <w:t xml:space="preserve">Al </w:t>
            </w:r>
            <w:proofErr w:type="gramStart"/>
            <w:r w:rsidRPr="000F6093">
              <w:rPr>
                <w:sz w:val="22"/>
                <w:szCs w:val="22"/>
              </w:rPr>
              <w:t>Director</w:t>
            </w:r>
            <w:proofErr w:type="gramEnd"/>
            <w:r w:rsidRPr="000F6093">
              <w:rPr>
                <w:sz w:val="22"/>
                <w:szCs w:val="22"/>
              </w:rPr>
              <w:t xml:space="preserve"> de la Oficina de Radiocomunicaciones</w:t>
            </w:r>
            <w:r w:rsidR="00911593" w:rsidRPr="000F6093">
              <w:rPr>
                <w:sz w:val="22"/>
                <w:szCs w:val="22"/>
              </w:rPr>
              <w:t>.</w:t>
            </w:r>
          </w:p>
        </w:tc>
      </w:tr>
      <w:tr w:rsidR="001350B9" w:rsidRPr="000F6093" w14:paraId="1BA62DEB" w14:textId="77777777" w:rsidTr="00303D62">
        <w:trPr>
          <w:cantSplit/>
        </w:trPr>
        <w:tc>
          <w:tcPr>
            <w:tcW w:w="993" w:type="dxa"/>
          </w:tcPr>
          <w:p w14:paraId="3471F873" w14:textId="77777777" w:rsidR="001350B9" w:rsidRPr="000F6093" w:rsidRDefault="001350B9" w:rsidP="00303D62">
            <w:pPr>
              <w:tabs>
                <w:tab w:val="left" w:pos="4111"/>
              </w:tabs>
              <w:spacing w:before="10"/>
              <w:ind w:left="57"/>
              <w:rPr>
                <w:b/>
                <w:sz w:val="22"/>
                <w:szCs w:val="22"/>
              </w:rPr>
            </w:pPr>
            <w:r w:rsidRPr="000F6093">
              <w:rPr>
                <w:b/>
                <w:sz w:val="22"/>
                <w:szCs w:val="22"/>
              </w:rPr>
              <w:t>Tel.:</w:t>
            </w:r>
          </w:p>
        </w:tc>
        <w:tc>
          <w:tcPr>
            <w:tcW w:w="3884" w:type="dxa"/>
            <w:gridSpan w:val="2"/>
          </w:tcPr>
          <w:p w14:paraId="135510D9" w14:textId="77777777" w:rsidR="001350B9" w:rsidRPr="000F6093" w:rsidRDefault="001350B9" w:rsidP="00303D62">
            <w:pPr>
              <w:tabs>
                <w:tab w:val="left" w:pos="4111"/>
              </w:tabs>
              <w:spacing w:before="0"/>
              <w:ind w:left="57"/>
              <w:rPr>
                <w:rStyle w:val="Hyperlink"/>
                <w:sz w:val="22"/>
                <w:szCs w:val="22"/>
              </w:rPr>
            </w:pPr>
            <w:r w:rsidRPr="000F6093">
              <w:rPr>
                <w:sz w:val="22"/>
                <w:szCs w:val="22"/>
              </w:rPr>
              <w:t>+41 22 730</w:t>
            </w:r>
            <w:r w:rsidR="00911593" w:rsidRPr="000F6093">
              <w:rPr>
                <w:sz w:val="22"/>
                <w:szCs w:val="22"/>
              </w:rPr>
              <w:t xml:space="preserve"> 6805</w:t>
            </w:r>
          </w:p>
        </w:tc>
        <w:tc>
          <w:tcPr>
            <w:tcW w:w="5329" w:type="dxa"/>
            <w:vMerge/>
          </w:tcPr>
          <w:p w14:paraId="417409BB" w14:textId="77777777" w:rsidR="001350B9" w:rsidRPr="000F6093" w:rsidRDefault="001350B9" w:rsidP="00303D62">
            <w:pPr>
              <w:tabs>
                <w:tab w:val="left" w:pos="226"/>
                <w:tab w:val="left" w:pos="510"/>
              </w:tabs>
              <w:spacing w:before="0"/>
              <w:ind w:left="226" w:hanging="169"/>
              <w:rPr>
                <w:b/>
                <w:sz w:val="22"/>
                <w:szCs w:val="22"/>
              </w:rPr>
            </w:pPr>
          </w:p>
        </w:tc>
      </w:tr>
      <w:tr w:rsidR="001350B9" w:rsidRPr="000F6093" w14:paraId="402AA15D" w14:textId="77777777" w:rsidTr="00303D62">
        <w:trPr>
          <w:cantSplit/>
        </w:trPr>
        <w:tc>
          <w:tcPr>
            <w:tcW w:w="993" w:type="dxa"/>
          </w:tcPr>
          <w:p w14:paraId="513C41D3" w14:textId="77777777" w:rsidR="001350B9" w:rsidRPr="000F6093" w:rsidRDefault="001350B9" w:rsidP="00303D62">
            <w:pPr>
              <w:tabs>
                <w:tab w:val="left" w:pos="4111"/>
              </w:tabs>
              <w:spacing w:before="10"/>
              <w:ind w:left="57"/>
              <w:rPr>
                <w:b/>
                <w:sz w:val="22"/>
                <w:szCs w:val="22"/>
              </w:rPr>
            </w:pPr>
            <w:r w:rsidRPr="000F6093">
              <w:rPr>
                <w:b/>
                <w:sz w:val="22"/>
                <w:szCs w:val="22"/>
              </w:rPr>
              <w:t>Fax:</w:t>
            </w:r>
          </w:p>
        </w:tc>
        <w:tc>
          <w:tcPr>
            <w:tcW w:w="3884" w:type="dxa"/>
            <w:gridSpan w:val="2"/>
          </w:tcPr>
          <w:p w14:paraId="0FB61100" w14:textId="77777777" w:rsidR="001350B9" w:rsidRPr="000F6093" w:rsidRDefault="001350B9" w:rsidP="00303D62">
            <w:pPr>
              <w:tabs>
                <w:tab w:val="left" w:pos="4111"/>
              </w:tabs>
              <w:spacing w:before="0"/>
              <w:ind w:left="57"/>
              <w:rPr>
                <w:rStyle w:val="Hyperlink"/>
                <w:sz w:val="22"/>
                <w:szCs w:val="22"/>
              </w:rPr>
            </w:pPr>
            <w:r w:rsidRPr="000F6093">
              <w:rPr>
                <w:sz w:val="22"/>
                <w:szCs w:val="22"/>
              </w:rPr>
              <w:t>+41 22 730 5853</w:t>
            </w:r>
          </w:p>
        </w:tc>
        <w:tc>
          <w:tcPr>
            <w:tcW w:w="5329" w:type="dxa"/>
            <w:vMerge/>
          </w:tcPr>
          <w:p w14:paraId="56B6DC34" w14:textId="77777777" w:rsidR="001350B9" w:rsidRPr="000F6093" w:rsidRDefault="001350B9" w:rsidP="00303D62">
            <w:pPr>
              <w:tabs>
                <w:tab w:val="left" w:pos="226"/>
                <w:tab w:val="left" w:pos="510"/>
              </w:tabs>
              <w:spacing w:before="0"/>
              <w:ind w:left="226" w:hanging="169"/>
              <w:rPr>
                <w:b/>
                <w:sz w:val="22"/>
                <w:szCs w:val="22"/>
              </w:rPr>
            </w:pPr>
          </w:p>
        </w:tc>
      </w:tr>
      <w:tr w:rsidR="001350B9" w:rsidRPr="000F6093" w14:paraId="5FAA7848" w14:textId="77777777" w:rsidTr="000F6093">
        <w:trPr>
          <w:cantSplit/>
          <w:trHeight w:val="1942"/>
        </w:trPr>
        <w:tc>
          <w:tcPr>
            <w:tcW w:w="993" w:type="dxa"/>
          </w:tcPr>
          <w:p w14:paraId="3E7D4AE5" w14:textId="352C3484" w:rsidR="001350B9" w:rsidRPr="000F6093" w:rsidRDefault="001350B9" w:rsidP="00303D62">
            <w:pPr>
              <w:tabs>
                <w:tab w:val="left" w:pos="4111"/>
              </w:tabs>
              <w:spacing w:before="10"/>
              <w:ind w:left="57"/>
              <w:rPr>
                <w:b/>
                <w:sz w:val="22"/>
                <w:szCs w:val="22"/>
              </w:rPr>
            </w:pPr>
            <w:r w:rsidRPr="000F6093">
              <w:rPr>
                <w:b/>
                <w:sz w:val="22"/>
                <w:szCs w:val="22"/>
              </w:rPr>
              <w:t>Correo-e:</w:t>
            </w:r>
          </w:p>
        </w:tc>
        <w:tc>
          <w:tcPr>
            <w:tcW w:w="3884" w:type="dxa"/>
            <w:gridSpan w:val="2"/>
          </w:tcPr>
          <w:p w14:paraId="67AF126C" w14:textId="08B5FCA3" w:rsidR="001350B9" w:rsidRPr="000F6093" w:rsidRDefault="00D177AF" w:rsidP="00303D62">
            <w:pPr>
              <w:tabs>
                <w:tab w:val="left" w:pos="4111"/>
              </w:tabs>
              <w:spacing w:before="0"/>
              <w:ind w:left="57"/>
              <w:rPr>
                <w:sz w:val="22"/>
                <w:szCs w:val="22"/>
              </w:rPr>
            </w:pPr>
            <w:hyperlink r:id="rId12" w:history="1">
              <w:r w:rsidR="00911593" w:rsidRPr="000F6093">
                <w:rPr>
                  <w:rStyle w:val="Hyperlink"/>
                  <w:sz w:val="22"/>
                  <w:szCs w:val="22"/>
                </w:rPr>
                <w:t>tsbsg16@itu.int</w:t>
              </w:r>
            </w:hyperlink>
            <w:r w:rsidR="001350B9" w:rsidRPr="000F6093">
              <w:rPr>
                <w:sz w:val="22"/>
                <w:szCs w:val="22"/>
              </w:rPr>
              <w:t xml:space="preserve"> </w:t>
            </w:r>
          </w:p>
        </w:tc>
        <w:tc>
          <w:tcPr>
            <w:tcW w:w="5329" w:type="dxa"/>
            <w:vMerge/>
          </w:tcPr>
          <w:p w14:paraId="4262B444" w14:textId="77777777" w:rsidR="001350B9" w:rsidRPr="000F6093"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0F6093" w14:paraId="282FB6AD" w14:textId="77777777" w:rsidTr="00DA30ED">
        <w:trPr>
          <w:cantSplit/>
        </w:trPr>
        <w:tc>
          <w:tcPr>
            <w:tcW w:w="993" w:type="dxa"/>
          </w:tcPr>
          <w:p w14:paraId="29D54B5B" w14:textId="6A0D3CAD" w:rsidR="007B6316" w:rsidRPr="000F6093" w:rsidRDefault="007B6316" w:rsidP="000F6093">
            <w:pPr>
              <w:tabs>
                <w:tab w:val="left" w:pos="4111"/>
              </w:tabs>
              <w:spacing w:before="0"/>
              <w:ind w:left="57"/>
              <w:rPr>
                <w:b/>
                <w:sz w:val="22"/>
                <w:szCs w:val="22"/>
              </w:rPr>
            </w:pPr>
            <w:r w:rsidRPr="000F6093">
              <w:rPr>
                <w:b/>
                <w:sz w:val="22"/>
                <w:szCs w:val="22"/>
              </w:rPr>
              <w:t>Asunto:</w:t>
            </w:r>
          </w:p>
        </w:tc>
        <w:tc>
          <w:tcPr>
            <w:tcW w:w="9213" w:type="dxa"/>
            <w:gridSpan w:val="3"/>
          </w:tcPr>
          <w:p w14:paraId="76B8BCCB" w14:textId="1CC660E0" w:rsidR="007B6316" w:rsidRPr="000F6093" w:rsidRDefault="00911593" w:rsidP="000F6093">
            <w:pPr>
              <w:tabs>
                <w:tab w:val="left" w:pos="4111"/>
              </w:tabs>
              <w:spacing w:before="0"/>
              <w:rPr>
                <w:b/>
                <w:sz w:val="22"/>
                <w:szCs w:val="22"/>
              </w:rPr>
            </w:pPr>
            <w:r w:rsidRPr="000F6093">
              <w:rPr>
                <w:b/>
                <w:sz w:val="22"/>
                <w:szCs w:val="22"/>
              </w:rPr>
              <w:t>Consulta a los Estados Miembros sobre los proyectos de Recomendaciones determinadas UIT-T F.748.23 (ex F.ML-</w:t>
            </w:r>
            <w:proofErr w:type="spellStart"/>
            <w:r w:rsidRPr="000F6093">
              <w:rPr>
                <w:b/>
                <w:sz w:val="22"/>
                <w:szCs w:val="22"/>
              </w:rPr>
              <w:t>ICSMIReqs</w:t>
            </w:r>
            <w:proofErr w:type="spellEnd"/>
            <w:r w:rsidRPr="000F6093">
              <w:rPr>
                <w:b/>
                <w:sz w:val="22"/>
                <w:szCs w:val="22"/>
              </w:rPr>
              <w:t xml:space="preserve">), F.748.24 (ex </w:t>
            </w:r>
            <w:proofErr w:type="gramStart"/>
            <w:r w:rsidRPr="000F6093">
              <w:rPr>
                <w:b/>
                <w:sz w:val="22"/>
                <w:szCs w:val="22"/>
              </w:rPr>
              <w:t>F</w:t>
            </w:r>
            <w:r w:rsidR="00474CD9" w:rsidRPr="000F6093">
              <w:rPr>
                <w:b/>
                <w:sz w:val="22"/>
                <w:szCs w:val="22"/>
              </w:rPr>
              <w:t>.TCEF</w:t>
            </w:r>
            <w:proofErr w:type="gramEnd"/>
            <w:r w:rsidR="00474CD9" w:rsidRPr="000F6093">
              <w:rPr>
                <w:b/>
                <w:sz w:val="22"/>
                <w:szCs w:val="22"/>
              </w:rPr>
              <w:t>-FML), F.749.17 (ex F.CUAV</w:t>
            </w:r>
            <w:r w:rsidR="00474CD9" w:rsidRPr="000F6093">
              <w:rPr>
                <w:b/>
                <w:sz w:val="22"/>
                <w:szCs w:val="22"/>
              </w:rPr>
              <w:noBreakHyphen/>
            </w:r>
            <w:proofErr w:type="spellStart"/>
            <w:r w:rsidRPr="000F6093">
              <w:rPr>
                <w:b/>
                <w:sz w:val="22"/>
                <w:szCs w:val="22"/>
              </w:rPr>
              <w:t>MVAreqs</w:t>
            </w:r>
            <w:proofErr w:type="spellEnd"/>
            <w:r w:rsidRPr="000F6093">
              <w:rPr>
                <w:b/>
                <w:sz w:val="22"/>
                <w:szCs w:val="22"/>
              </w:rPr>
              <w:t>), F.760.2 (ex</w:t>
            </w:r>
            <w:r w:rsidR="000F6093">
              <w:rPr>
                <w:b/>
                <w:sz w:val="22"/>
                <w:szCs w:val="22"/>
              </w:rPr>
              <w:t> </w:t>
            </w:r>
            <w:r w:rsidRPr="000F6093">
              <w:rPr>
                <w:b/>
                <w:sz w:val="22"/>
                <w:szCs w:val="22"/>
              </w:rPr>
              <w:t>F.FR-ERSS) y H.741.5 (ex H.IPTV-PS) propuestos para aprobación en la reunión de la Comisión de</w:t>
            </w:r>
            <w:r w:rsidR="000F6093">
              <w:rPr>
                <w:b/>
                <w:sz w:val="22"/>
                <w:szCs w:val="22"/>
              </w:rPr>
              <w:t> </w:t>
            </w:r>
            <w:r w:rsidRPr="000F6093">
              <w:rPr>
                <w:b/>
                <w:sz w:val="22"/>
                <w:szCs w:val="22"/>
              </w:rPr>
              <w:t>Estudio 16 del UIT-T (prevista en Rennes, 15-26 de abril de 2024)</w:t>
            </w:r>
          </w:p>
        </w:tc>
      </w:tr>
    </w:tbl>
    <w:p w14:paraId="497FD94C" w14:textId="78FF9E19" w:rsidR="00C34772" w:rsidRPr="000F6093" w:rsidRDefault="00C34772" w:rsidP="000F6093">
      <w:pPr>
        <w:rPr>
          <w:sz w:val="22"/>
          <w:szCs w:val="22"/>
        </w:rPr>
      </w:pPr>
      <w:bookmarkStart w:id="1" w:name="StartTyping_S"/>
      <w:bookmarkStart w:id="2" w:name="suitetext"/>
      <w:bookmarkStart w:id="3" w:name="text"/>
      <w:bookmarkEnd w:id="1"/>
      <w:bookmarkEnd w:id="2"/>
      <w:bookmarkEnd w:id="3"/>
      <w:r w:rsidRPr="000F6093">
        <w:rPr>
          <w:sz w:val="22"/>
          <w:szCs w:val="22"/>
        </w:rPr>
        <w:t>Muy Señora mía/Muy Señor mío</w:t>
      </w:r>
      <w:r w:rsidR="000F6093" w:rsidRPr="000F6093">
        <w:rPr>
          <w:sz w:val="22"/>
          <w:szCs w:val="22"/>
        </w:rPr>
        <w:t>,</w:t>
      </w:r>
    </w:p>
    <w:p w14:paraId="48C01944" w14:textId="68E9EC74" w:rsidR="00911593" w:rsidRPr="000F6093" w:rsidRDefault="00911593" w:rsidP="00911593">
      <w:pPr>
        <w:rPr>
          <w:sz w:val="22"/>
          <w:szCs w:val="22"/>
        </w:rPr>
      </w:pPr>
      <w:r w:rsidRPr="000F6093">
        <w:rPr>
          <w:sz w:val="22"/>
          <w:szCs w:val="22"/>
        </w:rPr>
        <w:t>1</w:t>
      </w:r>
      <w:r w:rsidRPr="000F6093">
        <w:rPr>
          <w:sz w:val="22"/>
          <w:szCs w:val="22"/>
        </w:rPr>
        <w:tab/>
      </w:r>
      <w:proofErr w:type="gramStart"/>
      <w:r w:rsidRPr="000F6093">
        <w:rPr>
          <w:sz w:val="22"/>
          <w:szCs w:val="22"/>
        </w:rPr>
        <w:t>La</w:t>
      </w:r>
      <w:proofErr w:type="gramEnd"/>
      <w:r w:rsidRPr="000F6093">
        <w:rPr>
          <w:sz w:val="22"/>
          <w:szCs w:val="22"/>
        </w:rPr>
        <w:t xml:space="preserve"> Comisión de Estudio 16 (Multimedios) del UIT-T tiene la intención de aplicar el procedimiento de aprobación tradicional, descrito en la cláusula 9 de la Resolución 1 de la AMNT (Rev. Ginebra, 2022), para la aprobación de los citados proyectos de Recomendación en su próxima reunión que está previsto celebrar en Rennes del 15 al 26 de abril de 2024. El orden del día y toda la información pertinente relativa a la reunión de la Comisión de Estudio 16 de la UIT T figurarán en la carta colectiva correspondiente de la Comisión de Estudio 16 que se enviará en breve.</w:t>
      </w:r>
    </w:p>
    <w:p w14:paraId="0C962BAF" w14:textId="40F51C33" w:rsidR="00911593" w:rsidRPr="000F6093" w:rsidRDefault="00911593" w:rsidP="00911593">
      <w:pPr>
        <w:rPr>
          <w:sz w:val="22"/>
          <w:szCs w:val="22"/>
        </w:rPr>
      </w:pPr>
      <w:r w:rsidRPr="000F6093">
        <w:rPr>
          <w:sz w:val="22"/>
          <w:szCs w:val="22"/>
        </w:rPr>
        <w:t>2</w:t>
      </w:r>
      <w:r w:rsidRPr="000F6093">
        <w:rPr>
          <w:sz w:val="22"/>
          <w:szCs w:val="22"/>
        </w:rPr>
        <w:tab/>
      </w:r>
      <w:proofErr w:type="gramStart"/>
      <w:r w:rsidRPr="000F6093">
        <w:rPr>
          <w:sz w:val="22"/>
          <w:szCs w:val="22"/>
        </w:rPr>
        <w:t>En</w:t>
      </w:r>
      <w:proofErr w:type="gramEnd"/>
      <w:r w:rsidRPr="000F6093">
        <w:rPr>
          <w:sz w:val="22"/>
          <w:szCs w:val="22"/>
        </w:rPr>
        <w:t xml:space="preserve"> el </w:t>
      </w:r>
      <w:r w:rsidRPr="000F6093">
        <w:rPr>
          <w:b/>
          <w:sz w:val="22"/>
          <w:szCs w:val="22"/>
        </w:rPr>
        <w:t>Anexo 1</w:t>
      </w:r>
      <w:r w:rsidRPr="000F6093">
        <w:rPr>
          <w:sz w:val="22"/>
          <w:szCs w:val="22"/>
        </w:rPr>
        <w:t xml:space="preserve"> se indica el título, el resumen y la ubicación de los proyectos de Recomendación o Recomendaciones UIT-T cuya aprobación se propone.</w:t>
      </w:r>
    </w:p>
    <w:p w14:paraId="78169437" w14:textId="6C379EED" w:rsidR="00911593" w:rsidRPr="000F6093" w:rsidRDefault="00911593" w:rsidP="00474CD9">
      <w:pPr>
        <w:pStyle w:val="Note"/>
        <w:rPr>
          <w:sz w:val="22"/>
          <w:szCs w:val="22"/>
        </w:rPr>
      </w:pPr>
      <w:r w:rsidRPr="000F6093">
        <w:rPr>
          <w:sz w:val="22"/>
          <w:szCs w:val="22"/>
        </w:rPr>
        <w:t>NOTA 1 – No se requiere actualmente justificación con arreglo a la Recomendación UIT-T A.5 para estos proyectos de Recomendaciones.</w:t>
      </w:r>
    </w:p>
    <w:p w14:paraId="1540F24D" w14:textId="239DBD05" w:rsidR="00911593" w:rsidRPr="000F6093" w:rsidRDefault="00911593" w:rsidP="00911593">
      <w:pPr>
        <w:rPr>
          <w:sz w:val="22"/>
          <w:szCs w:val="22"/>
        </w:rPr>
      </w:pPr>
      <w:r w:rsidRPr="000F6093">
        <w:rPr>
          <w:sz w:val="22"/>
          <w:szCs w:val="22"/>
        </w:rPr>
        <w:t>3</w:t>
      </w:r>
      <w:r w:rsidRPr="000F6093">
        <w:rPr>
          <w:sz w:val="22"/>
          <w:szCs w:val="22"/>
        </w:rPr>
        <w:tab/>
      </w:r>
      <w:proofErr w:type="gramStart"/>
      <w:r w:rsidRPr="000F6093">
        <w:rPr>
          <w:sz w:val="22"/>
          <w:szCs w:val="22"/>
        </w:rPr>
        <w:t>Con</w:t>
      </w:r>
      <w:proofErr w:type="gramEnd"/>
      <w:r w:rsidRPr="000F6093">
        <w:rPr>
          <w:sz w:val="22"/>
          <w:szCs w:val="22"/>
        </w:rPr>
        <w:t xml:space="preserve">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sidRPr="000F6093">
        <w:rPr>
          <w:b/>
          <w:sz w:val="22"/>
          <w:szCs w:val="22"/>
        </w:rPr>
        <w:t>Anexo 2</w:t>
      </w:r>
      <w:r w:rsidRPr="000F6093">
        <w:rPr>
          <w:sz w:val="22"/>
          <w:szCs w:val="22"/>
        </w:rPr>
        <w:t xml:space="preserve"> hasta las 23.59 horas UTC del </w:t>
      </w:r>
      <w:r w:rsidRPr="000F6093">
        <w:rPr>
          <w:b/>
          <w:sz w:val="22"/>
          <w:szCs w:val="22"/>
        </w:rPr>
        <w:t>3 de abril de 2024</w:t>
      </w:r>
      <w:r w:rsidRPr="000F6093">
        <w:rPr>
          <w:sz w:val="22"/>
          <w:szCs w:val="22"/>
        </w:rPr>
        <w:t>.</w:t>
      </w:r>
    </w:p>
    <w:p w14:paraId="779C323C" w14:textId="1764132C" w:rsidR="007B6316" w:rsidRPr="000F6093" w:rsidRDefault="00911593" w:rsidP="007B6316">
      <w:pPr>
        <w:rPr>
          <w:sz w:val="22"/>
          <w:szCs w:val="22"/>
        </w:rPr>
      </w:pPr>
      <w:r w:rsidRPr="000F6093">
        <w:rPr>
          <w:sz w:val="22"/>
          <w:szCs w:val="22"/>
        </w:rPr>
        <w:t>4</w:t>
      </w:r>
      <w:r w:rsidRPr="000F6093">
        <w:rPr>
          <w:sz w:val="22"/>
          <w:szCs w:val="22"/>
        </w:rPr>
        <w:tab/>
      </w:r>
      <w:proofErr w:type="gramStart"/>
      <w:r w:rsidRPr="000F6093">
        <w:rPr>
          <w:sz w:val="22"/>
          <w:szCs w:val="22"/>
        </w:rPr>
        <w:t>Si</w:t>
      </w:r>
      <w:proofErr w:type="gramEnd"/>
      <w:r w:rsidRPr="000F6093">
        <w:rPr>
          <w:sz w:val="22"/>
          <w:szCs w:val="22"/>
        </w:rPr>
        <w:t xml:space="preserve"> el 70% como mínimo de las respuestas de los Estados Miembros es favorable a que se considere la aprobación, se dedicará una sesión plenaria a la aplicación del procedimiento de aprobación. Los Estados Miembros que no otorguen autoridad para proceder deben informar al </w:t>
      </w:r>
      <w:proofErr w:type="gramStart"/>
      <w:r w:rsidRPr="000F6093">
        <w:rPr>
          <w:sz w:val="22"/>
          <w:szCs w:val="22"/>
        </w:rPr>
        <w:t>Director</w:t>
      </w:r>
      <w:proofErr w:type="gramEnd"/>
      <w:r w:rsidRPr="000F6093">
        <w:rPr>
          <w:sz w:val="22"/>
          <w:szCs w:val="22"/>
        </w:rPr>
        <w:t xml:space="preserve"> de la TSB de los motivos en que se fundamenta esta opinión e indicar los cambios que podrían permitir el proseguimiento de los trabajos.</w:t>
      </w:r>
    </w:p>
    <w:p w14:paraId="3E4025D4" w14:textId="64E1BC83" w:rsidR="007B6316" w:rsidRPr="000F6093" w:rsidRDefault="007B6316" w:rsidP="007B6316">
      <w:pPr>
        <w:rPr>
          <w:sz w:val="22"/>
          <w:szCs w:val="22"/>
        </w:rPr>
      </w:pPr>
      <w:r w:rsidRPr="000F6093">
        <w:rPr>
          <w:sz w:val="22"/>
          <w:szCs w:val="22"/>
        </w:rPr>
        <w:t>Atentamente,</w:t>
      </w:r>
    </w:p>
    <w:p w14:paraId="6DC7B5C9" w14:textId="7540427E" w:rsidR="007B6316" w:rsidRPr="000F6093" w:rsidRDefault="00D177AF" w:rsidP="000F6093">
      <w:pPr>
        <w:spacing w:before="720"/>
        <w:rPr>
          <w:sz w:val="22"/>
          <w:szCs w:val="22"/>
        </w:rPr>
      </w:pPr>
      <w:r>
        <w:rPr>
          <w:rFonts w:cstheme="minorHAnsi"/>
          <w:noProof/>
          <w:sz w:val="22"/>
          <w:szCs w:val="22"/>
        </w:rPr>
        <w:drawing>
          <wp:anchor distT="0" distB="0" distL="114300" distR="114300" simplePos="0" relativeHeight="251658240" behindDoc="1" locked="0" layoutInCell="1" allowOverlap="1" wp14:anchorId="43AD946E" wp14:editId="1B01596F">
            <wp:simplePos x="0" y="0"/>
            <wp:positionH relativeFrom="column">
              <wp:posOffset>-14605</wp:posOffset>
            </wp:positionH>
            <wp:positionV relativeFrom="paragraph">
              <wp:posOffset>83820</wp:posOffset>
            </wp:positionV>
            <wp:extent cx="666750" cy="300292"/>
            <wp:effectExtent l="0" t="0" r="0" b="5080"/>
            <wp:wrapNone/>
            <wp:docPr id="1599674888"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74888" name="Picture 1" descr="A black and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6750" cy="300292"/>
                    </a:xfrm>
                    <a:prstGeom prst="rect">
                      <a:avLst/>
                    </a:prstGeom>
                  </pic:spPr>
                </pic:pic>
              </a:graphicData>
            </a:graphic>
            <wp14:sizeRelH relativeFrom="margin">
              <wp14:pctWidth>0</wp14:pctWidth>
            </wp14:sizeRelH>
            <wp14:sizeRelV relativeFrom="margin">
              <wp14:pctHeight>0</wp14:pctHeight>
            </wp14:sizeRelV>
          </wp:anchor>
        </w:drawing>
      </w:r>
      <w:r w:rsidR="001350B9" w:rsidRPr="000F6093">
        <w:rPr>
          <w:rFonts w:cstheme="minorHAnsi"/>
          <w:sz w:val="22"/>
          <w:szCs w:val="22"/>
        </w:rPr>
        <w:t>Seizo Onoe</w:t>
      </w:r>
      <w:r w:rsidR="007B6316" w:rsidRPr="000F6093">
        <w:rPr>
          <w:sz w:val="22"/>
          <w:szCs w:val="22"/>
        </w:rPr>
        <w:br/>
      </w:r>
      <w:proofErr w:type="gramStart"/>
      <w:r w:rsidR="007B6316" w:rsidRPr="000F6093">
        <w:rPr>
          <w:sz w:val="22"/>
          <w:szCs w:val="22"/>
        </w:rPr>
        <w:t>Director</w:t>
      </w:r>
      <w:proofErr w:type="gramEnd"/>
      <w:r w:rsidR="007B6316" w:rsidRPr="000F6093">
        <w:rPr>
          <w:sz w:val="22"/>
          <w:szCs w:val="22"/>
        </w:rPr>
        <w:t xml:space="preserve"> de la Oficina de </w:t>
      </w:r>
      <w:r w:rsidR="007B6316" w:rsidRPr="000F6093">
        <w:rPr>
          <w:sz w:val="22"/>
          <w:szCs w:val="22"/>
        </w:rPr>
        <w:br/>
        <w:t>Normalización de las Telecomunicaciones</w:t>
      </w:r>
    </w:p>
    <w:p w14:paraId="2195C181" w14:textId="77777777" w:rsidR="00911593" w:rsidRPr="00D570FF" w:rsidRDefault="00911593" w:rsidP="000F6093">
      <w:pPr>
        <w:keepNext/>
        <w:keepLines/>
        <w:rPr>
          <w:sz w:val="22"/>
          <w:szCs w:val="18"/>
        </w:rPr>
      </w:pPr>
      <w:r w:rsidRPr="00D570FF">
        <w:rPr>
          <w:b/>
          <w:sz w:val="22"/>
        </w:rPr>
        <w:t xml:space="preserve">Anexos: </w:t>
      </w:r>
      <w:r w:rsidRPr="00D570FF">
        <w:rPr>
          <w:sz w:val="22"/>
        </w:rPr>
        <w:t>2</w:t>
      </w:r>
      <w:r w:rsidRPr="00D570FF">
        <w:rPr>
          <w:sz w:val="22"/>
        </w:rPr>
        <w:br w:type="page"/>
      </w:r>
    </w:p>
    <w:p w14:paraId="092D317B" w14:textId="77777777" w:rsidR="00911593" w:rsidRPr="00D570FF" w:rsidRDefault="00911593" w:rsidP="001B4D60">
      <w:pPr>
        <w:pStyle w:val="AnnexNotitle"/>
        <w:rPr>
          <w:rFonts w:cstheme="minorHAnsi"/>
          <w:szCs w:val="22"/>
        </w:rPr>
      </w:pPr>
      <w:r w:rsidRPr="00D570FF">
        <w:lastRenderedPageBreak/>
        <w:t>Anexo 1</w:t>
      </w:r>
      <w:r w:rsidR="001B4D60" w:rsidRPr="00D570FF">
        <w:br/>
      </w:r>
      <w:r w:rsidR="001B4D60" w:rsidRPr="00D570FF">
        <w:br/>
      </w:r>
      <w:r w:rsidRPr="00D570FF">
        <w:t xml:space="preserve">Resumen y ubicación de los proyectos de Recomendaciones determinadas </w:t>
      </w:r>
      <w:r w:rsidR="00474CD9" w:rsidRPr="00D570FF">
        <w:t>UIT</w:t>
      </w:r>
      <w:r w:rsidR="00474CD9" w:rsidRPr="00D570FF">
        <w:noBreakHyphen/>
        <w:t>T </w:t>
      </w:r>
      <w:r w:rsidRPr="00D570FF">
        <w:t xml:space="preserve">F.748.23 (ex F.ML-ICSMIReqs), F.748.24 (ex </w:t>
      </w:r>
      <w:proofErr w:type="gramStart"/>
      <w:r w:rsidRPr="00D570FF">
        <w:t>F.TCEF</w:t>
      </w:r>
      <w:proofErr w:type="gramEnd"/>
      <w:r w:rsidRPr="00D570FF">
        <w:t>-FML), F.7</w:t>
      </w:r>
      <w:r w:rsidR="001B4D60" w:rsidRPr="00D570FF">
        <w:t>49.17 (ex F.CUAV</w:t>
      </w:r>
      <w:r w:rsidR="001B4D60" w:rsidRPr="00D570FF">
        <w:noBreakHyphen/>
      </w:r>
      <w:r w:rsidRPr="00D570FF">
        <w:t>MVAreqs), F.760.2 (ex F.FR-ERSS) y H.741.5 (ex H.IPTV-PS)</w:t>
      </w:r>
    </w:p>
    <w:p w14:paraId="25CFF754" w14:textId="77777777" w:rsidR="00911593" w:rsidRPr="00D570FF" w:rsidRDefault="00911593" w:rsidP="001B4D60">
      <w:pPr>
        <w:pStyle w:val="Heading1"/>
      </w:pPr>
      <w:r w:rsidRPr="00D570FF">
        <w:t>1</w:t>
      </w:r>
      <w:r w:rsidRPr="00D570FF">
        <w:tab/>
      </w:r>
      <w:proofErr w:type="gramStart"/>
      <w:r w:rsidRPr="00D570FF">
        <w:t>Proyecto</w:t>
      </w:r>
      <w:proofErr w:type="gramEnd"/>
      <w:r w:rsidRPr="00D570FF">
        <w:t xml:space="preserve"> de nueva Recomendación UIT-T F.748.23 (ex F.ML-ICSMIReqs) [</w:t>
      </w:r>
      <w:hyperlink r:id="rId14" w:history="1">
        <w:r w:rsidRPr="00D570FF">
          <w:rPr>
            <w:rStyle w:val="Hyperlink"/>
          </w:rPr>
          <w:t>CE16-R13</w:t>
        </w:r>
      </w:hyperlink>
      <w:r w:rsidRPr="00D570FF">
        <w:t>]</w:t>
      </w:r>
    </w:p>
    <w:p w14:paraId="36501B79" w14:textId="77777777" w:rsidR="00911593" w:rsidRPr="00D570FF" w:rsidRDefault="00911593" w:rsidP="007A6541">
      <w:pPr>
        <w:pStyle w:val="headingb"/>
        <w:rPr>
          <w:rFonts w:cstheme="minorHAnsi"/>
          <w:bCs/>
          <w:szCs w:val="22"/>
          <w:highlight w:val="yellow"/>
        </w:rPr>
      </w:pPr>
      <w:r w:rsidRPr="00D570FF">
        <w:t>Requisitos y marco de la interacción inteligente multimedia para la detección de multitudes basada en el aprendizaje profundo</w:t>
      </w:r>
    </w:p>
    <w:p w14:paraId="3A3AAF26" w14:textId="77777777" w:rsidR="00911593" w:rsidRPr="00D570FF" w:rsidRDefault="00911593" w:rsidP="007A6541">
      <w:pPr>
        <w:pStyle w:val="headingb"/>
        <w:rPr>
          <w:rFonts w:cstheme="minorHAnsi"/>
          <w:szCs w:val="22"/>
        </w:rPr>
      </w:pPr>
      <w:r w:rsidRPr="00D570FF">
        <w:t>Resumen</w:t>
      </w:r>
    </w:p>
    <w:p w14:paraId="785E1580" w14:textId="77777777" w:rsidR="00911593" w:rsidRPr="00D570FF" w:rsidRDefault="00911593" w:rsidP="007A6541">
      <w:pPr>
        <w:rPr>
          <w:rFonts w:cstheme="minorHAnsi"/>
          <w:sz w:val="22"/>
          <w:szCs w:val="22"/>
          <w:highlight w:val="yellow"/>
        </w:rPr>
      </w:pPr>
      <w:r w:rsidRPr="00D570FF">
        <w:t>Las técnicas de inteligencia artificial (IA) pueden mejorar enormemente la eficiencia y eficacia de la ejecución de las tareas de detección de multitudes y permitir la interacción inteligente multimedia en la detección de multitudes. En la Recomendación UIT-T F.748.23 se esbozan escenarios específicos de interacción multimedia para la detección de multitudes con técnicas de IA, y posteriormente se definen en detalle los requisitos y el marco correspondientes.</w:t>
      </w:r>
    </w:p>
    <w:p w14:paraId="4C6BC164" w14:textId="77777777" w:rsidR="00911593" w:rsidRPr="00D570FF" w:rsidRDefault="00911593" w:rsidP="007A6541">
      <w:pPr>
        <w:pStyle w:val="Heading1"/>
      </w:pPr>
      <w:r w:rsidRPr="00D570FF">
        <w:t>2</w:t>
      </w:r>
      <w:r w:rsidRPr="00D570FF">
        <w:tab/>
        <w:t xml:space="preserve">Proyecto de nueva Recomendación UIT-T F.748.24 (ex </w:t>
      </w:r>
      <w:proofErr w:type="gramStart"/>
      <w:r w:rsidRPr="00D570FF">
        <w:t>F.TCEF</w:t>
      </w:r>
      <w:proofErr w:type="gramEnd"/>
      <w:r w:rsidRPr="00D570FF">
        <w:t>-FML) [</w:t>
      </w:r>
      <w:hyperlink r:id="rId15" w:history="1">
        <w:r w:rsidRPr="00D570FF">
          <w:rPr>
            <w:rStyle w:val="Hyperlink"/>
          </w:rPr>
          <w:t>SG16-R14</w:t>
        </w:r>
      </w:hyperlink>
      <w:r w:rsidRPr="00D570FF">
        <w:t>]</w:t>
      </w:r>
    </w:p>
    <w:p w14:paraId="5CE6F6C3" w14:textId="77777777" w:rsidR="00911593" w:rsidRPr="00D570FF" w:rsidRDefault="00911593" w:rsidP="007A6541">
      <w:pPr>
        <w:pStyle w:val="Headingb0"/>
        <w:rPr>
          <w:rFonts w:cstheme="minorHAnsi"/>
          <w:bCs/>
          <w:szCs w:val="22"/>
          <w:highlight w:val="yellow"/>
        </w:rPr>
      </w:pPr>
      <w:r w:rsidRPr="00D570FF">
        <w:t>Marco de evaluación de contribuciones de confianza en servicios federados de aprendizaje automático</w:t>
      </w:r>
    </w:p>
    <w:p w14:paraId="23958416" w14:textId="77777777" w:rsidR="00911593" w:rsidRPr="00D570FF" w:rsidRDefault="00911593" w:rsidP="007A6541">
      <w:pPr>
        <w:pStyle w:val="Headingb0"/>
        <w:rPr>
          <w:rFonts w:cstheme="minorHAnsi"/>
          <w:szCs w:val="22"/>
        </w:rPr>
      </w:pPr>
      <w:r w:rsidRPr="00D570FF">
        <w:t>Resumen</w:t>
      </w:r>
    </w:p>
    <w:p w14:paraId="39F91363" w14:textId="77777777" w:rsidR="00911593" w:rsidRPr="00D570FF" w:rsidRDefault="00911593" w:rsidP="007A6541">
      <w:r w:rsidRPr="00D570FF">
        <w:t>El aprendizaje automático federado es un nuevo marco distribuido que permite el aprendizaje automático colaborativo y la construcción de modelos a través de conjuntos de datos distribuidos y descentralizados. El servicio de aprendizaje automático federado tiene características distintivas, como la localización de los datos en el cálculo y la disponibilidad de los datos sin visibilidad. Permite a los participantes entrenar conjuntamente modelos de aprendizaje automático sin compartir datos en bruto, lo que técnicamente puede impedir el aislamiento de los datos y promover la cooperación entre los propietarios de datos.</w:t>
      </w:r>
    </w:p>
    <w:p w14:paraId="23699D2D" w14:textId="77777777" w:rsidR="00911593" w:rsidRPr="00D570FF" w:rsidRDefault="00911593" w:rsidP="007A6541">
      <w:r w:rsidRPr="00D570FF">
        <w:t>El servicio de aprendizaje automático federado involucra a diversos participantes que suelen realizar diferentes contribuciones a las tareas de entrenamiento de modelos de aprendizaje automático, debido a la necesidad de observar sus numerosos factores de impacto. Un mecanismo eficaz y fiable de evaluación de las contribuciones al servicio de aprendizaje automático federado es esencial para aumentar la participación de las partes involucradas y puede promover, además, el desarrollo sostenible de los servicios de aprendizaje automático federado.</w:t>
      </w:r>
    </w:p>
    <w:p w14:paraId="25BF8384" w14:textId="77777777" w:rsidR="00911593" w:rsidRPr="00D570FF" w:rsidRDefault="00911593" w:rsidP="007A6541">
      <w:pPr>
        <w:rPr>
          <w:rFonts w:cstheme="minorHAnsi"/>
          <w:sz w:val="22"/>
          <w:szCs w:val="22"/>
          <w:highlight w:val="yellow"/>
        </w:rPr>
      </w:pPr>
      <w:r w:rsidRPr="00D570FF">
        <w:t>En esta Recomendación se presenta un servicio fiable de evaluación de contribuciones al aprendizaje automático federado, que combina y aprovecha las funcionalidades de este último y de la tecnología de libro mayor distribuido (DLT); se aportan conceptos, características, requisitos y casos de uso pertinentes; y se especifica un marco de referencia y capacidades comunes pertinentes.</w:t>
      </w:r>
    </w:p>
    <w:p w14:paraId="3F253353" w14:textId="77777777" w:rsidR="00911593" w:rsidRPr="00D570FF" w:rsidRDefault="00911593" w:rsidP="007A6541">
      <w:pPr>
        <w:pStyle w:val="Heading1"/>
      </w:pPr>
      <w:r w:rsidRPr="00D570FF">
        <w:lastRenderedPageBreak/>
        <w:t>3</w:t>
      </w:r>
      <w:r w:rsidRPr="00D570FF">
        <w:tab/>
        <w:t xml:space="preserve">Proyecto de nueva Recomendación UIT-T F.749.17 (ex </w:t>
      </w:r>
      <w:proofErr w:type="gramStart"/>
      <w:r w:rsidRPr="00D570FF">
        <w:t>F.CUAV</w:t>
      </w:r>
      <w:proofErr w:type="gramEnd"/>
      <w:r w:rsidRPr="00D570FF">
        <w:t>-MVAreqs) [</w:t>
      </w:r>
      <w:hyperlink r:id="rId16" w:history="1">
        <w:r w:rsidRPr="00D570FF">
          <w:rPr>
            <w:rStyle w:val="Hyperlink"/>
          </w:rPr>
          <w:t>SG16-R15</w:t>
        </w:r>
      </w:hyperlink>
      <w:r w:rsidRPr="00D570FF">
        <w:t>]</w:t>
      </w:r>
    </w:p>
    <w:p w14:paraId="112EBEDD" w14:textId="77777777" w:rsidR="00911593" w:rsidRPr="00D570FF" w:rsidRDefault="00911593" w:rsidP="007A6541">
      <w:pPr>
        <w:pStyle w:val="Headingb0"/>
        <w:rPr>
          <w:rFonts w:cstheme="minorHAnsi"/>
          <w:bCs/>
          <w:szCs w:val="22"/>
          <w:highlight w:val="yellow"/>
        </w:rPr>
      </w:pPr>
      <w:r w:rsidRPr="00D570FF">
        <w:t xml:space="preserve">Requisitos de las aplicaciones para aeronaves no tripuladas </w:t>
      </w:r>
      <w:proofErr w:type="gramStart"/>
      <w:r w:rsidRPr="00D570FF">
        <w:t>civiles basadas</w:t>
      </w:r>
      <w:proofErr w:type="gramEnd"/>
      <w:r w:rsidRPr="00D570FF">
        <w:t xml:space="preserve"> en sistemas de visión artificial</w:t>
      </w:r>
    </w:p>
    <w:p w14:paraId="495CD13E" w14:textId="77777777" w:rsidR="00911593" w:rsidRPr="00D570FF" w:rsidRDefault="00911593" w:rsidP="007A6541">
      <w:pPr>
        <w:pStyle w:val="Headingb0"/>
        <w:rPr>
          <w:rFonts w:cstheme="minorHAnsi"/>
          <w:szCs w:val="22"/>
        </w:rPr>
      </w:pPr>
      <w:r w:rsidRPr="00D570FF">
        <w:t>Resumen</w:t>
      </w:r>
    </w:p>
    <w:p w14:paraId="08D410C4" w14:textId="77777777" w:rsidR="00911593" w:rsidRPr="00D570FF" w:rsidRDefault="00911593" w:rsidP="007A6541">
      <w:r w:rsidRPr="00D570FF">
        <w:t>En esta Recomendación se especifican los requisitos para las aplicaciones y el control de vuelo de las aeronaves no tripuladas civiles (ANTC) basados en sistemas de visión artificial.</w:t>
      </w:r>
    </w:p>
    <w:p w14:paraId="4A93EF7E" w14:textId="77777777" w:rsidR="00911593" w:rsidRPr="00D570FF" w:rsidRDefault="00911593" w:rsidP="007A6541">
      <w:pPr>
        <w:rPr>
          <w:rFonts w:cstheme="minorHAnsi"/>
          <w:sz w:val="22"/>
          <w:szCs w:val="22"/>
          <w:highlight w:val="yellow"/>
        </w:rPr>
      </w:pPr>
      <w:r w:rsidRPr="00D570FF">
        <w:t>Las ANTC se utilizan profusamente en muchos ámbitos, desde la agricultura y la protección de las plantas hasta la inspección de líneas eléctricas y oleoductos y la vigilancia de la seguridad del tráfico. Los sistemas de visión artificial utilizan medios optomecánicos, en vez de la vista humana, para medir y evaluar. La visión artificial aplicada a las ANTC es un tipo de procesamiento de señales destinado a adquirir, tratar e interpretar imágenes o vídeos para su análisis visual en el servicio de aplicaciones y en el control de vuelo de las ANTC, como la inspección y vigilancia automáticas, el guiado de vuelo y la evitación de obstáculos.</w:t>
      </w:r>
    </w:p>
    <w:p w14:paraId="285788C5" w14:textId="77777777" w:rsidR="00911593" w:rsidRPr="00D570FF" w:rsidRDefault="00911593" w:rsidP="007A6541">
      <w:pPr>
        <w:pStyle w:val="Heading1"/>
      </w:pPr>
      <w:r w:rsidRPr="00D570FF">
        <w:t>4</w:t>
      </w:r>
      <w:r w:rsidRPr="00D570FF">
        <w:tab/>
      </w:r>
      <w:proofErr w:type="gramStart"/>
      <w:r w:rsidRPr="00D570FF">
        <w:t>Proyecto</w:t>
      </w:r>
      <w:proofErr w:type="gramEnd"/>
      <w:r w:rsidRPr="00D570FF">
        <w:t xml:space="preserve"> de nueva Recomendación UIT-T F.760.2 (ex F.FR-ERSS) [</w:t>
      </w:r>
      <w:hyperlink r:id="rId17" w:history="1">
        <w:r w:rsidRPr="00D570FF">
          <w:rPr>
            <w:rStyle w:val="Hyperlink"/>
          </w:rPr>
          <w:t>SG16-R16</w:t>
        </w:r>
      </w:hyperlink>
      <w:r w:rsidRPr="00D570FF">
        <w:t>]</w:t>
      </w:r>
    </w:p>
    <w:p w14:paraId="4126B8CB" w14:textId="77777777" w:rsidR="00911593" w:rsidRPr="00D570FF" w:rsidRDefault="00911593" w:rsidP="007A6541">
      <w:pPr>
        <w:pStyle w:val="headingb"/>
        <w:rPr>
          <w:rFonts w:cstheme="minorHAnsi"/>
          <w:bCs/>
          <w:szCs w:val="22"/>
          <w:highlight w:val="yellow"/>
        </w:rPr>
      </w:pPr>
      <w:r w:rsidRPr="00D570FF">
        <w:t>Requisitos de la interfaz de usuario de los equipos de emergencia en los sistemas de soporte de respuesta a emergencias</w:t>
      </w:r>
    </w:p>
    <w:p w14:paraId="058C2BAD" w14:textId="77777777" w:rsidR="00911593" w:rsidRPr="00D570FF" w:rsidRDefault="00911593" w:rsidP="007A6541">
      <w:pPr>
        <w:pStyle w:val="headingb"/>
        <w:rPr>
          <w:rFonts w:cstheme="minorHAnsi"/>
          <w:szCs w:val="22"/>
        </w:rPr>
      </w:pPr>
      <w:r w:rsidRPr="00D570FF">
        <w:t>Resumen</w:t>
      </w:r>
    </w:p>
    <w:p w14:paraId="6D743CD9" w14:textId="77777777" w:rsidR="00911593" w:rsidRPr="00D570FF" w:rsidRDefault="00911593" w:rsidP="007A6541">
      <w:pPr>
        <w:rPr>
          <w:rFonts w:cstheme="minorHAnsi"/>
          <w:sz w:val="22"/>
          <w:szCs w:val="22"/>
          <w:highlight w:val="yellow"/>
        </w:rPr>
      </w:pPr>
      <w:r w:rsidRPr="00D570FF">
        <w:t>En esta Recomendación se establecen los requisitos de la interfaz de usuario para los equipos de emergencia en los sistemas de soporte de respuesta a emergencias, lo que facilita el uso de la información y los dispositivos de apoyo a las actividades de intervención en el lugar de la emergencia. Se identifican los factores humanos en los servicios de respuesta a emergencias y los requisitos de la interfaz de usuario en los sistemas de soporte de respuesta a emergencias, tomando como base las características de las actividades de respuesta a la emergencia. Se señalan los requisitos de la interfaz de usuario para dar soporte a los módulos funcionales y facilitar la utilización de los sistemas de soporte de respuesta a emergencias por el equipo encargado. Al cumplir estos requisitos, los desarrolladores pueden crear interfaces de usuario optimizadas que satisfagan las necesidades y tareas de los equipos de emergencia inmediata, lo que se traducirá en un uso más eficaz y eficiente del sistema.</w:t>
      </w:r>
    </w:p>
    <w:p w14:paraId="1F4F4918" w14:textId="77777777" w:rsidR="00911593" w:rsidRPr="00D570FF" w:rsidRDefault="00911593" w:rsidP="007A6541">
      <w:pPr>
        <w:pStyle w:val="Heading1"/>
      </w:pPr>
      <w:r w:rsidRPr="00D570FF">
        <w:t>5</w:t>
      </w:r>
      <w:r w:rsidRPr="00D570FF">
        <w:tab/>
        <w:t xml:space="preserve">Proyecto de nueva Recomendación UIT-T H.741.5 (ex </w:t>
      </w:r>
      <w:proofErr w:type="gramStart"/>
      <w:r w:rsidRPr="00D570FF">
        <w:t>H.IPTV</w:t>
      </w:r>
      <w:proofErr w:type="gramEnd"/>
      <w:r w:rsidRPr="00D570FF">
        <w:t>-PS) [</w:t>
      </w:r>
      <w:hyperlink r:id="rId18" w:history="1">
        <w:r w:rsidRPr="00D570FF">
          <w:rPr>
            <w:rStyle w:val="Hyperlink"/>
          </w:rPr>
          <w:t>SG16-R17</w:t>
        </w:r>
      </w:hyperlink>
      <w:r w:rsidRPr="00D570FF">
        <w:t>]</w:t>
      </w:r>
    </w:p>
    <w:p w14:paraId="3FB3E5BA" w14:textId="77777777" w:rsidR="00911593" w:rsidRPr="00D570FF" w:rsidRDefault="00911593" w:rsidP="007A6541">
      <w:pPr>
        <w:pStyle w:val="headingb"/>
        <w:rPr>
          <w:rFonts w:cstheme="minorHAnsi"/>
          <w:bCs/>
          <w:szCs w:val="22"/>
          <w:highlight w:val="yellow"/>
        </w:rPr>
      </w:pPr>
      <w:r w:rsidRPr="00D570FF">
        <w:t>Tratamiento de eventos en aplicaciones: aspectos generales de los servicios de TVIP personalizados</w:t>
      </w:r>
    </w:p>
    <w:p w14:paraId="7380D966" w14:textId="77777777" w:rsidR="00911593" w:rsidRPr="00D570FF" w:rsidRDefault="00911593" w:rsidP="007A6541">
      <w:pPr>
        <w:pStyle w:val="headingb"/>
        <w:rPr>
          <w:rFonts w:cstheme="minorHAnsi"/>
          <w:szCs w:val="22"/>
        </w:rPr>
      </w:pPr>
      <w:r w:rsidRPr="00D570FF">
        <w:t>Resumen</w:t>
      </w:r>
    </w:p>
    <w:p w14:paraId="31210D2D" w14:textId="77777777" w:rsidR="00911593" w:rsidRPr="00D570FF" w:rsidRDefault="00911593" w:rsidP="00911593">
      <w:pPr>
        <w:rPr>
          <w:rFonts w:eastAsia="SimSun"/>
        </w:rPr>
      </w:pPr>
      <w:bookmarkStart w:id="4" w:name="_Hlk117541489"/>
      <w:r w:rsidRPr="00D570FF">
        <w:t>Un servicio de televisión por el protocolo Internet (TVIP) personalizado es un ejemplo de tratamiento de eventos en aplicaciones. Con el permiso de los usuarios finales, los proveedores de servicios pueden prestar servicios personalizados como recomendaciones de contenidos, interfaces de usuario personalizadas, anuncios personalizados y algunos servicios interactivos. Las aplicaciones pueden basarse en la arquitectura TVIP existente para ayudar a prestar distintos tipos de servicios TVIP personalizados.</w:t>
      </w:r>
    </w:p>
    <w:p w14:paraId="5C033935" w14:textId="77777777" w:rsidR="00911593" w:rsidRPr="00D570FF" w:rsidRDefault="00911593" w:rsidP="00911593">
      <w:pPr>
        <w:rPr>
          <w:rFonts w:cstheme="minorHAnsi"/>
          <w:sz w:val="22"/>
          <w:szCs w:val="22"/>
          <w:highlight w:val="yellow"/>
        </w:rPr>
      </w:pPr>
      <w:r w:rsidRPr="00D570FF">
        <w:t>En esta Recomendación se estudian los requisitos de los servicios TVIP personalizados y se describen varios casos de uso.</w:t>
      </w:r>
      <w:bookmarkEnd w:id="4"/>
    </w:p>
    <w:p w14:paraId="02B6997F" w14:textId="1035F063" w:rsidR="00911593" w:rsidRPr="00D570FF" w:rsidRDefault="00911593" w:rsidP="007A6541">
      <w:pPr>
        <w:pStyle w:val="AnnexNotitle"/>
        <w:rPr>
          <w:szCs w:val="14"/>
        </w:rPr>
      </w:pPr>
      <w:r w:rsidRPr="00D570FF">
        <w:br w:type="page"/>
      </w:r>
      <w:r w:rsidRPr="00D570FF">
        <w:lastRenderedPageBreak/>
        <w:t>Anexo 2</w:t>
      </w:r>
      <w:r w:rsidRPr="00D570FF">
        <w:br/>
      </w:r>
      <w:r w:rsidRPr="00D570FF">
        <w:br/>
        <w:t xml:space="preserve">Asunto: Respuesta de los Estados Miembros a la </w:t>
      </w:r>
      <w:r w:rsidRPr="00D570FF">
        <w:rPr>
          <w:rFonts w:cstheme="minorHAnsi"/>
        </w:rPr>
        <w:fldChar w:fldCharType="begin"/>
      </w:r>
      <w:r w:rsidRPr="00D570FF">
        <w:rPr>
          <w:rFonts w:cstheme="minorHAnsi"/>
        </w:rPr>
        <w:instrText xml:space="preserve"> styleref Docnumber </w:instrText>
      </w:r>
      <w:r w:rsidRPr="00D570FF">
        <w:rPr>
          <w:rFonts w:cstheme="minorHAnsi"/>
        </w:rPr>
        <w:fldChar w:fldCharType="separate"/>
      </w:r>
      <w:r w:rsidR="00D177AF" w:rsidRPr="00D177AF">
        <w:rPr>
          <w:rFonts w:cstheme="minorHAnsi"/>
          <w:b w:val="0"/>
          <w:bCs/>
          <w:noProof/>
          <w:lang w:val="fr-CH"/>
        </w:rPr>
        <w:t xml:space="preserve">Error! </w:t>
      </w:r>
      <w:r w:rsidR="00D177AF">
        <w:rPr>
          <w:rFonts w:cstheme="minorHAnsi"/>
          <w:b w:val="0"/>
          <w:bCs/>
          <w:noProof/>
          <w:lang w:val="en-US"/>
        </w:rPr>
        <w:t>Use the Home tab to apply Docnumber to the text that you want to appear here.</w:t>
      </w:r>
      <w:r w:rsidRPr="00D570FF">
        <w:rPr>
          <w:rFonts w:cstheme="minorHAnsi"/>
        </w:rPr>
        <w:fldChar w:fldCharType="end"/>
      </w:r>
      <w:r w:rsidRPr="00D570FF">
        <w:t>:</w:t>
      </w:r>
      <w:r w:rsidRPr="00D570FF">
        <w:br/>
        <w:t>Consulta sobre los proyectos de Recomendaciones determinadas UIT-</w:t>
      </w:r>
      <w:r w:rsidR="00EF2636" w:rsidRPr="00D570FF">
        <w:t xml:space="preserve">T F.748.23 (ex F.ML-ICSMIReqs), </w:t>
      </w:r>
      <w:r w:rsidRPr="00D570FF">
        <w:t xml:space="preserve">F.748.24 (ex </w:t>
      </w:r>
      <w:proofErr w:type="gramStart"/>
      <w:r w:rsidRPr="00D570FF">
        <w:t>F.TCEF</w:t>
      </w:r>
      <w:proofErr w:type="gramEnd"/>
      <w:r w:rsidRPr="00D570FF">
        <w:t>-FML), F.749.17 (ex F.CUAV-MVAreqs), F.760.2 (ex F.FR-ERSS) y H.741.5 (ex H.IPTV-PS)</w:t>
      </w:r>
    </w:p>
    <w:tbl>
      <w:tblPr>
        <w:tblW w:w="9957" w:type="dxa"/>
        <w:tblInd w:w="-176" w:type="dxa"/>
        <w:tblLayout w:type="fixed"/>
        <w:tblLook w:val="04A0" w:firstRow="1" w:lastRow="0" w:firstColumn="1" w:lastColumn="0" w:noHBand="0" w:noVBand="1"/>
      </w:tblPr>
      <w:tblGrid>
        <w:gridCol w:w="1005"/>
        <w:gridCol w:w="4558"/>
        <w:gridCol w:w="992"/>
        <w:gridCol w:w="3402"/>
      </w:tblGrid>
      <w:tr w:rsidR="00911593" w:rsidRPr="00D570FF" w14:paraId="581FD927" w14:textId="77777777" w:rsidTr="00837874">
        <w:tc>
          <w:tcPr>
            <w:tcW w:w="1005" w:type="dxa"/>
            <w:shd w:val="clear" w:color="auto" w:fill="auto"/>
          </w:tcPr>
          <w:p w14:paraId="322B5E8D" w14:textId="77777777" w:rsidR="00911593" w:rsidRPr="00D570FF" w:rsidRDefault="00911593" w:rsidP="00837874">
            <w:pPr>
              <w:jc w:val="right"/>
              <w:rPr>
                <w:rFonts w:cstheme="minorHAnsi"/>
                <w:szCs w:val="22"/>
              </w:rPr>
            </w:pPr>
            <w:r w:rsidRPr="00D570FF">
              <w:rPr>
                <w:b/>
              </w:rPr>
              <w:t>Para</w:t>
            </w:r>
            <w:r w:rsidRPr="00D570FF">
              <w:t>:</w:t>
            </w:r>
          </w:p>
        </w:tc>
        <w:tc>
          <w:tcPr>
            <w:tcW w:w="4558" w:type="dxa"/>
            <w:tcBorders>
              <w:right w:val="single" w:sz="8" w:space="0" w:color="auto"/>
            </w:tcBorders>
            <w:shd w:val="clear" w:color="auto" w:fill="auto"/>
          </w:tcPr>
          <w:p w14:paraId="44D710A8" w14:textId="77777777" w:rsidR="00911593" w:rsidRPr="00D570FF" w:rsidRDefault="00911593" w:rsidP="00837874">
            <w:pPr>
              <w:rPr>
                <w:rFonts w:cstheme="minorHAnsi"/>
                <w:szCs w:val="22"/>
              </w:rPr>
            </w:pPr>
            <w:r w:rsidRPr="00D570FF">
              <w:t>Director de la</w:t>
            </w:r>
            <w:r w:rsidRPr="00D570FF">
              <w:br/>
              <w:t>Oficina de Normalización de las Telecomunicaciones,</w:t>
            </w:r>
          </w:p>
          <w:p w14:paraId="09A6C7D0" w14:textId="77777777" w:rsidR="00911593" w:rsidRPr="00D570FF" w:rsidRDefault="00911593" w:rsidP="00837874">
            <w:pPr>
              <w:spacing w:before="0"/>
              <w:rPr>
                <w:rFonts w:cstheme="minorHAnsi"/>
                <w:szCs w:val="22"/>
              </w:rPr>
            </w:pPr>
            <w:r w:rsidRPr="00D570FF">
              <w:t>Unión Internacional de Telecomunicaciones</w:t>
            </w:r>
          </w:p>
          <w:p w14:paraId="5E4C34AD" w14:textId="77777777" w:rsidR="00911593" w:rsidRPr="00D570FF" w:rsidRDefault="00911593" w:rsidP="00837874">
            <w:pPr>
              <w:spacing w:before="0"/>
              <w:rPr>
                <w:rFonts w:cstheme="minorHAnsi"/>
                <w:szCs w:val="22"/>
              </w:rPr>
            </w:pPr>
            <w:r w:rsidRPr="00D570FF">
              <w:t>Place des Nations</w:t>
            </w:r>
          </w:p>
          <w:p w14:paraId="2C8DC0F1" w14:textId="77777777" w:rsidR="00911593" w:rsidRPr="00D570FF" w:rsidRDefault="00911593" w:rsidP="00837874">
            <w:pPr>
              <w:spacing w:before="0"/>
              <w:rPr>
                <w:rFonts w:cstheme="minorHAnsi"/>
                <w:szCs w:val="22"/>
              </w:rPr>
            </w:pPr>
            <w:r w:rsidRPr="00D570FF">
              <w:t>CH 1211 Ginebra 20, Suiza</w:t>
            </w:r>
          </w:p>
        </w:tc>
        <w:tc>
          <w:tcPr>
            <w:tcW w:w="992" w:type="dxa"/>
            <w:tcBorders>
              <w:left w:val="single" w:sz="8" w:space="0" w:color="auto"/>
            </w:tcBorders>
            <w:shd w:val="clear" w:color="auto" w:fill="auto"/>
          </w:tcPr>
          <w:p w14:paraId="552FAD33" w14:textId="77777777" w:rsidR="00911593" w:rsidRPr="00D570FF" w:rsidRDefault="00911593" w:rsidP="00837874">
            <w:pPr>
              <w:jc w:val="right"/>
              <w:rPr>
                <w:rFonts w:cstheme="minorHAnsi"/>
                <w:szCs w:val="22"/>
              </w:rPr>
            </w:pPr>
            <w:r w:rsidRPr="00D570FF">
              <w:rPr>
                <w:b/>
              </w:rPr>
              <w:t>De</w:t>
            </w:r>
            <w:r w:rsidRPr="00D570FF">
              <w:t>:</w:t>
            </w:r>
          </w:p>
        </w:tc>
        <w:tc>
          <w:tcPr>
            <w:tcW w:w="3402" w:type="dxa"/>
            <w:shd w:val="clear" w:color="auto" w:fill="auto"/>
          </w:tcPr>
          <w:p w14:paraId="21145A97" w14:textId="77777777" w:rsidR="00911593" w:rsidRPr="00D570FF" w:rsidRDefault="00911593" w:rsidP="00837874">
            <w:pPr>
              <w:rPr>
                <w:rFonts w:cstheme="minorHAnsi"/>
                <w:szCs w:val="22"/>
                <w:highlight w:val="green"/>
              </w:rPr>
            </w:pPr>
            <w:r w:rsidRPr="00D570FF">
              <w:rPr>
                <w:highlight w:val="green"/>
              </w:rPr>
              <w:t>[Nombre]</w:t>
            </w:r>
          </w:p>
          <w:p w14:paraId="24E41D43" w14:textId="77777777" w:rsidR="00911593" w:rsidRPr="00D570FF" w:rsidRDefault="00911593" w:rsidP="00837874">
            <w:pPr>
              <w:spacing w:before="0"/>
              <w:rPr>
                <w:rFonts w:cstheme="minorHAnsi"/>
                <w:szCs w:val="22"/>
                <w:highlight w:val="green"/>
              </w:rPr>
            </w:pPr>
            <w:r w:rsidRPr="00D570FF">
              <w:rPr>
                <w:highlight w:val="green"/>
              </w:rPr>
              <w:t>[Cargo oficial/Título]</w:t>
            </w:r>
          </w:p>
          <w:p w14:paraId="5E4354FA" w14:textId="77777777" w:rsidR="00911593" w:rsidRPr="00D570FF" w:rsidRDefault="00911593" w:rsidP="00837874">
            <w:pPr>
              <w:spacing w:before="0"/>
              <w:rPr>
                <w:rFonts w:cstheme="minorHAnsi"/>
                <w:szCs w:val="22"/>
              </w:rPr>
            </w:pPr>
            <w:r w:rsidRPr="00D570FF">
              <w:rPr>
                <w:highlight w:val="green"/>
              </w:rPr>
              <w:t>[Dirección]</w:t>
            </w:r>
          </w:p>
        </w:tc>
      </w:tr>
      <w:tr w:rsidR="00911593" w:rsidRPr="00D570FF" w14:paraId="3ED59FD9" w14:textId="77777777" w:rsidTr="00837874">
        <w:tc>
          <w:tcPr>
            <w:tcW w:w="1005" w:type="dxa"/>
            <w:shd w:val="clear" w:color="auto" w:fill="auto"/>
          </w:tcPr>
          <w:p w14:paraId="58DAA14E" w14:textId="77777777" w:rsidR="00911593" w:rsidRPr="00D570FF" w:rsidRDefault="00911593" w:rsidP="00837874">
            <w:pPr>
              <w:spacing w:before="0"/>
              <w:jc w:val="right"/>
              <w:rPr>
                <w:rFonts w:cstheme="minorHAnsi"/>
                <w:szCs w:val="22"/>
              </w:rPr>
            </w:pPr>
            <w:r w:rsidRPr="00D570FF">
              <w:rPr>
                <w:b/>
              </w:rPr>
              <w:t>Fax</w:t>
            </w:r>
            <w:r w:rsidRPr="00D570FF">
              <w:t>:</w:t>
            </w:r>
          </w:p>
        </w:tc>
        <w:tc>
          <w:tcPr>
            <w:tcW w:w="4558" w:type="dxa"/>
            <w:tcBorders>
              <w:right w:val="single" w:sz="8" w:space="0" w:color="auto"/>
            </w:tcBorders>
            <w:shd w:val="clear" w:color="auto" w:fill="auto"/>
          </w:tcPr>
          <w:p w14:paraId="566B1C01" w14:textId="77777777" w:rsidR="00911593" w:rsidRPr="00D570FF" w:rsidRDefault="00911593" w:rsidP="00837874">
            <w:pPr>
              <w:spacing w:before="0"/>
              <w:rPr>
                <w:rFonts w:cstheme="minorHAnsi"/>
                <w:szCs w:val="22"/>
              </w:rPr>
            </w:pPr>
            <w:r w:rsidRPr="00D570FF">
              <w:t>+41-22-730-5853</w:t>
            </w:r>
          </w:p>
        </w:tc>
        <w:tc>
          <w:tcPr>
            <w:tcW w:w="992" w:type="dxa"/>
            <w:tcBorders>
              <w:left w:val="single" w:sz="8" w:space="0" w:color="auto"/>
            </w:tcBorders>
            <w:shd w:val="clear" w:color="auto" w:fill="auto"/>
          </w:tcPr>
          <w:p w14:paraId="661E3711" w14:textId="77777777" w:rsidR="00911593" w:rsidRPr="00D570FF" w:rsidRDefault="00911593" w:rsidP="00837874">
            <w:pPr>
              <w:spacing w:before="0"/>
              <w:jc w:val="right"/>
              <w:rPr>
                <w:rFonts w:cstheme="minorHAnsi"/>
                <w:szCs w:val="22"/>
              </w:rPr>
            </w:pPr>
            <w:r w:rsidRPr="00D570FF">
              <w:rPr>
                <w:b/>
              </w:rPr>
              <w:t>Fax</w:t>
            </w:r>
            <w:r w:rsidRPr="00D570FF">
              <w:t>:</w:t>
            </w:r>
          </w:p>
        </w:tc>
        <w:tc>
          <w:tcPr>
            <w:tcW w:w="3402" w:type="dxa"/>
            <w:shd w:val="clear" w:color="auto" w:fill="auto"/>
          </w:tcPr>
          <w:p w14:paraId="303365D0" w14:textId="77777777" w:rsidR="00911593" w:rsidRPr="00D570FF" w:rsidRDefault="00911593" w:rsidP="00837874">
            <w:pPr>
              <w:spacing w:before="0"/>
              <w:rPr>
                <w:rFonts w:cstheme="minorHAnsi"/>
                <w:szCs w:val="22"/>
              </w:rPr>
            </w:pPr>
          </w:p>
        </w:tc>
      </w:tr>
      <w:tr w:rsidR="00911593" w:rsidRPr="00D570FF" w14:paraId="7BEECB85" w14:textId="77777777" w:rsidTr="00837874">
        <w:tc>
          <w:tcPr>
            <w:tcW w:w="1005" w:type="dxa"/>
            <w:shd w:val="clear" w:color="auto" w:fill="auto"/>
          </w:tcPr>
          <w:p w14:paraId="24622605" w14:textId="77777777" w:rsidR="00911593" w:rsidRPr="00D570FF" w:rsidRDefault="00911593" w:rsidP="00837874">
            <w:pPr>
              <w:spacing w:before="0"/>
              <w:jc w:val="right"/>
              <w:rPr>
                <w:rFonts w:cstheme="minorHAnsi"/>
                <w:szCs w:val="22"/>
              </w:rPr>
            </w:pPr>
            <w:r w:rsidRPr="00D570FF">
              <w:rPr>
                <w:b/>
              </w:rPr>
              <w:t>Correo-e</w:t>
            </w:r>
            <w:r w:rsidRPr="00D570FF">
              <w:t>:</w:t>
            </w:r>
          </w:p>
        </w:tc>
        <w:tc>
          <w:tcPr>
            <w:tcW w:w="4558" w:type="dxa"/>
            <w:tcBorders>
              <w:right w:val="single" w:sz="8" w:space="0" w:color="auto"/>
            </w:tcBorders>
            <w:shd w:val="clear" w:color="auto" w:fill="auto"/>
          </w:tcPr>
          <w:p w14:paraId="64594DA7" w14:textId="77777777" w:rsidR="00911593" w:rsidRPr="00D570FF" w:rsidRDefault="00D177AF" w:rsidP="00837874">
            <w:pPr>
              <w:spacing w:before="0"/>
              <w:rPr>
                <w:rFonts w:cstheme="minorHAnsi"/>
                <w:szCs w:val="22"/>
              </w:rPr>
            </w:pPr>
            <w:hyperlink r:id="rId19" w:history="1">
              <w:r w:rsidR="00911593" w:rsidRPr="00D570FF">
                <w:rPr>
                  <w:rStyle w:val="Hyperlink"/>
                </w:rPr>
                <w:t>tsbdir@itu.int</w:t>
              </w:r>
            </w:hyperlink>
            <w:r w:rsidR="00911593" w:rsidRPr="00D570FF">
              <w:t xml:space="preserve"> </w:t>
            </w:r>
          </w:p>
        </w:tc>
        <w:tc>
          <w:tcPr>
            <w:tcW w:w="992" w:type="dxa"/>
            <w:tcBorders>
              <w:left w:val="single" w:sz="8" w:space="0" w:color="auto"/>
            </w:tcBorders>
            <w:shd w:val="clear" w:color="auto" w:fill="auto"/>
          </w:tcPr>
          <w:p w14:paraId="5104F694" w14:textId="77777777" w:rsidR="00911593" w:rsidRPr="00D570FF" w:rsidRDefault="00911593" w:rsidP="00837874">
            <w:pPr>
              <w:spacing w:before="0"/>
              <w:jc w:val="right"/>
              <w:rPr>
                <w:rFonts w:cstheme="minorHAnsi"/>
                <w:szCs w:val="22"/>
              </w:rPr>
            </w:pPr>
            <w:r w:rsidRPr="00D570FF">
              <w:rPr>
                <w:b/>
              </w:rPr>
              <w:t>Correo-e</w:t>
            </w:r>
            <w:r w:rsidRPr="00D570FF">
              <w:t>:</w:t>
            </w:r>
          </w:p>
        </w:tc>
        <w:tc>
          <w:tcPr>
            <w:tcW w:w="3402" w:type="dxa"/>
            <w:shd w:val="clear" w:color="auto" w:fill="auto"/>
          </w:tcPr>
          <w:p w14:paraId="46746FB8" w14:textId="77777777" w:rsidR="00911593" w:rsidRPr="00D570FF" w:rsidRDefault="00911593" w:rsidP="00837874">
            <w:pPr>
              <w:spacing w:before="0"/>
              <w:rPr>
                <w:rFonts w:cstheme="minorHAnsi"/>
                <w:szCs w:val="22"/>
              </w:rPr>
            </w:pPr>
          </w:p>
        </w:tc>
      </w:tr>
      <w:tr w:rsidR="00911593" w:rsidRPr="00D570FF" w14:paraId="5537393C" w14:textId="77777777" w:rsidTr="00837874">
        <w:tc>
          <w:tcPr>
            <w:tcW w:w="1005" w:type="dxa"/>
            <w:shd w:val="clear" w:color="auto" w:fill="auto"/>
          </w:tcPr>
          <w:p w14:paraId="130299D1" w14:textId="77777777" w:rsidR="00911593" w:rsidRPr="00D570FF" w:rsidRDefault="00911593" w:rsidP="00837874">
            <w:pPr>
              <w:spacing w:before="0"/>
              <w:jc w:val="right"/>
              <w:rPr>
                <w:rFonts w:cstheme="minorHAnsi"/>
                <w:szCs w:val="22"/>
              </w:rPr>
            </w:pPr>
          </w:p>
        </w:tc>
        <w:tc>
          <w:tcPr>
            <w:tcW w:w="4558" w:type="dxa"/>
            <w:tcBorders>
              <w:right w:val="single" w:sz="8" w:space="0" w:color="auto"/>
            </w:tcBorders>
            <w:shd w:val="clear" w:color="auto" w:fill="auto"/>
          </w:tcPr>
          <w:p w14:paraId="65D39B00" w14:textId="77777777" w:rsidR="00911593" w:rsidRPr="00D570FF" w:rsidRDefault="00911593" w:rsidP="00837874">
            <w:pPr>
              <w:spacing w:before="0"/>
              <w:rPr>
                <w:rFonts w:cstheme="minorHAnsi"/>
                <w:szCs w:val="22"/>
              </w:rPr>
            </w:pPr>
          </w:p>
        </w:tc>
        <w:tc>
          <w:tcPr>
            <w:tcW w:w="992" w:type="dxa"/>
            <w:tcBorders>
              <w:left w:val="single" w:sz="8" w:space="0" w:color="auto"/>
            </w:tcBorders>
            <w:shd w:val="clear" w:color="auto" w:fill="auto"/>
          </w:tcPr>
          <w:p w14:paraId="01EE320F" w14:textId="77777777" w:rsidR="00911593" w:rsidRPr="00D570FF" w:rsidRDefault="00911593" w:rsidP="00837874">
            <w:pPr>
              <w:spacing w:before="0"/>
              <w:jc w:val="right"/>
              <w:rPr>
                <w:rFonts w:cstheme="minorHAnsi"/>
                <w:szCs w:val="22"/>
              </w:rPr>
            </w:pPr>
            <w:r w:rsidRPr="00D570FF">
              <w:rPr>
                <w:b/>
              </w:rPr>
              <w:t>Fecha</w:t>
            </w:r>
            <w:r w:rsidRPr="00D570FF">
              <w:t>:</w:t>
            </w:r>
          </w:p>
        </w:tc>
        <w:tc>
          <w:tcPr>
            <w:tcW w:w="3402" w:type="dxa"/>
            <w:shd w:val="clear" w:color="auto" w:fill="auto"/>
          </w:tcPr>
          <w:p w14:paraId="2A0321DF" w14:textId="77777777" w:rsidR="00911593" w:rsidRPr="00D570FF" w:rsidRDefault="00911593" w:rsidP="00837874">
            <w:pPr>
              <w:spacing w:before="0"/>
              <w:rPr>
                <w:rFonts w:cstheme="minorHAnsi"/>
                <w:szCs w:val="22"/>
              </w:rPr>
            </w:pPr>
            <w:r w:rsidRPr="00D570FF">
              <w:rPr>
                <w:highlight w:val="green"/>
              </w:rPr>
              <w:t>[Lugar,] [Fecha]</w:t>
            </w:r>
          </w:p>
        </w:tc>
      </w:tr>
    </w:tbl>
    <w:p w14:paraId="429B9FBE" w14:textId="77777777" w:rsidR="00911593" w:rsidRPr="00D570FF" w:rsidRDefault="00911593" w:rsidP="007A6541">
      <w:pPr>
        <w:rPr>
          <w:rFonts w:cstheme="minorHAnsi"/>
          <w:szCs w:val="22"/>
        </w:rPr>
      </w:pPr>
      <w:r w:rsidRPr="00D570FF">
        <w:t>Muy Señora mía/muy Señor mío:</w:t>
      </w:r>
    </w:p>
    <w:p w14:paraId="674C19E8" w14:textId="44A1D271" w:rsidR="00911593" w:rsidRPr="00D570FF" w:rsidRDefault="00911593" w:rsidP="007A6541">
      <w:pPr>
        <w:spacing w:after="120"/>
        <w:rPr>
          <w:rFonts w:cstheme="minorHAnsi"/>
          <w:szCs w:val="22"/>
        </w:rPr>
      </w:pPr>
      <w:r w:rsidRPr="00D570FF">
        <w:t xml:space="preserve">En relación con la consulta a los Estados Miembros sobre los proyectos de texto determinado que se enumeran en la </w:t>
      </w:r>
      <w:r w:rsidRPr="00D570FF">
        <w:rPr>
          <w:rFonts w:cstheme="minorHAnsi"/>
        </w:rPr>
        <w:fldChar w:fldCharType="begin"/>
      </w:r>
      <w:r w:rsidRPr="00D570FF">
        <w:rPr>
          <w:rFonts w:cstheme="minorHAnsi"/>
        </w:rPr>
        <w:instrText xml:space="preserve"> styleref Docnumber </w:instrText>
      </w:r>
      <w:r w:rsidRPr="00D570FF">
        <w:rPr>
          <w:rFonts w:cstheme="minorHAnsi"/>
        </w:rPr>
        <w:fldChar w:fldCharType="separate"/>
      </w:r>
      <w:r w:rsidR="00D177AF" w:rsidRPr="00D177AF">
        <w:rPr>
          <w:rFonts w:cstheme="minorHAnsi"/>
          <w:b/>
          <w:bCs/>
          <w:noProof/>
          <w:lang w:val="fr-CH"/>
        </w:rPr>
        <w:t xml:space="preserve">Error! </w:t>
      </w:r>
      <w:r w:rsidR="00D177AF">
        <w:rPr>
          <w:rFonts w:cstheme="minorHAnsi"/>
          <w:b/>
          <w:bCs/>
          <w:noProof/>
          <w:lang w:val="en-US"/>
        </w:rPr>
        <w:t>Use the Home tab to apply Docnumber to the text that you want to appear here.</w:t>
      </w:r>
      <w:r w:rsidRPr="00D570FF">
        <w:rPr>
          <w:rFonts w:cstheme="minorHAnsi"/>
        </w:rPr>
        <w:fldChar w:fldCharType="end"/>
      </w:r>
      <w:r w:rsidRPr="00D570FF">
        <w:t>, quisiera comunicarle la opinión de esta Administración, que se presenta en el siguiente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231"/>
      </w:tblGrid>
      <w:tr w:rsidR="00911593" w:rsidRPr="00D570FF" w14:paraId="5EFE3BF0" w14:textId="77777777" w:rsidTr="00837874">
        <w:trPr>
          <w:tblHeader/>
        </w:trPr>
        <w:tc>
          <w:tcPr>
            <w:tcW w:w="2263" w:type="dxa"/>
            <w:shd w:val="clear" w:color="auto" w:fill="auto"/>
            <w:vAlign w:val="center"/>
          </w:tcPr>
          <w:p w14:paraId="6D8AC9F9" w14:textId="77777777" w:rsidR="00911593" w:rsidRPr="00D570FF" w:rsidRDefault="00911593" w:rsidP="00837874">
            <w:pPr>
              <w:spacing w:after="120"/>
              <w:jc w:val="center"/>
              <w:rPr>
                <w:rFonts w:cstheme="minorHAnsi"/>
                <w:b/>
                <w:bCs/>
                <w:szCs w:val="22"/>
              </w:rPr>
            </w:pPr>
          </w:p>
        </w:tc>
        <w:tc>
          <w:tcPr>
            <w:tcW w:w="7456" w:type="dxa"/>
            <w:shd w:val="clear" w:color="auto" w:fill="auto"/>
            <w:vAlign w:val="center"/>
          </w:tcPr>
          <w:p w14:paraId="0073367E" w14:textId="77777777" w:rsidR="00911593" w:rsidRPr="00D570FF" w:rsidRDefault="00911593" w:rsidP="00837874">
            <w:pPr>
              <w:tabs>
                <w:tab w:val="clear" w:pos="794"/>
                <w:tab w:val="clear" w:pos="1191"/>
                <w:tab w:val="clear" w:pos="1588"/>
                <w:tab w:val="clear" w:pos="1985"/>
              </w:tabs>
              <w:spacing w:after="120"/>
              <w:ind w:left="939" w:hanging="459"/>
              <w:jc w:val="center"/>
              <w:rPr>
                <w:rFonts w:cstheme="minorHAnsi"/>
                <w:b/>
                <w:bCs/>
                <w:szCs w:val="22"/>
              </w:rPr>
            </w:pPr>
            <w:r w:rsidRPr="00D570FF">
              <w:rPr>
                <w:b/>
              </w:rPr>
              <w:t>Seleccione una de las dos casillas para cada texto</w:t>
            </w:r>
          </w:p>
        </w:tc>
      </w:tr>
      <w:tr w:rsidR="00911593" w:rsidRPr="00D570FF" w14:paraId="58C6A76D" w14:textId="77777777" w:rsidTr="00837874">
        <w:trPr>
          <w:trHeight w:val="748"/>
        </w:trPr>
        <w:tc>
          <w:tcPr>
            <w:tcW w:w="2263" w:type="dxa"/>
            <w:vMerge w:val="restart"/>
            <w:shd w:val="clear" w:color="auto" w:fill="auto"/>
            <w:vAlign w:val="center"/>
          </w:tcPr>
          <w:p w14:paraId="5A4E60EC" w14:textId="77777777" w:rsidR="00911593" w:rsidRPr="00D570FF" w:rsidRDefault="00911593" w:rsidP="00837874">
            <w:pPr>
              <w:spacing w:before="60" w:after="60"/>
              <w:jc w:val="center"/>
              <w:rPr>
                <w:rFonts w:cstheme="minorHAnsi"/>
                <w:b/>
                <w:bCs/>
                <w:szCs w:val="22"/>
              </w:rPr>
            </w:pPr>
            <w:r w:rsidRPr="00D570FF">
              <w:rPr>
                <w:b/>
              </w:rPr>
              <w:t>Proyecto de nueva Recome</w:t>
            </w:r>
            <w:r w:rsidR="00EF2636" w:rsidRPr="00D570FF">
              <w:rPr>
                <w:b/>
              </w:rPr>
              <w:t>ndación UIT-T F.748.23</w:t>
            </w:r>
            <w:r w:rsidR="00EF2636" w:rsidRPr="00D570FF">
              <w:rPr>
                <w:b/>
              </w:rPr>
              <w:br/>
              <w:t>(ex F.ML</w:t>
            </w:r>
            <w:r w:rsidR="00EF2636" w:rsidRPr="00D570FF">
              <w:rPr>
                <w:b/>
              </w:rPr>
              <w:noBreakHyphen/>
            </w:r>
            <w:r w:rsidRPr="00D570FF">
              <w:rPr>
                <w:b/>
              </w:rPr>
              <w:t>ICSMIReqs)</w:t>
            </w:r>
          </w:p>
        </w:tc>
        <w:tc>
          <w:tcPr>
            <w:tcW w:w="7456" w:type="dxa"/>
            <w:shd w:val="clear" w:color="auto" w:fill="auto"/>
            <w:vAlign w:val="center"/>
          </w:tcPr>
          <w:p w14:paraId="0BE910E9" w14:textId="77777777" w:rsidR="00911593" w:rsidRPr="00D570FF" w:rsidRDefault="00911593" w:rsidP="00837874">
            <w:pPr>
              <w:tabs>
                <w:tab w:val="clear" w:pos="794"/>
                <w:tab w:val="clear" w:pos="1191"/>
                <w:tab w:val="clear" w:pos="1588"/>
                <w:tab w:val="clear" w:pos="1985"/>
              </w:tabs>
              <w:spacing w:before="60" w:after="60"/>
              <w:ind w:left="45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r>
            <w:r w:rsidRPr="00D570FF">
              <w:rPr>
                <w:b/>
              </w:rPr>
              <w:t xml:space="preserve">Otorga autoridad </w:t>
            </w:r>
            <w:r w:rsidRPr="00D570FF">
              <w:t>a la Comisión de Estudio 16 para examinar este texto para aprobación (en cuyo caso, seleccione una de las dos opciones):</w:t>
            </w:r>
          </w:p>
          <w:p w14:paraId="073A5F97" w14:textId="77777777" w:rsidR="00911593" w:rsidRPr="00D570FF" w:rsidRDefault="00911593" w:rsidP="00837874">
            <w:pPr>
              <w:tabs>
                <w:tab w:val="clear" w:pos="794"/>
                <w:tab w:val="clear" w:pos="1191"/>
                <w:tab w:val="clear" w:pos="1588"/>
                <w:tab w:val="clear" w:pos="1985"/>
              </w:tabs>
              <w:spacing w:before="60" w:after="60"/>
              <w:ind w:left="93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t>Sin comentarios o cambios sugeridos</w:t>
            </w:r>
          </w:p>
          <w:p w14:paraId="6571C605" w14:textId="77777777" w:rsidR="00911593" w:rsidRPr="00D570FF" w:rsidRDefault="00911593" w:rsidP="00837874">
            <w:pPr>
              <w:tabs>
                <w:tab w:val="clear" w:pos="794"/>
                <w:tab w:val="clear" w:pos="1191"/>
                <w:tab w:val="clear" w:pos="1588"/>
                <w:tab w:val="clear" w:pos="1985"/>
              </w:tabs>
              <w:spacing w:before="60" w:after="60"/>
              <w:ind w:left="93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t>Se adjuntan los comentarios o cambios sugeridos</w:t>
            </w:r>
          </w:p>
        </w:tc>
      </w:tr>
      <w:tr w:rsidR="00911593" w:rsidRPr="00D570FF" w14:paraId="51E5F7DB" w14:textId="77777777" w:rsidTr="00837874">
        <w:trPr>
          <w:trHeight w:val="747"/>
        </w:trPr>
        <w:tc>
          <w:tcPr>
            <w:tcW w:w="2263" w:type="dxa"/>
            <w:vMerge/>
            <w:shd w:val="clear" w:color="auto" w:fill="auto"/>
            <w:vAlign w:val="center"/>
          </w:tcPr>
          <w:p w14:paraId="5811D2DE" w14:textId="77777777" w:rsidR="00911593" w:rsidRPr="00D570FF" w:rsidRDefault="00911593" w:rsidP="00837874">
            <w:pPr>
              <w:spacing w:before="60" w:after="60"/>
              <w:jc w:val="center"/>
              <w:rPr>
                <w:rFonts w:cstheme="minorHAnsi"/>
                <w:b/>
                <w:bCs/>
                <w:szCs w:val="22"/>
              </w:rPr>
            </w:pPr>
          </w:p>
        </w:tc>
        <w:tc>
          <w:tcPr>
            <w:tcW w:w="7456" w:type="dxa"/>
            <w:shd w:val="clear" w:color="auto" w:fill="auto"/>
            <w:vAlign w:val="center"/>
          </w:tcPr>
          <w:p w14:paraId="3ED3796C" w14:textId="77777777" w:rsidR="00911593" w:rsidRPr="00D570FF" w:rsidRDefault="00911593" w:rsidP="00837874">
            <w:pPr>
              <w:tabs>
                <w:tab w:val="clear" w:pos="794"/>
                <w:tab w:val="clear" w:pos="1191"/>
                <w:tab w:val="clear" w:pos="1588"/>
                <w:tab w:val="clear" w:pos="1985"/>
                <w:tab w:val="left" w:pos="250"/>
              </w:tabs>
              <w:spacing w:before="60" w:after="60"/>
              <w:ind w:left="45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r>
            <w:r w:rsidRPr="00D570FF">
              <w:rPr>
                <w:b/>
              </w:rPr>
              <w:t>No otorga autoridad</w:t>
            </w:r>
            <w:r w:rsidRPr="00D570FF">
              <w:t xml:space="preserve"> a la Comisión de Estudio 20 para examinar este texto para aprobación (se adjuntan los motivos en que se fundamenta esta opinión y las posibles modificaciones que permitirían que prosiguieran los trabajos)</w:t>
            </w:r>
          </w:p>
        </w:tc>
      </w:tr>
      <w:tr w:rsidR="00911593" w:rsidRPr="00D570FF" w14:paraId="7D2D4323" w14:textId="77777777" w:rsidTr="00837874">
        <w:trPr>
          <w:trHeight w:val="748"/>
        </w:trPr>
        <w:tc>
          <w:tcPr>
            <w:tcW w:w="2263" w:type="dxa"/>
            <w:vMerge w:val="restart"/>
            <w:shd w:val="clear" w:color="auto" w:fill="auto"/>
            <w:vAlign w:val="center"/>
          </w:tcPr>
          <w:p w14:paraId="7E625B4E" w14:textId="77777777" w:rsidR="00911593" w:rsidRPr="00D570FF" w:rsidRDefault="00911593" w:rsidP="00837874">
            <w:pPr>
              <w:spacing w:before="60" w:after="60"/>
              <w:jc w:val="center"/>
              <w:rPr>
                <w:rFonts w:cstheme="minorHAnsi"/>
                <w:b/>
                <w:bCs/>
                <w:szCs w:val="22"/>
              </w:rPr>
            </w:pPr>
            <w:r w:rsidRPr="00D570FF">
              <w:rPr>
                <w:b/>
              </w:rPr>
              <w:t>Proyecto de nueva Recomendación UIT-T F.748.24</w:t>
            </w:r>
            <w:r w:rsidRPr="00D570FF">
              <w:rPr>
                <w:b/>
              </w:rPr>
              <w:br/>
              <w:t xml:space="preserve">(ex </w:t>
            </w:r>
            <w:proofErr w:type="gramStart"/>
            <w:r w:rsidRPr="00D570FF">
              <w:rPr>
                <w:b/>
              </w:rPr>
              <w:t>F.TCEF</w:t>
            </w:r>
            <w:proofErr w:type="gramEnd"/>
            <w:r w:rsidRPr="00D570FF">
              <w:rPr>
                <w:b/>
              </w:rPr>
              <w:t>-FML)</w:t>
            </w:r>
          </w:p>
        </w:tc>
        <w:tc>
          <w:tcPr>
            <w:tcW w:w="7456" w:type="dxa"/>
            <w:shd w:val="clear" w:color="auto" w:fill="auto"/>
            <w:vAlign w:val="center"/>
          </w:tcPr>
          <w:p w14:paraId="1E55BBDF" w14:textId="77777777" w:rsidR="00911593" w:rsidRPr="00D570FF" w:rsidRDefault="00911593" w:rsidP="00837874">
            <w:pPr>
              <w:tabs>
                <w:tab w:val="clear" w:pos="794"/>
                <w:tab w:val="clear" w:pos="1191"/>
                <w:tab w:val="clear" w:pos="1588"/>
                <w:tab w:val="clear" w:pos="1985"/>
              </w:tabs>
              <w:spacing w:before="60" w:after="60"/>
              <w:ind w:left="45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r>
            <w:r w:rsidRPr="00D570FF">
              <w:rPr>
                <w:b/>
              </w:rPr>
              <w:t xml:space="preserve">Otorga autoridad </w:t>
            </w:r>
            <w:r w:rsidRPr="00D570FF">
              <w:t>a la Comisión de Estudio 16 para examinar este texto para aprobación (en cuyo caso, seleccione una de las dos opciones):</w:t>
            </w:r>
          </w:p>
          <w:p w14:paraId="5A15094A" w14:textId="77777777" w:rsidR="00911593" w:rsidRPr="00D570FF" w:rsidRDefault="00911593" w:rsidP="00837874">
            <w:pPr>
              <w:tabs>
                <w:tab w:val="clear" w:pos="794"/>
                <w:tab w:val="clear" w:pos="1191"/>
                <w:tab w:val="clear" w:pos="1588"/>
                <w:tab w:val="clear" w:pos="1985"/>
              </w:tabs>
              <w:spacing w:before="60" w:after="60"/>
              <w:ind w:left="93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t>Sin comentarios o cambios sugeridos</w:t>
            </w:r>
          </w:p>
          <w:p w14:paraId="74124D52" w14:textId="77777777" w:rsidR="00911593" w:rsidRPr="00D570FF" w:rsidRDefault="00911593" w:rsidP="00837874">
            <w:pPr>
              <w:tabs>
                <w:tab w:val="clear" w:pos="794"/>
                <w:tab w:val="clear" w:pos="1191"/>
                <w:tab w:val="clear" w:pos="1588"/>
                <w:tab w:val="clear" w:pos="1985"/>
              </w:tabs>
              <w:spacing w:before="60" w:after="60"/>
              <w:ind w:left="93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t>Se adjuntan los comentarios o cambios sugeridos</w:t>
            </w:r>
          </w:p>
        </w:tc>
      </w:tr>
      <w:tr w:rsidR="00911593" w:rsidRPr="00D570FF" w14:paraId="38A1E4BB" w14:textId="77777777" w:rsidTr="00837874">
        <w:trPr>
          <w:trHeight w:val="747"/>
        </w:trPr>
        <w:tc>
          <w:tcPr>
            <w:tcW w:w="2263" w:type="dxa"/>
            <w:vMerge/>
            <w:shd w:val="clear" w:color="auto" w:fill="auto"/>
            <w:vAlign w:val="center"/>
          </w:tcPr>
          <w:p w14:paraId="4C759BC3" w14:textId="77777777" w:rsidR="00911593" w:rsidRPr="00D570FF" w:rsidRDefault="00911593" w:rsidP="00837874">
            <w:pPr>
              <w:spacing w:before="60" w:after="60"/>
              <w:jc w:val="center"/>
              <w:rPr>
                <w:rFonts w:cstheme="minorHAnsi"/>
                <w:b/>
                <w:bCs/>
                <w:szCs w:val="22"/>
              </w:rPr>
            </w:pPr>
          </w:p>
        </w:tc>
        <w:tc>
          <w:tcPr>
            <w:tcW w:w="7456" w:type="dxa"/>
            <w:shd w:val="clear" w:color="auto" w:fill="auto"/>
            <w:vAlign w:val="center"/>
          </w:tcPr>
          <w:p w14:paraId="56E56008" w14:textId="77777777" w:rsidR="00911593" w:rsidRPr="00D570FF" w:rsidRDefault="00911593" w:rsidP="00837874">
            <w:pPr>
              <w:tabs>
                <w:tab w:val="clear" w:pos="794"/>
                <w:tab w:val="clear" w:pos="1191"/>
                <w:tab w:val="clear" w:pos="1588"/>
                <w:tab w:val="clear" w:pos="1985"/>
                <w:tab w:val="left" w:pos="250"/>
              </w:tabs>
              <w:spacing w:before="60" w:after="60"/>
              <w:ind w:left="45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r>
            <w:r w:rsidRPr="00D570FF">
              <w:rPr>
                <w:b/>
              </w:rPr>
              <w:t>No otorga autoridad</w:t>
            </w:r>
            <w:r w:rsidRPr="00D570FF">
              <w:t xml:space="preserve"> a la Comisión de Estudio 20 para examinar este texto para aprobación (se adjuntan los motivos en que se fundamenta esta opinión y las posibles modificaciones que permitirían que prosiguieran los trabajos)</w:t>
            </w:r>
          </w:p>
        </w:tc>
      </w:tr>
      <w:tr w:rsidR="00911593" w:rsidRPr="00D570FF" w14:paraId="5B346ED7" w14:textId="77777777" w:rsidTr="00837874">
        <w:trPr>
          <w:trHeight w:val="748"/>
        </w:trPr>
        <w:tc>
          <w:tcPr>
            <w:tcW w:w="2263" w:type="dxa"/>
            <w:vMerge w:val="restart"/>
            <w:shd w:val="clear" w:color="auto" w:fill="auto"/>
            <w:vAlign w:val="center"/>
          </w:tcPr>
          <w:p w14:paraId="35D09AE6" w14:textId="77777777" w:rsidR="00911593" w:rsidRPr="00D570FF" w:rsidRDefault="00911593" w:rsidP="005108DC">
            <w:pPr>
              <w:keepNext/>
              <w:keepLines/>
              <w:spacing w:before="60" w:after="60"/>
              <w:jc w:val="center"/>
              <w:rPr>
                <w:rFonts w:cstheme="minorHAnsi"/>
                <w:b/>
                <w:bCs/>
                <w:szCs w:val="22"/>
              </w:rPr>
            </w:pPr>
            <w:r w:rsidRPr="00D570FF">
              <w:rPr>
                <w:b/>
              </w:rPr>
              <w:lastRenderedPageBreak/>
              <w:t>Proyecto de nueva Recomendación UIT-T F.749.17</w:t>
            </w:r>
            <w:r w:rsidRPr="00D570FF">
              <w:rPr>
                <w:b/>
              </w:rPr>
              <w:br/>
            </w:r>
            <w:r w:rsidR="005108DC" w:rsidRPr="00D570FF">
              <w:rPr>
                <w:b/>
              </w:rPr>
              <w:t>(ex </w:t>
            </w:r>
            <w:proofErr w:type="gramStart"/>
            <w:r w:rsidR="005108DC" w:rsidRPr="00D570FF">
              <w:rPr>
                <w:b/>
              </w:rPr>
              <w:t>F.CUAV</w:t>
            </w:r>
            <w:proofErr w:type="gramEnd"/>
            <w:r w:rsidR="005108DC" w:rsidRPr="00D570FF">
              <w:rPr>
                <w:b/>
              </w:rPr>
              <w:noBreakHyphen/>
            </w:r>
            <w:r w:rsidRPr="00D570FF">
              <w:rPr>
                <w:b/>
              </w:rPr>
              <w:t>MVAreqs)</w:t>
            </w:r>
          </w:p>
        </w:tc>
        <w:tc>
          <w:tcPr>
            <w:tcW w:w="7456" w:type="dxa"/>
            <w:shd w:val="clear" w:color="auto" w:fill="auto"/>
            <w:vAlign w:val="center"/>
          </w:tcPr>
          <w:p w14:paraId="1ED32F8A" w14:textId="77777777" w:rsidR="00911593" w:rsidRPr="00D570FF" w:rsidRDefault="00911593" w:rsidP="005108DC">
            <w:pPr>
              <w:keepNext/>
              <w:keepLines/>
              <w:tabs>
                <w:tab w:val="clear" w:pos="794"/>
                <w:tab w:val="clear" w:pos="1191"/>
                <w:tab w:val="clear" w:pos="1588"/>
                <w:tab w:val="clear" w:pos="1985"/>
              </w:tabs>
              <w:spacing w:before="60" w:after="60"/>
              <w:ind w:left="45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r>
            <w:r w:rsidRPr="00D570FF">
              <w:rPr>
                <w:b/>
              </w:rPr>
              <w:t xml:space="preserve">Otorga autoridad </w:t>
            </w:r>
            <w:r w:rsidRPr="00D570FF">
              <w:t>a la Comisión de Estudio 16 para examinar este texto para aprobación (en cuyo caso, seleccione una de las dos opciones):</w:t>
            </w:r>
          </w:p>
          <w:p w14:paraId="26D38DA3" w14:textId="77777777" w:rsidR="00911593" w:rsidRPr="00D570FF" w:rsidRDefault="00911593" w:rsidP="005108DC">
            <w:pPr>
              <w:keepNext/>
              <w:keepLines/>
              <w:tabs>
                <w:tab w:val="clear" w:pos="794"/>
                <w:tab w:val="clear" w:pos="1191"/>
                <w:tab w:val="clear" w:pos="1588"/>
                <w:tab w:val="clear" w:pos="1985"/>
              </w:tabs>
              <w:spacing w:before="60" w:after="60"/>
              <w:ind w:left="93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t>Sin comentarios o cambios sugeridos</w:t>
            </w:r>
          </w:p>
          <w:p w14:paraId="1CED6B27" w14:textId="77777777" w:rsidR="00911593" w:rsidRPr="00D570FF" w:rsidRDefault="00911593" w:rsidP="005108DC">
            <w:pPr>
              <w:keepNext/>
              <w:keepLines/>
              <w:tabs>
                <w:tab w:val="clear" w:pos="794"/>
                <w:tab w:val="clear" w:pos="1191"/>
                <w:tab w:val="clear" w:pos="1588"/>
                <w:tab w:val="clear" w:pos="1985"/>
              </w:tabs>
              <w:spacing w:before="60" w:after="60"/>
              <w:ind w:left="93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t>Se adjuntan los comentarios o cambios sugeridos</w:t>
            </w:r>
          </w:p>
        </w:tc>
      </w:tr>
      <w:tr w:rsidR="00911593" w:rsidRPr="00D570FF" w14:paraId="6C34C42D" w14:textId="77777777" w:rsidTr="00837874">
        <w:trPr>
          <w:trHeight w:val="747"/>
        </w:trPr>
        <w:tc>
          <w:tcPr>
            <w:tcW w:w="2263" w:type="dxa"/>
            <w:vMerge/>
            <w:shd w:val="clear" w:color="auto" w:fill="auto"/>
            <w:vAlign w:val="center"/>
          </w:tcPr>
          <w:p w14:paraId="058D0660" w14:textId="77777777" w:rsidR="00911593" w:rsidRPr="00D570FF" w:rsidRDefault="00911593" w:rsidP="00837874">
            <w:pPr>
              <w:spacing w:before="60" w:after="60"/>
              <w:jc w:val="center"/>
              <w:rPr>
                <w:rFonts w:cstheme="minorHAnsi"/>
                <w:b/>
                <w:bCs/>
                <w:szCs w:val="22"/>
              </w:rPr>
            </w:pPr>
          </w:p>
        </w:tc>
        <w:tc>
          <w:tcPr>
            <w:tcW w:w="7456" w:type="dxa"/>
            <w:shd w:val="clear" w:color="auto" w:fill="auto"/>
            <w:vAlign w:val="center"/>
          </w:tcPr>
          <w:p w14:paraId="0E3A434E" w14:textId="77777777" w:rsidR="00911593" w:rsidRPr="00D570FF" w:rsidRDefault="00911593" w:rsidP="00837874">
            <w:pPr>
              <w:tabs>
                <w:tab w:val="clear" w:pos="794"/>
                <w:tab w:val="clear" w:pos="1191"/>
                <w:tab w:val="clear" w:pos="1588"/>
                <w:tab w:val="clear" w:pos="1985"/>
                <w:tab w:val="left" w:pos="250"/>
              </w:tabs>
              <w:spacing w:before="60" w:after="60"/>
              <w:ind w:left="45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r>
            <w:r w:rsidRPr="00D570FF">
              <w:rPr>
                <w:b/>
              </w:rPr>
              <w:t>No otorga autoridad</w:t>
            </w:r>
            <w:r w:rsidRPr="00D570FF">
              <w:t xml:space="preserve"> a la Comisión de Estudio 20 para examinar este texto para aprobación (se adjuntan los motivos en que se fundamenta esta opinión y las posibles modificaciones que permitirían que prosiguieran los trabajos)</w:t>
            </w:r>
          </w:p>
        </w:tc>
      </w:tr>
      <w:tr w:rsidR="00911593" w:rsidRPr="00D570FF" w14:paraId="69F8BA13" w14:textId="77777777" w:rsidTr="00837874">
        <w:trPr>
          <w:trHeight w:val="748"/>
        </w:trPr>
        <w:tc>
          <w:tcPr>
            <w:tcW w:w="2263" w:type="dxa"/>
            <w:vMerge w:val="restart"/>
            <w:shd w:val="clear" w:color="auto" w:fill="auto"/>
            <w:vAlign w:val="center"/>
          </w:tcPr>
          <w:p w14:paraId="3F56DF12" w14:textId="77777777" w:rsidR="00911593" w:rsidRPr="00D570FF" w:rsidRDefault="00911593" w:rsidP="00837874">
            <w:pPr>
              <w:keepNext/>
              <w:spacing w:before="60" w:after="60"/>
              <w:jc w:val="center"/>
              <w:rPr>
                <w:rFonts w:cstheme="minorHAnsi"/>
                <w:b/>
                <w:bCs/>
                <w:szCs w:val="22"/>
              </w:rPr>
            </w:pPr>
            <w:r w:rsidRPr="00D570FF">
              <w:rPr>
                <w:b/>
              </w:rPr>
              <w:t>Proyecto de nueva Recomendación UIT-T F.760.2</w:t>
            </w:r>
            <w:r w:rsidRPr="00D570FF">
              <w:rPr>
                <w:b/>
              </w:rPr>
              <w:br/>
              <w:t>(ex F.FR-ERSS)</w:t>
            </w:r>
          </w:p>
        </w:tc>
        <w:tc>
          <w:tcPr>
            <w:tcW w:w="7456" w:type="dxa"/>
            <w:shd w:val="clear" w:color="auto" w:fill="auto"/>
            <w:vAlign w:val="center"/>
          </w:tcPr>
          <w:p w14:paraId="02B87E99" w14:textId="77777777" w:rsidR="00911593" w:rsidRPr="00D570FF" w:rsidRDefault="00911593" w:rsidP="00837874">
            <w:pPr>
              <w:keepNext/>
              <w:tabs>
                <w:tab w:val="clear" w:pos="794"/>
                <w:tab w:val="clear" w:pos="1191"/>
                <w:tab w:val="clear" w:pos="1588"/>
                <w:tab w:val="clear" w:pos="1985"/>
              </w:tabs>
              <w:spacing w:before="60" w:after="60"/>
              <w:ind w:left="45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r>
            <w:r w:rsidRPr="00D570FF">
              <w:rPr>
                <w:b/>
              </w:rPr>
              <w:t xml:space="preserve">Otorga autoridad </w:t>
            </w:r>
            <w:r w:rsidRPr="00D570FF">
              <w:t>a la Comisión de Estudio 16 para examinar este texto para aprobación (en cuyo caso, seleccione una de las dos opciones):</w:t>
            </w:r>
          </w:p>
          <w:p w14:paraId="7ADD6AE0" w14:textId="77777777" w:rsidR="00911593" w:rsidRPr="00D570FF" w:rsidRDefault="00911593" w:rsidP="00837874">
            <w:pPr>
              <w:keepNext/>
              <w:tabs>
                <w:tab w:val="clear" w:pos="794"/>
                <w:tab w:val="clear" w:pos="1191"/>
                <w:tab w:val="clear" w:pos="1588"/>
                <w:tab w:val="clear" w:pos="1985"/>
              </w:tabs>
              <w:spacing w:before="60" w:after="60"/>
              <w:ind w:left="93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t>Sin comentarios o cambios sugeridos</w:t>
            </w:r>
          </w:p>
          <w:p w14:paraId="1B5A1588" w14:textId="77777777" w:rsidR="00911593" w:rsidRPr="00D570FF" w:rsidRDefault="00911593" w:rsidP="00837874">
            <w:pPr>
              <w:keepNext/>
              <w:tabs>
                <w:tab w:val="clear" w:pos="794"/>
                <w:tab w:val="clear" w:pos="1191"/>
                <w:tab w:val="clear" w:pos="1588"/>
                <w:tab w:val="clear" w:pos="1985"/>
              </w:tabs>
              <w:spacing w:before="60" w:after="60"/>
              <w:ind w:left="93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t>Se adjuntan los comentarios o cambios sugeridos</w:t>
            </w:r>
          </w:p>
        </w:tc>
      </w:tr>
      <w:tr w:rsidR="00911593" w:rsidRPr="00D570FF" w14:paraId="7018E45E" w14:textId="77777777" w:rsidTr="00837874">
        <w:trPr>
          <w:trHeight w:val="747"/>
        </w:trPr>
        <w:tc>
          <w:tcPr>
            <w:tcW w:w="2263" w:type="dxa"/>
            <w:vMerge/>
            <w:shd w:val="clear" w:color="auto" w:fill="auto"/>
            <w:vAlign w:val="center"/>
          </w:tcPr>
          <w:p w14:paraId="06076989" w14:textId="77777777" w:rsidR="00911593" w:rsidRPr="00D570FF" w:rsidRDefault="00911593" w:rsidP="00837874">
            <w:pPr>
              <w:keepNext/>
              <w:spacing w:before="60" w:after="60"/>
              <w:jc w:val="center"/>
              <w:rPr>
                <w:rFonts w:cstheme="minorHAnsi"/>
                <w:b/>
                <w:bCs/>
                <w:szCs w:val="22"/>
              </w:rPr>
            </w:pPr>
          </w:p>
        </w:tc>
        <w:tc>
          <w:tcPr>
            <w:tcW w:w="7456" w:type="dxa"/>
            <w:shd w:val="clear" w:color="auto" w:fill="auto"/>
            <w:vAlign w:val="center"/>
          </w:tcPr>
          <w:p w14:paraId="65685F32" w14:textId="77777777" w:rsidR="00911593" w:rsidRPr="00D570FF" w:rsidRDefault="00911593" w:rsidP="00837874">
            <w:pPr>
              <w:keepNext/>
              <w:tabs>
                <w:tab w:val="clear" w:pos="794"/>
                <w:tab w:val="clear" w:pos="1191"/>
                <w:tab w:val="clear" w:pos="1588"/>
                <w:tab w:val="clear" w:pos="1985"/>
                <w:tab w:val="left" w:pos="250"/>
              </w:tabs>
              <w:spacing w:before="60" w:after="60"/>
              <w:ind w:left="45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r>
            <w:r w:rsidRPr="00D570FF">
              <w:rPr>
                <w:b/>
              </w:rPr>
              <w:t>No otorga autoridad</w:t>
            </w:r>
            <w:r w:rsidRPr="00D570FF">
              <w:t xml:space="preserve"> a la Comisión de Estudio 20 para examinar este texto para aprobación (se adjuntan los motivos en que se fundamenta esta opinión y las posibles modificaciones que permitirían que prosiguieran los trabajos)</w:t>
            </w:r>
          </w:p>
        </w:tc>
      </w:tr>
      <w:tr w:rsidR="00911593" w:rsidRPr="00D570FF" w14:paraId="5E222C2E" w14:textId="77777777" w:rsidTr="00837874">
        <w:trPr>
          <w:trHeight w:val="748"/>
        </w:trPr>
        <w:tc>
          <w:tcPr>
            <w:tcW w:w="2263" w:type="dxa"/>
            <w:vMerge w:val="restart"/>
            <w:shd w:val="clear" w:color="auto" w:fill="auto"/>
            <w:vAlign w:val="center"/>
          </w:tcPr>
          <w:p w14:paraId="05FDD6E0" w14:textId="77777777" w:rsidR="00911593" w:rsidRPr="00D570FF" w:rsidRDefault="00911593" w:rsidP="00837874">
            <w:pPr>
              <w:spacing w:before="60" w:after="60"/>
              <w:jc w:val="center"/>
              <w:rPr>
                <w:rFonts w:cstheme="minorHAnsi"/>
                <w:b/>
                <w:bCs/>
                <w:szCs w:val="22"/>
              </w:rPr>
            </w:pPr>
            <w:r w:rsidRPr="00D570FF">
              <w:rPr>
                <w:b/>
              </w:rPr>
              <w:t>Proyecto de nueva Recomendación UIT-T H.741.5</w:t>
            </w:r>
            <w:r w:rsidRPr="00D570FF">
              <w:rPr>
                <w:b/>
              </w:rPr>
              <w:br/>
              <w:t xml:space="preserve">(ex </w:t>
            </w:r>
            <w:proofErr w:type="gramStart"/>
            <w:r w:rsidRPr="00D570FF">
              <w:rPr>
                <w:b/>
              </w:rPr>
              <w:t>H.IPTV</w:t>
            </w:r>
            <w:proofErr w:type="gramEnd"/>
            <w:r w:rsidRPr="00D570FF">
              <w:rPr>
                <w:b/>
              </w:rPr>
              <w:t>-PS)</w:t>
            </w:r>
          </w:p>
        </w:tc>
        <w:tc>
          <w:tcPr>
            <w:tcW w:w="7456" w:type="dxa"/>
            <w:shd w:val="clear" w:color="auto" w:fill="auto"/>
            <w:vAlign w:val="center"/>
          </w:tcPr>
          <w:p w14:paraId="7628F210" w14:textId="77777777" w:rsidR="00911593" w:rsidRPr="00D570FF" w:rsidRDefault="00911593" w:rsidP="00837874">
            <w:pPr>
              <w:tabs>
                <w:tab w:val="clear" w:pos="794"/>
                <w:tab w:val="clear" w:pos="1191"/>
                <w:tab w:val="clear" w:pos="1588"/>
                <w:tab w:val="clear" w:pos="1985"/>
              </w:tabs>
              <w:spacing w:before="60" w:after="60"/>
              <w:ind w:left="45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r>
            <w:r w:rsidRPr="00D570FF">
              <w:rPr>
                <w:b/>
              </w:rPr>
              <w:t xml:space="preserve">Otorga autoridad </w:t>
            </w:r>
            <w:r w:rsidRPr="00D570FF">
              <w:t>a la Comisión de Estudio 16 para examinar este texto para aprobación (en cuyo caso, seleccione una de las dos opciones):</w:t>
            </w:r>
          </w:p>
          <w:p w14:paraId="1BDB53D7" w14:textId="77777777" w:rsidR="00911593" w:rsidRPr="00D570FF" w:rsidRDefault="00911593" w:rsidP="00837874">
            <w:pPr>
              <w:tabs>
                <w:tab w:val="clear" w:pos="794"/>
                <w:tab w:val="clear" w:pos="1191"/>
                <w:tab w:val="clear" w:pos="1588"/>
                <w:tab w:val="clear" w:pos="1985"/>
              </w:tabs>
              <w:spacing w:before="60" w:after="60"/>
              <w:ind w:left="93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t>Sin comentarios o cambios sugeridos</w:t>
            </w:r>
          </w:p>
          <w:p w14:paraId="482C14AE" w14:textId="77777777" w:rsidR="00911593" w:rsidRPr="00D570FF" w:rsidRDefault="00911593" w:rsidP="00837874">
            <w:pPr>
              <w:tabs>
                <w:tab w:val="clear" w:pos="794"/>
                <w:tab w:val="clear" w:pos="1191"/>
                <w:tab w:val="clear" w:pos="1588"/>
                <w:tab w:val="clear" w:pos="1985"/>
              </w:tabs>
              <w:spacing w:before="60" w:after="60"/>
              <w:ind w:left="93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t>Se adjuntan los comentarios o cambios sugeridos</w:t>
            </w:r>
          </w:p>
        </w:tc>
      </w:tr>
      <w:tr w:rsidR="00911593" w:rsidRPr="00D570FF" w14:paraId="1680FBAD" w14:textId="77777777" w:rsidTr="00837874">
        <w:trPr>
          <w:trHeight w:val="747"/>
        </w:trPr>
        <w:tc>
          <w:tcPr>
            <w:tcW w:w="2263" w:type="dxa"/>
            <w:vMerge/>
            <w:shd w:val="clear" w:color="auto" w:fill="auto"/>
            <w:vAlign w:val="center"/>
          </w:tcPr>
          <w:p w14:paraId="6005B9CD" w14:textId="77777777" w:rsidR="00911593" w:rsidRPr="00D570FF" w:rsidRDefault="00911593" w:rsidP="00837874">
            <w:pPr>
              <w:spacing w:before="60" w:after="60"/>
              <w:jc w:val="center"/>
              <w:rPr>
                <w:rFonts w:cstheme="minorHAnsi"/>
                <w:b/>
                <w:bCs/>
                <w:szCs w:val="22"/>
              </w:rPr>
            </w:pPr>
          </w:p>
        </w:tc>
        <w:tc>
          <w:tcPr>
            <w:tcW w:w="7456" w:type="dxa"/>
            <w:shd w:val="clear" w:color="auto" w:fill="auto"/>
            <w:vAlign w:val="center"/>
          </w:tcPr>
          <w:p w14:paraId="56B5C630" w14:textId="77777777" w:rsidR="00911593" w:rsidRPr="00D570FF" w:rsidRDefault="00911593" w:rsidP="00837874">
            <w:pPr>
              <w:tabs>
                <w:tab w:val="clear" w:pos="794"/>
                <w:tab w:val="clear" w:pos="1191"/>
                <w:tab w:val="clear" w:pos="1588"/>
                <w:tab w:val="clear" w:pos="1985"/>
                <w:tab w:val="left" w:pos="250"/>
              </w:tabs>
              <w:spacing w:before="60" w:after="60"/>
              <w:ind w:left="459" w:hanging="459"/>
              <w:rPr>
                <w:rFonts w:cstheme="minorHAnsi"/>
                <w:szCs w:val="22"/>
              </w:rPr>
            </w:pPr>
            <w:r w:rsidRPr="00D570FF">
              <w:rPr>
                <w:rFonts w:cstheme="minorHAnsi"/>
              </w:rPr>
              <w:fldChar w:fldCharType="begin">
                <w:ffData>
                  <w:name w:val="Check1"/>
                  <w:enabled/>
                  <w:calcOnExit w:val="0"/>
                  <w:checkBox>
                    <w:sizeAuto/>
                    <w:default w:val="0"/>
                  </w:checkBox>
                </w:ffData>
              </w:fldChar>
            </w:r>
            <w:r w:rsidRPr="00D570FF">
              <w:rPr>
                <w:rFonts w:cstheme="minorHAnsi"/>
              </w:rPr>
              <w:instrText xml:space="preserve"> FORMCHECKBOX </w:instrText>
            </w:r>
            <w:r w:rsidR="00D177AF">
              <w:rPr>
                <w:rFonts w:cstheme="minorHAnsi"/>
              </w:rPr>
            </w:r>
            <w:r w:rsidR="00D177AF">
              <w:rPr>
                <w:rFonts w:cstheme="minorHAnsi"/>
              </w:rPr>
              <w:fldChar w:fldCharType="separate"/>
            </w:r>
            <w:r w:rsidRPr="00D570FF">
              <w:rPr>
                <w:rFonts w:cstheme="minorHAnsi"/>
              </w:rPr>
              <w:fldChar w:fldCharType="end"/>
            </w:r>
            <w:r w:rsidRPr="00D570FF">
              <w:tab/>
            </w:r>
            <w:r w:rsidRPr="00D570FF">
              <w:rPr>
                <w:b/>
              </w:rPr>
              <w:t>No otorga autoridad</w:t>
            </w:r>
            <w:r w:rsidRPr="00D570FF">
              <w:t xml:space="preserve"> a la Comisión de Estudio 20 para examinar este texto para aprobación (se adjuntan los motivos en que se fundamenta esta opinión y las posibles modificaciones que permitirían que prosiguieran los trabajos)</w:t>
            </w:r>
          </w:p>
        </w:tc>
      </w:tr>
    </w:tbl>
    <w:p w14:paraId="6D43E653" w14:textId="77777777" w:rsidR="00911593" w:rsidRPr="00D570FF" w:rsidRDefault="00911593" w:rsidP="007A6541"/>
    <w:p w14:paraId="60E7ED1F" w14:textId="77777777" w:rsidR="00911593" w:rsidRPr="00D570FF" w:rsidRDefault="00911593" w:rsidP="007A6541">
      <w:r w:rsidRPr="00D570FF">
        <w:t>Atentamente,</w:t>
      </w:r>
    </w:p>
    <w:p w14:paraId="3C80988D" w14:textId="77777777" w:rsidR="00911593" w:rsidRPr="00D570FF" w:rsidRDefault="00911593" w:rsidP="007A6541"/>
    <w:p w14:paraId="2C692E58" w14:textId="77777777" w:rsidR="00911593" w:rsidRPr="00D570FF" w:rsidRDefault="00911593" w:rsidP="007A6541">
      <w:pPr>
        <w:rPr>
          <w:highlight w:val="green"/>
        </w:rPr>
      </w:pPr>
      <w:r w:rsidRPr="00D570FF">
        <w:rPr>
          <w:highlight w:val="green"/>
        </w:rPr>
        <w:t>[Nombre]</w:t>
      </w:r>
    </w:p>
    <w:p w14:paraId="5A23A6A1" w14:textId="77777777" w:rsidR="00911593" w:rsidRPr="00D570FF" w:rsidRDefault="00911593" w:rsidP="007A6541">
      <w:r w:rsidRPr="00D570FF">
        <w:rPr>
          <w:highlight w:val="green"/>
        </w:rPr>
        <w:t>[Cargo oficial/Título]</w:t>
      </w:r>
    </w:p>
    <w:p w14:paraId="24BC6554" w14:textId="77777777" w:rsidR="00911593" w:rsidRPr="00D570FF" w:rsidRDefault="00911593" w:rsidP="007A6541">
      <w:r w:rsidRPr="00D570FF">
        <w:t xml:space="preserve">Administración de </w:t>
      </w:r>
      <w:r w:rsidRPr="00D570FF">
        <w:rPr>
          <w:highlight w:val="green"/>
        </w:rPr>
        <w:t>[Estado Miembro]</w:t>
      </w:r>
    </w:p>
    <w:p w14:paraId="6A87FE23" w14:textId="77777777" w:rsidR="007A6541" w:rsidRPr="00D570FF" w:rsidRDefault="007A6541" w:rsidP="007A6541">
      <w:pPr>
        <w:pStyle w:val="Reasons"/>
        <w:rPr>
          <w:lang w:val="es-ES_tradnl"/>
        </w:rPr>
      </w:pPr>
    </w:p>
    <w:p w14:paraId="7E2D6E83" w14:textId="77777777" w:rsidR="00401C20" w:rsidRPr="00D570FF" w:rsidRDefault="007A6541" w:rsidP="007A6541">
      <w:pPr>
        <w:jc w:val="center"/>
      </w:pPr>
      <w:r w:rsidRPr="00D570FF">
        <w:t>______________</w:t>
      </w:r>
    </w:p>
    <w:sectPr w:rsidR="00401C20" w:rsidRPr="00D570FF" w:rsidSect="00B87E9E">
      <w:head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2417" w14:textId="77777777" w:rsidR="00911593" w:rsidRDefault="00911593">
      <w:r>
        <w:separator/>
      </w:r>
    </w:p>
  </w:endnote>
  <w:endnote w:type="continuationSeparator" w:id="0">
    <w:p w14:paraId="00923172" w14:textId="77777777" w:rsidR="00911593" w:rsidRDefault="0091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3029"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84FC" w14:textId="77777777" w:rsidR="00911593" w:rsidRDefault="00911593">
      <w:r>
        <w:t>____________________</w:t>
      </w:r>
    </w:p>
  </w:footnote>
  <w:footnote w:type="continuationSeparator" w:id="0">
    <w:p w14:paraId="6F5AAD8E" w14:textId="77777777" w:rsidR="00911593" w:rsidRDefault="0091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BB26"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887A6D">
      <w:rPr>
        <w:rStyle w:val="PageNumber"/>
        <w:noProof/>
        <w:sz w:val="18"/>
        <w:szCs w:val="18"/>
      </w:rPr>
      <w:t>6</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366369980">
    <w:abstractNumId w:val="0"/>
  </w:num>
  <w:num w:numId="2" w16cid:durableId="267931248">
    <w:abstractNumId w:val="3"/>
  </w:num>
  <w:num w:numId="3" w16cid:durableId="1056201360">
    <w:abstractNumId w:val="2"/>
  </w:num>
  <w:num w:numId="4" w16cid:durableId="189199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93"/>
    <w:rsid w:val="00002529"/>
    <w:rsid w:val="00085662"/>
    <w:rsid w:val="000C382F"/>
    <w:rsid w:val="000F6093"/>
    <w:rsid w:val="001173CC"/>
    <w:rsid w:val="001350B9"/>
    <w:rsid w:val="0014464D"/>
    <w:rsid w:val="001A54CC"/>
    <w:rsid w:val="001B4D60"/>
    <w:rsid w:val="00257FB4"/>
    <w:rsid w:val="002E496E"/>
    <w:rsid w:val="00303D62"/>
    <w:rsid w:val="00335367"/>
    <w:rsid w:val="00370C2D"/>
    <w:rsid w:val="003D1E8D"/>
    <w:rsid w:val="003D673B"/>
    <w:rsid w:val="003F2855"/>
    <w:rsid w:val="00401C20"/>
    <w:rsid w:val="00474CD9"/>
    <w:rsid w:val="004A7957"/>
    <w:rsid w:val="004C4144"/>
    <w:rsid w:val="005108DC"/>
    <w:rsid w:val="0055719E"/>
    <w:rsid w:val="006969B4"/>
    <w:rsid w:val="006A5A1C"/>
    <w:rsid w:val="006E4F7B"/>
    <w:rsid w:val="00781E2A"/>
    <w:rsid w:val="007933A2"/>
    <w:rsid w:val="007A6541"/>
    <w:rsid w:val="007B6316"/>
    <w:rsid w:val="00814503"/>
    <w:rsid w:val="008258C2"/>
    <w:rsid w:val="008505BD"/>
    <w:rsid w:val="00850C78"/>
    <w:rsid w:val="00876165"/>
    <w:rsid w:val="00884D12"/>
    <w:rsid w:val="00887A6D"/>
    <w:rsid w:val="008C17AD"/>
    <w:rsid w:val="008D02CD"/>
    <w:rsid w:val="00911593"/>
    <w:rsid w:val="0091370C"/>
    <w:rsid w:val="0095172A"/>
    <w:rsid w:val="009A0BA0"/>
    <w:rsid w:val="00A54E47"/>
    <w:rsid w:val="00AB6E3A"/>
    <w:rsid w:val="00AE7093"/>
    <w:rsid w:val="00B422BC"/>
    <w:rsid w:val="00B43F77"/>
    <w:rsid w:val="00B55A3E"/>
    <w:rsid w:val="00B57502"/>
    <w:rsid w:val="00B87E9E"/>
    <w:rsid w:val="00B95F0A"/>
    <w:rsid w:val="00B96180"/>
    <w:rsid w:val="00BD7DA9"/>
    <w:rsid w:val="00C116FE"/>
    <w:rsid w:val="00C17AC0"/>
    <w:rsid w:val="00C34772"/>
    <w:rsid w:val="00C5465A"/>
    <w:rsid w:val="00D177AF"/>
    <w:rsid w:val="00D54642"/>
    <w:rsid w:val="00D570FF"/>
    <w:rsid w:val="00D834E7"/>
    <w:rsid w:val="00DD77C9"/>
    <w:rsid w:val="00DF3538"/>
    <w:rsid w:val="00E839B0"/>
    <w:rsid w:val="00E92C09"/>
    <w:rsid w:val="00EF2636"/>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6EEF34"/>
  <w15:docId w15:val="{07FBB01F-1F6F-4C1C-97AD-92E9697E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title0">
    <w:name w:val="Annex_title"/>
    <w:basedOn w:val="Normal"/>
    <w:next w:val="Normal"/>
    <w:rsid w:val="00911593"/>
    <w:pPr>
      <w:keepNext/>
      <w:keepLines/>
      <w:spacing w:before="240" w:after="280"/>
      <w:jc w:val="center"/>
    </w:pPr>
    <w:rPr>
      <w:rFonts w:ascii="Calibri" w:hAnsi="Calibri"/>
      <w:b/>
      <w:sz w:val="28"/>
      <w:lang w:val="es-ES"/>
    </w:rPr>
  </w:style>
  <w:style w:type="character" w:customStyle="1" w:styleId="Heading1Char">
    <w:name w:val="Heading 1 Char"/>
    <w:basedOn w:val="DefaultParagraphFont"/>
    <w:link w:val="Heading1"/>
    <w:rsid w:val="00911593"/>
    <w:rPr>
      <w:rFonts w:asciiTheme="minorHAnsi" w:hAnsiTheme="minorHAnsi"/>
      <w:b/>
      <w:sz w:val="24"/>
      <w:lang w:val="es-ES_tradnl" w:eastAsia="en-US"/>
    </w:rPr>
  </w:style>
  <w:style w:type="paragraph" w:customStyle="1" w:styleId="Rea">
    <w:name w:val="Rea"/>
    <w:basedOn w:val="Normal"/>
    <w:rsid w:val="007A6541"/>
  </w:style>
  <w:style w:type="paragraph" w:customStyle="1" w:styleId="Reasons">
    <w:name w:val="Reasons"/>
    <w:basedOn w:val="Normal"/>
    <w:qFormat/>
    <w:rsid w:val="007A654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itu.int/md/T22-SG16-R-0017/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16@itu.int" TargetMode="External"/><Relationship Id="rId17" Type="http://schemas.openxmlformats.org/officeDocument/2006/relationships/hyperlink" Target="https://www.itu.int/md/T22-SG16-R-0016/es" TargetMode="External"/><Relationship Id="rId2" Type="http://schemas.openxmlformats.org/officeDocument/2006/relationships/customXml" Target="../customXml/item2.xml"/><Relationship Id="rId16" Type="http://schemas.openxmlformats.org/officeDocument/2006/relationships/hyperlink" Target="https://www.itu.int/md/T22-SG16-R-0015/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2-SG16-R-0014/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sbdir@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SG16-R-0013/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ée un document." ma:contentTypeScope="" ma:versionID="8777f10145c7a9fea62b2bdb1e0a6a2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a309361c35f060974755be00ec90e807"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DCF37D-8AD9-4506-BEEF-F03C2DCE2DF6}"/>
</file>

<file path=customXml/itemProps2.xml><?xml version="1.0" encoding="utf-8"?>
<ds:datastoreItem xmlns:ds="http://schemas.openxmlformats.org/officeDocument/2006/customXml" ds:itemID="{2A99FBAD-CFDC-4825-948B-03AEDFD73A8D}">
  <ds:schemaRefs>
    <ds:schemaRef ds:uri="http://schemas.microsoft.com/sharepoint/v3/contenttype/forms"/>
  </ds:schemaRefs>
</ds:datastoreItem>
</file>

<file path=customXml/itemProps3.xml><?xml version="1.0" encoding="utf-8"?>
<ds:datastoreItem xmlns:ds="http://schemas.openxmlformats.org/officeDocument/2006/customXml" ds:itemID="{B0EDB396-E66C-468A-9461-284EFD7A111E}">
  <ds:schemaRefs>
    <ds:schemaRef ds:uri="http://schemas.openxmlformats.org/officeDocument/2006/bibliography"/>
  </ds:schemaRefs>
</ds:datastoreItem>
</file>

<file path=customXml/itemProps4.xml><?xml version="1.0" encoding="utf-8"?>
<ds:datastoreItem xmlns:ds="http://schemas.openxmlformats.org/officeDocument/2006/customXml" ds:itemID="{38DBB085-56C9-4ACC-95F4-0C221C7FF5B1}">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45</TotalTime>
  <Pages>5</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12891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Marin Matas, Juan Gabriel</dc:creator>
  <cp:lastModifiedBy>Braud, Olivia</cp:lastModifiedBy>
  <cp:revision>9</cp:revision>
  <cp:lastPrinted>2023-09-25T06:46:00Z</cp:lastPrinted>
  <dcterms:created xsi:type="dcterms:W3CDTF">2023-09-18T15:02:00Z</dcterms:created>
  <dcterms:modified xsi:type="dcterms:W3CDTF">2023-09-25T06:47:00Z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