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410"/>
        <w:gridCol w:w="3467"/>
        <w:gridCol w:w="5329"/>
      </w:tblGrid>
      <w:tr w:rsidR="007B6316" w:rsidRPr="0084223F" w14:paraId="6C02D0F4" w14:textId="77777777" w:rsidTr="007B6316">
        <w:trPr>
          <w:cantSplit/>
          <w:trHeight w:val="340"/>
        </w:trPr>
        <w:tc>
          <w:tcPr>
            <w:tcW w:w="1410" w:type="dxa"/>
          </w:tcPr>
          <w:p w14:paraId="2350B70D" w14:textId="77777777" w:rsidR="007B6316" w:rsidRPr="0084223F" w:rsidRDefault="007B6316" w:rsidP="00303D62">
            <w:pPr>
              <w:tabs>
                <w:tab w:val="left" w:pos="4111"/>
              </w:tabs>
              <w:spacing w:before="10"/>
              <w:ind w:left="57"/>
              <w:rPr>
                <w:sz w:val="22"/>
              </w:rPr>
            </w:pPr>
            <w:r w:rsidRPr="0084223F">
              <w:rPr>
                <w:noProof/>
                <w:lang w:eastAsia="zh-CN"/>
              </w:rPr>
              <w:drawing>
                <wp:inline distT="0" distB="0" distL="0" distR="0" wp14:anchorId="456E87F7" wp14:editId="3C62F31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6A8B2DB6" w14:textId="77777777" w:rsidR="007B6316" w:rsidRPr="0084223F" w:rsidRDefault="007B6316" w:rsidP="007B6316">
            <w:pPr>
              <w:spacing w:before="0"/>
              <w:rPr>
                <w:rFonts w:cs="Times New Roman Bold"/>
                <w:b/>
                <w:bCs/>
                <w:smallCaps/>
                <w:sz w:val="26"/>
                <w:szCs w:val="26"/>
              </w:rPr>
            </w:pPr>
            <w:r w:rsidRPr="0084223F">
              <w:rPr>
                <w:rFonts w:cs="Times New Roman Bold"/>
                <w:b/>
                <w:bCs/>
                <w:smallCaps/>
                <w:sz w:val="36"/>
                <w:szCs w:val="36"/>
              </w:rPr>
              <w:t>Unión Internacional de Telecomunicaciones</w:t>
            </w:r>
          </w:p>
          <w:p w14:paraId="7865949A" w14:textId="77777777" w:rsidR="007B6316" w:rsidRPr="0084223F" w:rsidRDefault="007B6316" w:rsidP="007B6316">
            <w:pPr>
              <w:spacing w:before="0"/>
            </w:pPr>
            <w:r w:rsidRPr="0084223F">
              <w:rPr>
                <w:rFonts w:cs="Times New Roman Bold"/>
                <w:b/>
                <w:bCs/>
                <w:smallCaps/>
                <w:sz w:val="28"/>
                <w:szCs w:val="28"/>
              </w:rPr>
              <w:t>Oficina</w:t>
            </w:r>
            <w:r w:rsidRPr="0084223F">
              <w:rPr>
                <w:rFonts w:cs="Times New Roman Bold"/>
                <w:b/>
                <w:bCs/>
                <w:iCs/>
                <w:smallCaps/>
                <w:sz w:val="22"/>
                <w:szCs w:val="22"/>
              </w:rPr>
              <w:t xml:space="preserve"> </w:t>
            </w:r>
            <w:r w:rsidRPr="0084223F">
              <w:rPr>
                <w:rFonts w:cs="Times New Roman Bold"/>
                <w:b/>
                <w:bCs/>
                <w:iCs/>
                <w:smallCaps/>
                <w:sz w:val="28"/>
                <w:szCs w:val="28"/>
              </w:rPr>
              <w:t>de Normalización de las Telecomunicaciones</w:t>
            </w:r>
          </w:p>
        </w:tc>
      </w:tr>
      <w:tr w:rsidR="007B6316" w:rsidRPr="00EB4FF9" w14:paraId="10A00665" w14:textId="77777777" w:rsidTr="001C61A7">
        <w:trPr>
          <w:cantSplit/>
          <w:trHeight w:val="340"/>
        </w:trPr>
        <w:tc>
          <w:tcPr>
            <w:tcW w:w="1410" w:type="dxa"/>
          </w:tcPr>
          <w:p w14:paraId="431707F8" w14:textId="77777777" w:rsidR="007B6316" w:rsidRPr="00EB4FF9" w:rsidRDefault="007B6316" w:rsidP="00303D62">
            <w:pPr>
              <w:tabs>
                <w:tab w:val="left" w:pos="4111"/>
              </w:tabs>
              <w:spacing w:before="10"/>
              <w:ind w:left="57"/>
              <w:rPr>
                <w:rFonts w:cstheme="minorHAnsi"/>
                <w:b/>
                <w:bCs/>
                <w:sz w:val="22"/>
                <w:szCs w:val="22"/>
              </w:rPr>
            </w:pPr>
          </w:p>
        </w:tc>
        <w:tc>
          <w:tcPr>
            <w:tcW w:w="3467" w:type="dxa"/>
          </w:tcPr>
          <w:p w14:paraId="65997B26" w14:textId="77777777" w:rsidR="007B6316" w:rsidRPr="00EB4FF9" w:rsidRDefault="007B6316" w:rsidP="00303D62">
            <w:pPr>
              <w:tabs>
                <w:tab w:val="left" w:pos="4111"/>
              </w:tabs>
              <w:spacing w:before="0"/>
              <w:ind w:left="57"/>
              <w:rPr>
                <w:rFonts w:cstheme="minorHAnsi"/>
                <w:b/>
                <w:sz w:val="22"/>
                <w:szCs w:val="22"/>
              </w:rPr>
            </w:pPr>
          </w:p>
        </w:tc>
        <w:tc>
          <w:tcPr>
            <w:tcW w:w="5329" w:type="dxa"/>
          </w:tcPr>
          <w:p w14:paraId="4C165AA3" w14:textId="177A3DBC" w:rsidR="007B6316" w:rsidRPr="00EB4FF9" w:rsidRDefault="001C61A7" w:rsidP="007B6316">
            <w:pPr>
              <w:tabs>
                <w:tab w:val="clear" w:pos="794"/>
                <w:tab w:val="clear" w:pos="1191"/>
                <w:tab w:val="clear" w:pos="1588"/>
                <w:tab w:val="clear" w:pos="1985"/>
                <w:tab w:val="left" w:pos="284"/>
              </w:tabs>
              <w:spacing w:after="120"/>
              <w:ind w:left="284" w:hanging="227"/>
              <w:rPr>
                <w:rFonts w:cstheme="minorHAnsi"/>
                <w:sz w:val="22"/>
                <w:szCs w:val="22"/>
              </w:rPr>
            </w:pPr>
            <w:r w:rsidRPr="00EB4FF9">
              <w:rPr>
                <w:rFonts w:cstheme="minorHAnsi"/>
                <w:sz w:val="22"/>
                <w:szCs w:val="22"/>
              </w:rPr>
              <w:t>Ginebra, 17 de julio de 2023</w:t>
            </w:r>
          </w:p>
        </w:tc>
      </w:tr>
      <w:tr w:rsidR="001350B9" w:rsidRPr="00EB4FF9" w14:paraId="062D64A5" w14:textId="77777777" w:rsidTr="001C61A7">
        <w:trPr>
          <w:cantSplit/>
          <w:trHeight w:val="733"/>
        </w:trPr>
        <w:tc>
          <w:tcPr>
            <w:tcW w:w="1410" w:type="dxa"/>
          </w:tcPr>
          <w:p w14:paraId="42B60F67" w14:textId="7DEE4489" w:rsidR="001350B9" w:rsidRPr="00EB4FF9" w:rsidRDefault="001350B9" w:rsidP="007B6316">
            <w:pPr>
              <w:tabs>
                <w:tab w:val="left" w:pos="4111"/>
              </w:tabs>
              <w:spacing w:before="10"/>
              <w:ind w:left="57"/>
              <w:rPr>
                <w:rFonts w:cstheme="minorHAnsi"/>
                <w:b/>
                <w:bCs/>
                <w:sz w:val="22"/>
                <w:szCs w:val="22"/>
              </w:rPr>
            </w:pPr>
            <w:r w:rsidRPr="00EB4FF9">
              <w:rPr>
                <w:rFonts w:cstheme="minorHAnsi"/>
                <w:b/>
                <w:bCs/>
                <w:sz w:val="22"/>
                <w:szCs w:val="22"/>
              </w:rPr>
              <w:t>Ref.:</w:t>
            </w:r>
          </w:p>
        </w:tc>
        <w:tc>
          <w:tcPr>
            <w:tcW w:w="3467" w:type="dxa"/>
          </w:tcPr>
          <w:p w14:paraId="5D79CCF7" w14:textId="1648CA3D" w:rsidR="001350B9" w:rsidRPr="00EB4FF9" w:rsidRDefault="001350B9" w:rsidP="00303D62">
            <w:pPr>
              <w:tabs>
                <w:tab w:val="left" w:pos="4111"/>
              </w:tabs>
              <w:spacing w:before="0"/>
              <w:ind w:left="57"/>
              <w:rPr>
                <w:rFonts w:cstheme="minorHAnsi"/>
                <w:b/>
                <w:sz w:val="22"/>
                <w:szCs w:val="22"/>
              </w:rPr>
            </w:pPr>
            <w:r w:rsidRPr="00EB4FF9">
              <w:rPr>
                <w:rFonts w:cstheme="minorHAnsi"/>
                <w:b/>
                <w:sz w:val="22"/>
                <w:szCs w:val="22"/>
              </w:rPr>
              <w:t xml:space="preserve">Circular TSB </w:t>
            </w:r>
            <w:r w:rsidR="001C61A7" w:rsidRPr="00EB4FF9">
              <w:rPr>
                <w:rFonts w:cstheme="minorHAnsi"/>
                <w:b/>
                <w:sz w:val="22"/>
                <w:szCs w:val="22"/>
              </w:rPr>
              <w:t>122</w:t>
            </w:r>
          </w:p>
          <w:p w14:paraId="68FA544F" w14:textId="3C84CBBC" w:rsidR="001350B9" w:rsidRPr="00EB4FF9" w:rsidRDefault="001C61A7" w:rsidP="007B6316">
            <w:pPr>
              <w:tabs>
                <w:tab w:val="left" w:pos="4111"/>
              </w:tabs>
              <w:spacing w:before="0"/>
              <w:ind w:left="57"/>
              <w:rPr>
                <w:rFonts w:cstheme="minorHAnsi"/>
                <w:b/>
                <w:sz w:val="22"/>
                <w:szCs w:val="22"/>
              </w:rPr>
            </w:pPr>
            <w:r w:rsidRPr="00EB4FF9">
              <w:rPr>
                <w:rFonts w:cstheme="minorHAnsi"/>
                <w:sz w:val="22"/>
                <w:szCs w:val="22"/>
              </w:rPr>
              <w:t>TSB Events/GM</w:t>
            </w:r>
          </w:p>
        </w:tc>
        <w:tc>
          <w:tcPr>
            <w:tcW w:w="5329" w:type="dxa"/>
            <w:vMerge w:val="restart"/>
          </w:tcPr>
          <w:p w14:paraId="2CADACCE" w14:textId="77777777" w:rsidR="005562CD" w:rsidRPr="00EB4FF9" w:rsidRDefault="005562CD" w:rsidP="005562CD">
            <w:pPr>
              <w:spacing w:before="80"/>
              <w:ind w:left="227" w:hanging="227"/>
              <w:rPr>
                <w:rFonts w:cstheme="minorHAnsi"/>
                <w:b/>
                <w:bCs/>
                <w:sz w:val="22"/>
                <w:szCs w:val="22"/>
              </w:rPr>
            </w:pPr>
            <w:bookmarkStart w:id="0" w:name="Addressee_S"/>
            <w:bookmarkEnd w:id="0"/>
            <w:r w:rsidRPr="00EB4FF9">
              <w:rPr>
                <w:rFonts w:cstheme="minorHAnsi"/>
                <w:b/>
                <w:bCs/>
                <w:sz w:val="22"/>
                <w:szCs w:val="22"/>
              </w:rPr>
              <w:t>A:</w:t>
            </w:r>
          </w:p>
          <w:p w14:paraId="1DCB3115" w14:textId="77777777" w:rsidR="005562CD" w:rsidRPr="00EB4FF9" w:rsidRDefault="005562CD" w:rsidP="005562CD">
            <w:pPr>
              <w:spacing w:before="40" w:after="40"/>
              <w:ind w:left="227" w:hanging="227"/>
              <w:rPr>
                <w:rFonts w:cstheme="minorHAnsi"/>
                <w:sz w:val="22"/>
                <w:szCs w:val="22"/>
              </w:rPr>
            </w:pPr>
            <w:r w:rsidRPr="00EB4FF9">
              <w:rPr>
                <w:rFonts w:cstheme="minorHAnsi"/>
                <w:sz w:val="22"/>
                <w:szCs w:val="22"/>
              </w:rPr>
              <w:t>–</w:t>
            </w:r>
            <w:r w:rsidRPr="00EB4FF9">
              <w:rPr>
                <w:rFonts w:cstheme="minorHAnsi"/>
                <w:sz w:val="22"/>
                <w:szCs w:val="22"/>
              </w:rPr>
              <w:tab/>
              <w:t>las Administraciones de los Estados Miembros</w:t>
            </w:r>
            <w:r w:rsidRPr="00EB4FF9">
              <w:rPr>
                <w:rFonts w:cstheme="minorHAnsi"/>
                <w:sz w:val="22"/>
                <w:szCs w:val="22"/>
              </w:rPr>
              <w:br/>
              <w:t>de la Unión;</w:t>
            </w:r>
          </w:p>
          <w:p w14:paraId="1726A8BB" w14:textId="77777777" w:rsidR="005562CD" w:rsidRPr="00EB4FF9" w:rsidRDefault="005562CD" w:rsidP="005562CD">
            <w:pPr>
              <w:spacing w:before="40" w:after="40"/>
              <w:ind w:left="227" w:hanging="227"/>
              <w:rPr>
                <w:rFonts w:cstheme="minorHAnsi"/>
                <w:sz w:val="22"/>
                <w:szCs w:val="22"/>
              </w:rPr>
            </w:pPr>
            <w:r w:rsidRPr="00EB4FF9">
              <w:rPr>
                <w:rFonts w:cstheme="minorHAnsi"/>
                <w:sz w:val="22"/>
                <w:szCs w:val="22"/>
              </w:rPr>
              <w:t>–</w:t>
            </w:r>
            <w:r w:rsidRPr="00EB4FF9">
              <w:rPr>
                <w:rFonts w:cstheme="minorHAnsi"/>
                <w:sz w:val="22"/>
                <w:szCs w:val="22"/>
              </w:rPr>
              <w:tab/>
              <w:t>los Miembros de Sector del UIT-T;</w:t>
            </w:r>
          </w:p>
          <w:p w14:paraId="4123C6F4" w14:textId="77777777" w:rsidR="005562CD" w:rsidRPr="00EB4FF9" w:rsidRDefault="005562CD" w:rsidP="005562CD">
            <w:pPr>
              <w:spacing w:before="40" w:after="40"/>
              <w:ind w:left="227" w:hanging="227"/>
              <w:rPr>
                <w:rFonts w:cstheme="minorHAnsi"/>
                <w:sz w:val="22"/>
                <w:szCs w:val="22"/>
              </w:rPr>
            </w:pPr>
            <w:r w:rsidRPr="00EB4FF9">
              <w:rPr>
                <w:rFonts w:cstheme="minorHAnsi"/>
                <w:sz w:val="22"/>
                <w:szCs w:val="22"/>
              </w:rPr>
              <w:t>–</w:t>
            </w:r>
            <w:r w:rsidRPr="00EB4FF9">
              <w:rPr>
                <w:rFonts w:cstheme="minorHAnsi"/>
                <w:sz w:val="22"/>
                <w:szCs w:val="22"/>
              </w:rPr>
              <w:tab/>
              <w:t>los Asociados del UIT T;</w:t>
            </w:r>
          </w:p>
          <w:p w14:paraId="7B07A6A3" w14:textId="77777777" w:rsidR="001350B9" w:rsidRPr="00EB4FF9" w:rsidRDefault="005562CD" w:rsidP="005562CD">
            <w:pPr>
              <w:spacing w:before="40" w:after="40"/>
              <w:ind w:left="227" w:hanging="227"/>
              <w:rPr>
                <w:rFonts w:cstheme="minorHAnsi"/>
                <w:sz w:val="22"/>
                <w:szCs w:val="22"/>
              </w:rPr>
            </w:pPr>
            <w:r w:rsidRPr="00EB4FF9">
              <w:rPr>
                <w:rFonts w:cstheme="minorHAnsi"/>
                <w:sz w:val="22"/>
                <w:szCs w:val="22"/>
              </w:rPr>
              <w:t>–</w:t>
            </w:r>
            <w:r w:rsidRPr="00EB4FF9">
              <w:rPr>
                <w:rFonts w:cstheme="minorHAnsi"/>
                <w:sz w:val="22"/>
                <w:szCs w:val="22"/>
              </w:rPr>
              <w:tab/>
              <w:t>las Instituciones Académicas de la UIT</w:t>
            </w:r>
          </w:p>
          <w:p w14:paraId="68968AB8" w14:textId="77777777" w:rsidR="005562CD" w:rsidRPr="00EB4FF9" w:rsidRDefault="005562CD" w:rsidP="005562CD">
            <w:pPr>
              <w:pStyle w:val="Tabletext0"/>
              <w:rPr>
                <w:rFonts w:cstheme="minorHAnsi"/>
                <w:b/>
                <w:bCs/>
                <w:szCs w:val="22"/>
              </w:rPr>
            </w:pPr>
            <w:r w:rsidRPr="00EB4FF9">
              <w:rPr>
                <w:rFonts w:cstheme="minorHAnsi"/>
                <w:b/>
                <w:bCs/>
                <w:szCs w:val="22"/>
              </w:rPr>
              <w:t>Copia:</w:t>
            </w:r>
          </w:p>
          <w:p w14:paraId="725494E6" w14:textId="77777777" w:rsidR="005562CD" w:rsidRPr="00EB4FF9" w:rsidRDefault="005562CD" w:rsidP="005562CD">
            <w:pPr>
              <w:spacing w:before="40" w:after="40"/>
              <w:ind w:left="227" w:hanging="227"/>
              <w:rPr>
                <w:rFonts w:cstheme="minorHAnsi"/>
                <w:sz w:val="22"/>
                <w:szCs w:val="22"/>
              </w:rPr>
            </w:pPr>
            <w:r w:rsidRPr="00EB4FF9">
              <w:rPr>
                <w:rFonts w:cstheme="minorHAnsi"/>
                <w:sz w:val="22"/>
                <w:szCs w:val="22"/>
              </w:rPr>
              <w:t>–</w:t>
            </w:r>
            <w:r w:rsidRPr="00EB4FF9">
              <w:rPr>
                <w:rFonts w:cstheme="minorHAnsi"/>
                <w:sz w:val="22"/>
                <w:szCs w:val="22"/>
              </w:rPr>
              <w:tab/>
              <w:t xml:space="preserve">a los </w:t>
            </w:r>
            <w:proofErr w:type="gramStart"/>
            <w:r w:rsidRPr="00EB4FF9">
              <w:rPr>
                <w:rFonts w:cstheme="minorHAnsi"/>
                <w:sz w:val="22"/>
                <w:szCs w:val="22"/>
              </w:rPr>
              <w:t>Presidentes</w:t>
            </w:r>
            <w:proofErr w:type="gramEnd"/>
            <w:r w:rsidRPr="00EB4FF9">
              <w:rPr>
                <w:rFonts w:cstheme="minorHAnsi"/>
                <w:sz w:val="22"/>
                <w:szCs w:val="22"/>
              </w:rPr>
              <w:t xml:space="preserve"> y Vicepresidentes de las Comisiones de Estudio del UIT-T;</w:t>
            </w:r>
          </w:p>
          <w:p w14:paraId="31E13683" w14:textId="77777777" w:rsidR="005562CD" w:rsidRPr="00EB4FF9" w:rsidRDefault="005562CD" w:rsidP="005562CD">
            <w:pPr>
              <w:spacing w:before="40" w:after="40"/>
              <w:ind w:left="227" w:hanging="227"/>
              <w:rPr>
                <w:rFonts w:cstheme="minorHAnsi"/>
                <w:sz w:val="22"/>
                <w:szCs w:val="22"/>
              </w:rPr>
            </w:pPr>
            <w:r w:rsidRPr="00EB4FF9">
              <w:rPr>
                <w:rFonts w:cstheme="minorHAnsi"/>
                <w:sz w:val="22"/>
                <w:szCs w:val="22"/>
              </w:rPr>
              <w:t>–</w:t>
            </w:r>
            <w:r w:rsidRPr="00EB4FF9">
              <w:rPr>
                <w:rFonts w:cstheme="minorHAnsi"/>
                <w:sz w:val="22"/>
                <w:szCs w:val="22"/>
              </w:rPr>
              <w:tab/>
              <w:t xml:space="preserve">al </w:t>
            </w:r>
            <w:proofErr w:type="gramStart"/>
            <w:r w:rsidRPr="00EB4FF9">
              <w:rPr>
                <w:rFonts w:cstheme="minorHAnsi"/>
                <w:sz w:val="22"/>
                <w:szCs w:val="22"/>
              </w:rPr>
              <w:t>Director</w:t>
            </w:r>
            <w:proofErr w:type="gramEnd"/>
            <w:r w:rsidRPr="00EB4FF9">
              <w:rPr>
                <w:rFonts w:cstheme="minorHAnsi"/>
                <w:sz w:val="22"/>
                <w:szCs w:val="22"/>
              </w:rPr>
              <w:t xml:space="preserve"> de la Oficina de Desarrollo de las Telecomunicaciones;</w:t>
            </w:r>
          </w:p>
          <w:p w14:paraId="726A87FA" w14:textId="023309E2" w:rsidR="005562CD" w:rsidRPr="00EB4FF9" w:rsidRDefault="005562CD" w:rsidP="005562CD">
            <w:pPr>
              <w:spacing w:before="40" w:after="40"/>
              <w:ind w:left="227" w:hanging="227"/>
              <w:rPr>
                <w:rFonts w:cstheme="minorHAnsi"/>
                <w:sz w:val="22"/>
                <w:szCs w:val="22"/>
              </w:rPr>
            </w:pPr>
            <w:r w:rsidRPr="00EB4FF9">
              <w:rPr>
                <w:rFonts w:cstheme="minorHAnsi"/>
                <w:sz w:val="22"/>
                <w:szCs w:val="22"/>
              </w:rPr>
              <w:t>–</w:t>
            </w:r>
            <w:r w:rsidRPr="00EB4FF9">
              <w:rPr>
                <w:rFonts w:cstheme="minorHAnsi"/>
                <w:sz w:val="22"/>
                <w:szCs w:val="22"/>
              </w:rPr>
              <w:tab/>
              <w:t xml:space="preserve">al </w:t>
            </w:r>
            <w:proofErr w:type="gramStart"/>
            <w:r w:rsidRPr="00EB4FF9">
              <w:rPr>
                <w:rFonts w:cstheme="minorHAnsi"/>
                <w:sz w:val="22"/>
                <w:szCs w:val="22"/>
              </w:rPr>
              <w:t>Director</w:t>
            </w:r>
            <w:proofErr w:type="gramEnd"/>
            <w:r w:rsidRPr="00EB4FF9">
              <w:rPr>
                <w:rFonts w:cstheme="minorHAnsi"/>
                <w:sz w:val="22"/>
                <w:szCs w:val="22"/>
              </w:rPr>
              <w:t xml:space="preserve"> de la Oficina de Radiocomunicaciones;</w:t>
            </w:r>
          </w:p>
          <w:p w14:paraId="5C2EB046" w14:textId="62195DDE" w:rsidR="005562CD" w:rsidRPr="00EB4FF9" w:rsidRDefault="005562CD" w:rsidP="005562CD">
            <w:pPr>
              <w:spacing w:before="40" w:after="120"/>
              <w:ind w:left="227" w:hanging="227"/>
              <w:rPr>
                <w:rFonts w:cstheme="minorHAnsi"/>
                <w:sz w:val="22"/>
                <w:szCs w:val="22"/>
              </w:rPr>
            </w:pPr>
            <w:r w:rsidRPr="00EB4FF9">
              <w:rPr>
                <w:rFonts w:cstheme="minorHAnsi"/>
                <w:sz w:val="22"/>
                <w:szCs w:val="22"/>
              </w:rPr>
              <w:t>–</w:t>
            </w:r>
            <w:r w:rsidRPr="00EB4FF9">
              <w:rPr>
                <w:rFonts w:cstheme="minorHAnsi"/>
                <w:sz w:val="22"/>
                <w:szCs w:val="22"/>
              </w:rPr>
              <w:tab/>
              <w:t xml:space="preserve">al </w:t>
            </w:r>
            <w:proofErr w:type="gramStart"/>
            <w:r w:rsidRPr="00EB4FF9">
              <w:rPr>
                <w:rFonts w:cstheme="minorHAnsi"/>
                <w:sz w:val="22"/>
                <w:szCs w:val="22"/>
              </w:rPr>
              <w:t>Director</w:t>
            </w:r>
            <w:proofErr w:type="gramEnd"/>
            <w:r w:rsidRPr="00EB4FF9">
              <w:rPr>
                <w:rFonts w:cstheme="minorHAnsi"/>
                <w:sz w:val="22"/>
                <w:szCs w:val="22"/>
              </w:rPr>
              <w:t xml:space="preserve"> de la Oficina Regional de la UIT para África</w:t>
            </w:r>
          </w:p>
        </w:tc>
      </w:tr>
      <w:tr w:rsidR="001C61A7" w:rsidRPr="00EB4FF9" w14:paraId="1BF4A4B7" w14:textId="77777777" w:rsidTr="001C61A7">
        <w:trPr>
          <w:cantSplit/>
          <w:trHeight w:val="559"/>
        </w:trPr>
        <w:tc>
          <w:tcPr>
            <w:tcW w:w="1410" w:type="dxa"/>
          </w:tcPr>
          <w:p w14:paraId="3433C4F8" w14:textId="75500722" w:rsidR="001C61A7" w:rsidRPr="00EB4FF9" w:rsidRDefault="001C61A7" w:rsidP="007B6316">
            <w:pPr>
              <w:tabs>
                <w:tab w:val="left" w:pos="4111"/>
              </w:tabs>
              <w:spacing w:before="10"/>
              <w:ind w:left="57"/>
              <w:rPr>
                <w:rFonts w:cstheme="minorHAnsi"/>
                <w:b/>
                <w:bCs/>
                <w:sz w:val="22"/>
                <w:szCs w:val="22"/>
              </w:rPr>
            </w:pPr>
            <w:r w:rsidRPr="00EB4FF9">
              <w:rPr>
                <w:rFonts w:eastAsia="Batang" w:cstheme="minorHAnsi"/>
                <w:b/>
                <w:bCs/>
                <w:sz w:val="22"/>
                <w:szCs w:val="22"/>
              </w:rPr>
              <w:t>Contacto:</w:t>
            </w:r>
          </w:p>
        </w:tc>
        <w:tc>
          <w:tcPr>
            <w:tcW w:w="3467" w:type="dxa"/>
          </w:tcPr>
          <w:p w14:paraId="4118366F" w14:textId="4FDBC40B" w:rsidR="001C61A7" w:rsidRPr="00EB4FF9" w:rsidRDefault="001C61A7" w:rsidP="00303D62">
            <w:pPr>
              <w:tabs>
                <w:tab w:val="left" w:pos="4111"/>
              </w:tabs>
              <w:spacing w:before="0"/>
              <w:ind w:left="57"/>
              <w:rPr>
                <w:rFonts w:cstheme="minorHAnsi"/>
                <w:b/>
                <w:sz w:val="22"/>
                <w:szCs w:val="22"/>
              </w:rPr>
            </w:pPr>
            <w:r w:rsidRPr="00EB4FF9">
              <w:rPr>
                <w:rFonts w:cstheme="minorHAnsi"/>
                <w:b/>
                <w:sz w:val="22"/>
                <w:szCs w:val="22"/>
              </w:rPr>
              <w:t>Gillian Makamara</w:t>
            </w:r>
          </w:p>
        </w:tc>
        <w:tc>
          <w:tcPr>
            <w:tcW w:w="5329" w:type="dxa"/>
            <w:vMerge/>
          </w:tcPr>
          <w:p w14:paraId="58ED2015" w14:textId="77777777" w:rsidR="001C61A7" w:rsidRPr="00EB4FF9" w:rsidRDefault="001C61A7" w:rsidP="00303D62">
            <w:pPr>
              <w:tabs>
                <w:tab w:val="clear" w:pos="794"/>
                <w:tab w:val="clear" w:pos="1191"/>
                <w:tab w:val="clear" w:pos="1588"/>
                <w:tab w:val="clear" w:pos="1985"/>
                <w:tab w:val="left" w:pos="284"/>
              </w:tabs>
              <w:spacing w:before="0"/>
              <w:ind w:left="284" w:hanging="227"/>
              <w:rPr>
                <w:rFonts w:cstheme="minorHAnsi"/>
                <w:sz w:val="22"/>
                <w:szCs w:val="22"/>
              </w:rPr>
            </w:pPr>
          </w:p>
        </w:tc>
      </w:tr>
      <w:tr w:rsidR="001350B9" w:rsidRPr="00EB4FF9" w14:paraId="0C6209AE" w14:textId="77777777" w:rsidTr="001C61A7">
        <w:trPr>
          <w:cantSplit/>
        </w:trPr>
        <w:tc>
          <w:tcPr>
            <w:tcW w:w="1410" w:type="dxa"/>
          </w:tcPr>
          <w:p w14:paraId="167AC10C" w14:textId="77777777" w:rsidR="001350B9" w:rsidRPr="00EB4FF9" w:rsidRDefault="001350B9" w:rsidP="00303D62">
            <w:pPr>
              <w:tabs>
                <w:tab w:val="left" w:pos="4111"/>
              </w:tabs>
              <w:spacing w:before="10"/>
              <w:ind w:left="57"/>
              <w:rPr>
                <w:rFonts w:cstheme="minorHAnsi"/>
                <w:b/>
                <w:bCs/>
                <w:sz w:val="22"/>
                <w:szCs w:val="22"/>
              </w:rPr>
            </w:pPr>
            <w:r w:rsidRPr="00EB4FF9">
              <w:rPr>
                <w:rFonts w:cstheme="minorHAnsi"/>
                <w:b/>
                <w:bCs/>
                <w:sz w:val="22"/>
                <w:szCs w:val="22"/>
              </w:rPr>
              <w:t>Tel.:</w:t>
            </w:r>
          </w:p>
        </w:tc>
        <w:tc>
          <w:tcPr>
            <w:tcW w:w="3467" w:type="dxa"/>
          </w:tcPr>
          <w:p w14:paraId="7E4C9830" w14:textId="46D7060B" w:rsidR="001350B9" w:rsidRPr="00EB4FF9" w:rsidRDefault="001C61A7" w:rsidP="00303D62">
            <w:pPr>
              <w:tabs>
                <w:tab w:val="left" w:pos="4111"/>
              </w:tabs>
              <w:spacing w:before="0"/>
              <w:ind w:left="57"/>
              <w:rPr>
                <w:rFonts w:cstheme="minorHAnsi"/>
                <w:sz w:val="22"/>
                <w:szCs w:val="22"/>
              </w:rPr>
            </w:pPr>
            <w:r w:rsidRPr="00EB4FF9">
              <w:rPr>
                <w:rFonts w:cstheme="minorHAnsi"/>
                <w:sz w:val="22"/>
                <w:szCs w:val="22"/>
              </w:rPr>
              <w:t>+41 22 730 5893</w:t>
            </w:r>
          </w:p>
        </w:tc>
        <w:tc>
          <w:tcPr>
            <w:tcW w:w="5329" w:type="dxa"/>
            <w:vMerge/>
          </w:tcPr>
          <w:p w14:paraId="5B77576E" w14:textId="77777777" w:rsidR="001350B9" w:rsidRPr="00EB4FF9" w:rsidRDefault="001350B9" w:rsidP="00303D62">
            <w:pPr>
              <w:tabs>
                <w:tab w:val="left" w:pos="226"/>
                <w:tab w:val="left" w:pos="510"/>
              </w:tabs>
              <w:spacing w:before="0"/>
              <w:ind w:left="226" w:hanging="169"/>
              <w:rPr>
                <w:rFonts w:cstheme="minorHAnsi"/>
                <w:b/>
                <w:sz w:val="22"/>
                <w:szCs w:val="22"/>
              </w:rPr>
            </w:pPr>
          </w:p>
        </w:tc>
      </w:tr>
      <w:tr w:rsidR="001350B9" w:rsidRPr="00EB4FF9" w14:paraId="74E3AF91" w14:textId="77777777" w:rsidTr="001C61A7">
        <w:trPr>
          <w:cantSplit/>
        </w:trPr>
        <w:tc>
          <w:tcPr>
            <w:tcW w:w="1410" w:type="dxa"/>
          </w:tcPr>
          <w:p w14:paraId="281A0F36" w14:textId="77777777" w:rsidR="001350B9" w:rsidRPr="00EB4FF9" w:rsidRDefault="001350B9" w:rsidP="00303D62">
            <w:pPr>
              <w:tabs>
                <w:tab w:val="left" w:pos="4111"/>
              </w:tabs>
              <w:spacing w:before="10"/>
              <w:ind w:left="57"/>
              <w:rPr>
                <w:rFonts w:cstheme="minorHAnsi"/>
                <w:b/>
                <w:bCs/>
                <w:sz w:val="22"/>
                <w:szCs w:val="22"/>
              </w:rPr>
            </w:pPr>
            <w:r w:rsidRPr="00EB4FF9">
              <w:rPr>
                <w:rFonts w:cstheme="minorHAnsi"/>
                <w:b/>
                <w:bCs/>
                <w:sz w:val="22"/>
                <w:szCs w:val="22"/>
              </w:rPr>
              <w:t>Fax:</w:t>
            </w:r>
          </w:p>
        </w:tc>
        <w:tc>
          <w:tcPr>
            <w:tcW w:w="3467" w:type="dxa"/>
          </w:tcPr>
          <w:p w14:paraId="0AC64A89" w14:textId="152EB98A" w:rsidR="001350B9" w:rsidRPr="00EB4FF9" w:rsidRDefault="001C61A7" w:rsidP="00303D62">
            <w:pPr>
              <w:tabs>
                <w:tab w:val="left" w:pos="4111"/>
              </w:tabs>
              <w:spacing w:before="0"/>
              <w:ind w:left="57"/>
              <w:rPr>
                <w:rFonts w:cstheme="minorHAnsi"/>
                <w:sz w:val="22"/>
                <w:szCs w:val="22"/>
              </w:rPr>
            </w:pPr>
            <w:r w:rsidRPr="00EB4FF9">
              <w:rPr>
                <w:rFonts w:cstheme="minorHAnsi"/>
                <w:sz w:val="22"/>
                <w:szCs w:val="22"/>
              </w:rPr>
              <w:t>+41 22 730 5853</w:t>
            </w:r>
          </w:p>
        </w:tc>
        <w:tc>
          <w:tcPr>
            <w:tcW w:w="5329" w:type="dxa"/>
            <w:vMerge/>
          </w:tcPr>
          <w:p w14:paraId="74261AEB" w14:textId="77777777" w:rsidR="001350B9" w:rsidRPr="00EB4FF9" w:rsidRDefault="001350B9" w:rsidP="00303D62">
            <w:pPr>
              <w:tabs>
                <w:tab w:val="left" w:pos="226"/>
                <w:tab w:val="left" w:pos="510"/>
              </w:tabs>
              <w:spacing w:before="0"/>
              <w:ind w:left="226" w:hanging="169"/>
              <w:rPr>
                <w:rFonts w:cstheme="minorHAnsi"/>
                <w:b/>
                <w:sz w:val="22"/>
                <w:szCs w:val="22"/>
              </w:rPr>
            </w:pPr>
          </w:p>
        </w:tc>
      </w:tr>
      <w:tr w:rsidR="001350B9" w:rsidRPr="00EB4FF9" w14:paraId="6F21EC52" w14:textId="77777777" w:rsidTr="001C61A7">
        <w:trPr>
          <w:cantSplit/>
        </w:trPr>
        <w:tc>
          <w:tcPr>
            <w:tcW w:w="1410" w:type="dxa"/>
          </w:tcPr>
          <w:p w14:paraId="5DD333CD" w14:textId="77777777" w:rsidR="001350B9" w:rsidRPr="00EB4FF9" w:rsidRDefault="001350B9" w:rsidP="00303D62">
            <w:pPr>
              <w:tabs>
                <w:tab w:val="left" w:pos="4111"/>
              </w:tabs>
              <w:spacing w:before="10"/>
              <w:ind w:left="57"/>
              <w:rPr>
                <w:rFonts w:cstheme="minorHAnsi"/>
                <w:b/>
                <w:bCs/>
                <w:sz w:val="22"/>
                <w:szCs w:val="22"/>
              </w:rPr>
            </w:pPr>
            <w:r w:rsidRPr="00EB4FF9">
              <w:rPr>
                <w:rFonts w:cstheme="minorHAnsi"/>
                <w:b/>
                <w:bCs/>
                <w:sz w:val="22"/>
                <w:szCs w:val="22"/>
              </w:rPr>
              <w:t>Correo-e:</w:t>
            </w:r>
          </w:p>
        </w:tc>
        <w:tc>
          <w:tcPr>
            <w:tcW w:w="3467" w:type="dxa"/>
          </w:tcPr>
          <w:p w14:paraId="0A772F7E" w14:textId="17D78113" w:rsidR="001350B9" w:rsidRPr="00EB4FF9" w:rsidRDefault="003B4332" w:rsidP="00303D62">
            <w:pPr>
              <w:tabs>
                <w:tab w:val="left" w:pos="4111"/>
              </w:tabs>
              <w:spacing w:before="0"/>
              <w:ind w:left="57"/>
              <w:rPr>
                <w:rFonts w:cstheme="minorHAnsi"/>
                <w:sz w:val="22"/>
                <w:szCs w:val="22"/>
              </w:rPr>
            </w:pPr>
            <w:hyperlink r:id="rId9" w:history="1">
              <w:r w:rsidR="005562CD" w:rsidRPr="00EB4FF9">
                <w:rPr>
                  <w:rStyle w:val="Hyperlink"/>
                  <w:rFonts w:cstheme="minorHAnsi"/>
                  <w:sz w:val="22"/>
                  <w:szCs w:val="22"/>
                </w:rPr>
                <w:t>tsbsg17@itu.int</w:t>
              </w:r>
            </w:hyperlink>
            <w:r w:rsidR="005562CD" w:rsidRPr="00EB4FF9">
              <w:rPr>
                <w:rFonts w:cstheme="minorHAnsi"/>
                <w:sz w:val="22"/>
                <w:szCs w:val="22"/>
              </w:rPr>
              <w:br/>
            </w:r>
            <w:hyperlink r:id="rId10" w:history="1">
              <w:r w:rsidR="005562CD" w:rsidRPr="00EB4FF9">
                <w:rPr>
                  <w:rStyle w:val="Hyperlink"/>
                  <w:rFonts w:cstheme="minorHAnsi"/>
                  <w:sz w:val="22"/>
                  <w:szCs w:val="22"/>
                </w:rPr>
                <w:t>tsbevents@itu.int</w:t>
              </w:r>
            </w:hyperlink>
          </w:p>
        </w:tc>
        <w:tc>
          <w:tcPr>
            <w:tcW w:w="5329" w:type="dxa"/>
            <w:vMerge/>
          </w:tcPr>
          <w:p w14:paraId="1965BD75" w14:textId="77777777" w:rsidR="001350B9" w:rsidRPr="00EB4FF9"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7B6316" w:rsidRPr="00EB4FF9" w14:paraId="2886E3E5" w14:textId="77777777" w:rsidTr="001C61A7">
        <w:trPr>
          <w:cantSplit/>
        </w:trPr>
        <w:tc>
          <w:tcPr>
            <w:tcW w:w="1410" w:type="dxa"/>
          </w:tcPr>
          <w:p w14:paraId="2C93AEC7" w14:textId="77777777" w:rsidR="007B6316" w:rsidRPr="00EB4FF9" w:rsidRDefault="007B6316" w:rsidP="005562CD">
            <w:pPr>
              <w:tabs>
                <w:tab w:val="left" w:pos="4111"/>
              </w:tabs>
              <w:ind w:left="57"/>
              <w:rPr>
                <w:rFonts w:cstheme="minorHAnsi"/>
                <w:b/>
                <w:bCs/>
                <w:sz w:val="22"/>
                <w:szCs w:val="22"/>
              </w:rPr>
            </w:pPr>
            <w:r w:rsidRPr="00EB4FF9">
              <w:rPr>
                <w:rFonts w:cstheme="minorHAnsi"/>
                <w:b/>
                <w:bCs/>
                <w:sz w:val="22"/>
                <w:szCs w:val="22"/>
              </w:rPr>
              <w:t>Asunto:</w:t>
            </w:r>
          </w:p>
        </w:tc>
        <w:tc>
          <w:tcPr>
            <w:tcW w:w="8796" w:type="dxa"/>
            <w:gridSpan w:val="2"/>
          </w:tcPr>
          <w:p w14:paraId="38A4E235" w14:textId="278A5A53" w:rsidR="007B6316" w:rsidRPr="00EB4FF9" w:rsidRDefault="005562CD" w:rsidP="005562CD">
            <w:pPr>
              <w:tabs>
                <w:tab w:val="left" w:pos="4111"/>
              </w:tabs>
              <w:rPr>
                <w:rFonts w:cstheme="minorHAnsi"/>
                <w:b/>
                <w:sz w:val="22"/>
                <w:szCs w:val="22"/>
              </w:rPr>
            </w:pPr>
            <w:r w:rsidRPr="00EB4FF9">
              <w:rPr>
                <w:rFonts w:cstheme="minorHAnsi"/>
                <w:b/>
                <w:sz w:val="22"/>
                <w:szCs w:val="22"/>
              </w:rPr>
              <w:t xml:space="preserve">Cumbre Regional sobre Ciberseguridad para África </w:t>
            </w:r>
            <w:r w:rsidRPr="00EB4FF9">
              <w:rPr>
                <w:rFonts w:cstheme="minorHAnsi"/>
                <w:b/>
                <w:sz w:val="22"/>
                <w:szCs w:val="22"/>
              </w:rPr>
              <w:br/>
              <w:t>(Kampala (Uganda), 20 a 23 de noviembre de 2023)</w:t>
            </w:r>
          </w:p>
        </w:tc>
      </w:tr>
    </w:tbl>
    <w:p w14:paraId="59E19D75" w14:textId="77777777" w:rsidR="00C34772" w:rsidRPr="00EB4FF9" w:rsidRDefault="00C34772" w:rsidP="00773476">
      <w:pPr>
        <w:pStyle w:val="Normalaftertitle0"/>
        <w:rPr>
          <w:rFonts w:cstheme="minorHAnsi"/>
          <w:sz w:val="22"/>
          <w:szCs w:val="22"/>
        </w:rPr>
      </w:pPr>
      <w:bookmarkStart w:id="1" w:name="StartTyping_S"/>
      <w:bookmarkStart w:id="2" w:name="suitetext"/>
      <w:bookmarkStart w:id="3" w:name="text"/>
      <w:bookmarkEnd w:id="1"/>
      <w:bookmarkEnd w:id="2"/>
      <w:bookmarkEnd w:id="3"/>
      <w:r w:rsidRPr="00EB4FF9">
        <w:rPr>
          <w:rFonts w:cstheme="minorHAnsi"/>
          <w:sz w:val="22"/>
          <w:szCs w:val="22"/>
        </w:rPr>
        <w:t>Muy Señora mía/Muy Señor mío:</w:t>
      </w:r>
    </w:p>
    <w:p w14:paraId="7C6C9020" w14:textId="77777777" w:rsidR="00597D46" w:rsidRPr="00EB4FF9" w:rsidRDefault="00597D46" w:rsidP="00597D46">
      <w:pPr>
        <w:rPr>
          <w:rFonts w:cstheme="minorHAnsi"/>
          <w:sz w:val="22"/>
          <w:szCs w:val="22"/>
        </w:rPr>
      </w:pPr>
      <w:r w:rsidRPr="00EB4FF9">
        <w:rPr>
          <w:rFonts w:cstheme="minorHAnsi"/>
          <w:sz w:val="22"/>
          <w:szCs w:val="22"/>
        </w:rPr>
        <w:t>1</w:t>
      </w:r>
      <w:r w:rsidRPr="00EB4FF9">
        <w:rPr>
          <w:rFonts w:cstheme="minorHAnsi"/>
          <w:sz w:val="22"/>
          <w:szCs w:val="22"/>
        </w:rPr>
        <w:tab/>
      </w:r>
      <w:proofErr w:type="gramStart"/>
      <w:r w:rsidRPr="00EB4FF9">
        <w:rPr>
          <w:rFonts w:cstheme="minorHAnsi"/>
          <w:sz w:val="22"/>
          <w:szCs w:val="22"/>
        </w:rPr>
        <w:t>Me</w:t>
      </w:r>
      <w:proofErr w:type="gramEnd"/>
      <w:r w:rsidRPr="00EB4FF9">
        <w:rPr>
          <w:rFonts w:cstheme="minorHAnsi"/>
          <w:sz w:val="22"/>
          <w:szCs w:val="22"/>
        </w:rPr>
        <w:t xml:space="preserve"> complace comunicarle que, tras la amable invitación de la Comisión de Comunicaciones de Uganda, en colaboración con el Equipo de Respuesta a Emergencias Informáticas de Uganda y con el apoyo de AfricaCERT, la Unión Internacional de Telecomunicaciones (UIT) está organizando una "</w:t>
      </w:r>
      <w:r w:rsidRPr="00EB4FF9">
        <w:rPr>
          <w:rFonts w:cstheme="minorHAnsi"/>
          <w:b/>
          <w:bCs/>
          <w:sz w:val="22"/>
          <w:szCs w:val="22"/>
        </w:rPr>
        <w:t>Cumbre Regional sobre Ciberseguridad para África</w:t>
      </w:r>
      <w:r w:rsidRPr="00EB4FF9">
        <w:rPr>
          <w:rFonts w:cstheme="minorHAnsi"/>
          <w:sz w:val="22"/>
          <w:szCs w:val="22"/>
        </w:rPr>
        <w:t>" en Kampala (Uganda), del 20 al 23 de noviembre de 2023.</w:t>
      </w:r>
    </w:p>
    <w:p w14:paraId="6BE22724" w14:textId="1D11DF71" w:rsidR="00597D46" w:rsidRPr="00EB4FF9" w:rsidRDefault="00597D46" w:rsidP="00597D46">
      <w:pPr>
        <w:rPr>
          <w:rFonts w:cstheme="minorHAnsi"/>
          <w:sz w:val="22"/>
          <w:szCs w:val="22"/>
        </w:rPr>
      </w:pPr>
      <w:r w:rsidRPr="00EB4FF9">
        <w:rPr>
          <w:rFonts w:cstheme="minorHAnsi"/>
          <w:sz w:val="22"/>
          <w:szCs w:val="22"/>
        </w:rPr>
        <w:t>2</w:t>
      </w:r>
      <w:r w:rsidRPr="00EB4FF9">
        <w:rPr>
          <w:rFonts w:cstheme="minorHAnsi"/>
          <w:sz w:val="22"/>
          <w:szCs w:val="22"/>
        </w:rPr>
        <w:tab/>
      </w:r>
      <w:proofErr w:type="gramStart"/>
      <w:r w:rsidRPr="00EB4FF9">
        <w:rPr>
          <w:rFonts w:cstheme="minorHAnsi"/>
          <w:sz w:val="22"/>
          <w:szCs w:val="22"/>
        </w:rPr>
        <w:t>En</w:t>
      </w:r>
      <w:proofErr w:type="gramEnd"/>
      <w:r w:rsidRPr="00EB4FF9">
        <w:rPr>
          <w:rFonts w:cstheme="minorHAnsi"/>
          <w:sz w:val="22"/>
          <w:szCs w:val="22"/>
        </w:rPr>
        <w:t xml:space="preserve"> nuestro panorama mundial cada vez más interconectado, la ciberseguridad se está convirtiendo en un elemento fundamental de la protección de los datos sensibles, la fortificación de las infraestructuras vitales y el fomento de la confianza en nuestras operaciones digitales. La Resolución 130 de la Conferencia de Plenipotenciarios de la UIT, en que se destaca la necesidad de reforzar el papel de la UIT para fomentar la confianza y la seguridad en la aplicación de las TIC, actúa como un principio central y rector en esta Cumbre Regional sobre Ciberseguridad.</w:t>
      </w:r>
    </w:p>
    <w:p w14:paraId="5E04724F" w14:textId="5760826D" w:rsidR="00597D46" w:rsidRPr="00EB4FF9" w:rsidRDefault="00597D46" w:rsidP="00597D46">
      <w:pPr>
        <w:rPr>
          <w:rFonts w:cstheme="minorHAnsi"/>
          <w:sz w:val="22"/>
          <w:szCs w:val="22"/>
        </w:rPr>
      </w:pPr>
      <w:r w:rsidRPr="00EB4FF9">
        <w:rPr>
          <w:rFonts w:cstheme="minorHAnsi"/>
          <w:sz w:val="22"/>
          <w:szCs w:val="22"/>
        </w:rPr>
        <w:t xml:space="preserve">La Cumbre también se ajusta a muchas otras resoluciones clave, como la </w:t>
      </w:r>
      <w:hyperlink r:id="rId11" w:history="1">
        <w:r w:rsidRPr="00EB4FF9">
          <w:rPr>
            <w:rStyle w:val="Hyperlink"/>
            <w:rFonts w:cstheme="minorHAnsi"/>
            <w:sz w:val="22"/>
            <w:szCs w:val="22"/>
          </w:rPr>
          <w:t>Resolución 50 de la AMNT</w:t>
        </w:r>
      </w:hyperlink>
      <w:r w:rsidRPr="00EB4FF9">
        <w:rPr>
          <w:rFonts w:cstheme="minorHAnsi"/>
          <w:sz w:val="22"/>
          <w:szCs w:val="22"/>
        </w:rPr>
        <w:t xml:space="preserve"> sobre ciberseguridad, la </w:t>
      </w:r>
      <w:hyperlink r:id="rId12" w:history="1">
        <w:r w:rsidRPr="00EB4FF9">
          <w:rPr>
            <w:rStyle w:val="Hyperlink"/>
            <w:rFonts w:cstheme="minorHAnsi"/>
            <w:sz w:val="22"/>
            <w:szCs w:val="22"/>
          </w:rPr>
          <w:t>Resolución 58 de la AMNT</w:t>
        </w:r>
      </w:hyperlink>
      <w:r w:rsidRPr="00EB4FF9">
        <w:rPr>
          <w:rFonts w:cstheme="minorHAnsi"/>
          <w:sz w:val="22"/>
          <w:szCs w:val="22"/>
        </w:rPr>
        <w:t xml:space="preserve"> en que se fomenta la creación de equipos nacionales de intervención en caso de incidente informático, con especial hincapié en los países en desarrollo, y la Resolución 69 de la CMDT que respalda la formación de equipos de intervención en caso de incidente informático (EIII), especialmente en naciones subdesarrolladas, y se refuerza su colaboración. La Cumbre también reconoce y cumple la Resolución 45 de la CMDT, en la que se refrendan estrategias de cooperación mejoradas en la esfera de la ciberseguridad, en particular la lucha y la reducción del correo basura.</w:t>
      </w:r>
    </w:p>
    <w:p w14:paraId="6BA21FA2" w14:textId="7F41EF63" w:rsidR="00597D46" w:rsidRPr="00EB4FF9" w:rsidRDefault="00597D46" w:rsidP="00597D46">
      <w:pPr>
        <w:keepNext/>
        <w:keepLines/>
        <w:rPr>
          <w:rFonts w:cstheme="minorHAnsi"/>
          <w:sz w:val="22"/>
          <w:szCs w:val="22"/>
        </w:rPr>
      </w:pPr>
      <w:r w:rsidRPr="00EB4FF9">
        <w:rPr>
          <w:rFonts w:cstheme="minorHAnsi"/>
          <w:sz w:val="22"/>
          <w:szCs w:val="22"/>
        </w:rPr>
        <w:t xml:space="preserve">Además, los objetivos de la Cumbre se ajustan a las prioridades de la iniciativa regional 3 para África, en que se hace hincapié en la fiabilidad y la seguridad en el despliegue de telecomunicaciones/TIC, así como en la protección de información personal, y la </w:t>
      </w:r>
      <w:hyperlink r:id="rId13" w:history="1">
        <w:r w:rsidRPr="00EB4FF9">
          <w:rPr>
            <w:rStyle w:val="Hyperlink"/>
            <w:rFonts w:cstheme="minorHAnsi"/>
            <w:sz w:val="22"/>
            <w:szCs w:val="22"/>
          </w:rPr>
          <w:t>Resolución 89 de la AMNT</w:t>
        </w:r>
      </w:hyperlink>
      <w:r w:rsidRPr="00EB4FF9">
        <w:rPr>
          <w:rFonts w:cstheme="minorHAnsi"/>
          <w:sz w:val="22"/>
          <w:szCs w:val="22"/>
        </w:rPr>
        <w:t xml:space="preserve"> que propone la utilización de las TIC para reducir la brecha de la inclusión financiera.</w:t>
      </w:r>
    </w:p>
    <w:p w14:paraId="45A46903" w14:textId="77777777" w:rsidR="00597D46" w:rsidRPr="00EB4FF9" w:rsidRDefault="00597D46" w:rsidP="00597D46">
      <w:pPr>
        <w:rPr>
          <w:rFonts w:cstheme="minorHAnsi"/>
          <w:sz w:val="22"/>
          <w:szCs w:val="22"/>
        </w:rPr>
      </w:pPr>
      <w:r w:rsidRPr="00EB4FF9">
        <w:rPr>
          <w:rFonts w:cstheme="minorHAnsi"/>
          <w:sz w:val="22"/>
          <w:szCs w:val="22"/>
        </w:rPr>
        <w:t>Algunos de los objetivos de la Cumbre son:</w:t>
      </w:r>
    </w:p>
    <w:p w14:paraId="5A598A5C" w14:textId="088E0A64" w:rsidR="00A07691" w:rsidRPr="00EB4FF9" w:rsidRDefault="00A07691" w:rsidP="00A07691">
      <w:pPr>
        <w:pStyle w:val="enumlev1"/>
        <w:rPr>
          <w:rFonts w:cstheme="minorHAnsi"/>
          <w:sz w:val="22"/>
          <w:szCs w:val="22"/>
        </w:rPr>
      </w:pPr>
      <w:r w:rsidRPr="00EB4FF9">
        <w:rPr>
          <w:rFonts w:cstheme="minorHAnsi"/>
          <w:sz w:val="22"/>
          <w:szCs w:val="22"/>
        </w:rPr>
        <w:t>–</w:t>
      </w:r>
      <w:r w:rsidRPr="00EB4FF9">
        <w:rPr>
          <w:rFonts w:cstheme="minorHAnsi"/>
          <w:sz w:val="22"/>
          <w:szCs w:val="22"/>
        </w:rPr>
        <w:tab/>
        <w:t xml:space="preserve">presentar la labor de la Comisión de Estudio 17 del UIT-T y exponer las principales normas en materia de seguridad con especial hincapié en la </w:t>
      </w:r>
      <w:hyperlink r:id="rId14" w:history="1">
        <w:r w:rsidRPr="00EB4FF9">
          <w:rPr>
            <w:rStyle w:val="Hyperlink"/>
            <w:rFonts w:cstheme="minorHAnsi"/>
            <w:sz w:val="22"/>
            <w:szCs w:val="22"/>
          </w:rPr>
          <w:t>Recomendación X.1060 del UIT-T</w:t>
        </w:r>
      </w:hyperlink>
      <w:r w:rsidRPr="00EB4FF9">
        <w:rPr>
          <w:rFonts w:cstheme="minorHAnsi"/>
          <w:sz w:val="22"/>
          <w:szCs w:val="22"/>
        </w:rPr>
        <w:t xml:space="preserve"> sobre "Marco para la creación y explotación de un centro de ciberdefensa</w:t>
      </w:r>
      <w:r w:rsidRPr="00EB4FF9">
        <w:rPr>
          <w:rFonts w:cstheme="minorHAnsi"/>
          <w:i/>
          <w:iCs/>
          <w:sz w:val="22"/>
          <w:szCs w:val="22"/>
        </w:rPr>
        <w:t>"</w:t>
      </w:r>
      <w:r w:rsidRPr="00EB4FF9">
        <w:rPr>
          <w:rFonts w:cstheme="minorHAnsi"/>
          <w:sz w:val="22"/>
          <w:szCs w:val="22"/>
        </w:rPr>
        <w:t>;</w:t>
      </w:r>
    </w:p>
    <w:p w14:paraId="381DC017" w14:textId="18EE769A" w:rsidR="00A07691" w:rsidRPr="00EB4FF9" w:rsidRDefault="00A07691" w:rsidP="00A07691">
      <w:pPr>
        <w:pStyle w:val="enumlev1"/>
        <w:rPr>
          <w:rFonts w:cstheme="minorHAnsi"/>
          <w:sz w:val="22"/>
          <w:szCs w:val="22"/>
        </w:rPr>
      </w:pPr>
      <w:r w:rsidRPr="00EB4FF9">
        <w:rPr>
          <w:rFonts w:cstheme="minorHAnsi"/>
          <w:sz w:val="22"/>
          <w:szCs w:val="22"/>
        </w:rPr>
        <w:lastRenderedPageBreak/>
        <w:t>–</w:t>
      </w:r>
      <w:r w:rsidRPr="00EB4FF9">
        <w:rPr>
          <w:rFonts w:cstheme="minorHAnsi"/>
          <w:sz w:val="22"/>
          <w:szCs w:val="22"/>
        </w:rPr>
        <w:tab/>
        <w:t>facilitar el intercambio de prácticas idóneas, experiencias y lecciones extraídas sobre las bases de la seguridad para los operadores de telecomunicaciones y la seguridad para las tecnologías emergentes;</w:t>
      </w:r>
    </w:p>
    <w:p w14:paraId="685F15EF" w14:textId="175EC44C" w:rsidR="00A07691" w:rsidRPr="00EB4FF9" w:rsidRDefault="00A07691" w:rsidP="00A07691">
      <w:pPr>
        <w:pStyle w:val="enumlev1"/>
        <w:rPr>
          <w:rFonts w:cstheme="minorHAnsi"/>
          <w:sz w:val="22"/>
          <w:szCs w:val="22"/>
        </w:rPr>
      </w:pPr>
      <w:r w:rsidRPr="00EB4FF9">
        <w:rPr>
          <w:rFonts w:cstheme="minorHAnsi"/>
          <w:sz w:val="22"/>
          <w:szCs w:val="22"/>
        </w:rPr>
        <w:t>–</w:t>
      </w:r>
      <w:r w:rsidRPr="00EB4FF9">
        <w:rPr>
          <w:rFonts w:cstheme="minorHAnsi"/>
          <w:sz w:val="22"/>
          <w:szCs w:val="22"/>
        </w:rPr>
        <w:tab/>
        <w:t xml:space="preserve">dar a conocer el </w:t>
      </w:r>
      <w:hyperlink r:id="rId15" w:history="1">
        <w:r w:rsidRPr="00EB4FF9">
          <w:rPr>
            <w:rStyle w:val="Hyperlink"/>
            <w:rFonts w:cstheme="minorHAnsi"/>
            <w:sz w:val="22"/>
            <w:szCs w:val="22"/>
          </w:rPr>
          <w:t>laboratorio de seguridad de los servicios financieros digitales</w:t>
        </w:r>
      </w:hyperlink>
      <w:r w:rsidRPr="00EB4FF9">
        <w:rPr>
          <w:rFonts w:cstheme="minorHAnsi"/>
          <w:sz w:val="22"/>
          <w:szCs w:val="22"/>
        </w:rPr>
        <w:t xml:space="preserve"> de la UIT y las orientaciones prácticas puestas a disposición de los países en desarrollo para implementar marcos sólidos de garantía de la seguridad para los servicios financieros digitales;</w:t>
      </w:r>
    </w:p>
    <w:p w14:paraId="22D95B07" w14:textId="439FD41D" w:rsidR="00A07691" w:rsidRPr="00EB4FF9" w:rsidRDefault="00A07691" w:rsidP="00A07691">
      <w:pPr>
        <w:pStyle w:val="enumlev1"/>
        <w:rPr>
          <w:rFonts w:cstheme="minorHAnsi"/>
          <w:sz w:val="22"/>
          <w:szCs w:val="22"/>
        </w:rPr>
      </w:pPr>
      <w:r w:rsidRPr="00EB4FF9">
        <w:rPr>
          <w:rFonts w:cstheme="minorHAnsi"/>
          <w:sz w:val="22"/>
          <w:szCs w:val="22"/>
        </w:rPr>
        <w:t>–</w:t>
      </w:r>
      <w:r w:rsidRPr="00EB4FF9">
        <w:rPr>
          <w:rFonts w:cstheme="minorHAnsi"/>
          <w:sz w:val="22"/>
          <w:szCs w:val="22"/>
        </w:rPr>
        <w:tab/>
        <w:t>analizar métodos para valorar la resiliencia cibernética de las infraestructuras críticas de las redes de telecomunicaciones, con especial hincapié en la seguridad de las infraestructuras y aplicaciones para servicios financieros digitales; y</w:t>
      </w:r>
    </w:p>
    <w:p w14:paraId="0785CFEC" w14:textId="5551320B" w:rsidR="00A07691" w:rsidRPr="00EB4FF9" w:rsidRDefault="00A07691" w:rsidP="00A07691">
      <w:pPr>
        <w:pStyle w:val="enumlev1"/>
        <w:rPr>
          <w:rFonts w:cstheme="minorHAnsi"/>
          <w:sz w:val="22"/>
          <w:szCs w:val="22"/>
        </w:rPr>
      </w:pPr>
      <w:r w:rsidRPr="00EB4FF9">
        <w:rPr>
          <w:rFonts w:cstheme="minorHAnsi"/>
          <w:sz w:val="22"/>
          <w:szCs w:val="22"/>
        </w:rPr>
        <w:t>–</w:t>
      </w:r>
      <w:r w:rsidRPr="00EB4FF9">
        <w:rPr>
          <w:rFonts w:cstheme="minorHAnsi"/>
          <w:sz w:val="22"/>
          <w:szCs w:val="22"/>
        </w:rPr>
        <w:tab/>
        <w:t>proporcionar una plataforma para que los expertos en ciberseguridad de la región de África refuercen su grado de preparación, su resiliencia y su coordinación en la respuesta a fin de proteger las infraestructuras críticas y responder a las nuevas amenazas del panorama de la ciberseguridad.</w:t>
      </w:r>
    </w:p>
    <w:p w14:paraId="1F17193B" w14:textId="77777777" w:rsidR="005C42A3" w:rsidRPr="00EB4FF9" w:rsidRDefault="005C42A3" w:rsidP="005C42A3">
      <w:pPr>
        <w:rPr>
          <w:rFonts w:cstheme="minorHAnsi"/>
          <w:sz w:val="22"/>
          <w:szCs w:val="22"/>
        </w:rPr>
      </w:pPr>
      <w:r w:rsidRPr="00EB4FF9">
        <w:rPr>
          <w:rFonts w:cstheme="minorHAnsi"/>
          <w:sz w:val="22"/>
          <w:szCs w:val="22"/>
        </w:rPr>
        <w:t>3</w:t>
      </w:r>
      <w:r w:rsidRPr="00EB4FF9">
        <w:rPr>
          <w:rFonts w:cstheme="minorHAnsi"/>
          <w:sz w:val="22"/>
          <w:szCs w:val="22"/>
        </w:rPr>
        <w:tab/>
      </w:r>
      <w:proofErr w:type="gramStart"/>
      <w:r w:rsidRPr="00EB4FF9">
        <w:rPr>
          <w:rFonts w:cstheme="minorHAnsi"/>
          <w:sz w:val="22"/>
          <w:szCs w:val="22"/>
        </w:rPr>
        <w:t>La</w:t>
      </w:r>
      <w:proofErr w:type="gramEnd"/>
      <w:r w:rsidRPr="00EB4FF9">
        <w:rPr>
          <w:rFonts w:cstheme="minorHAnsi"/>
          <w:sz w:val="22"/>
          <w:szCs w:val="22"/>
        </w:rPr>
        <w:t xml:space="preserve"> Cumbre estará compuesta por los siguientes eventos:</w:t>
      </w:r>
    </w:p>
    <w:p w14:paraId="542FB50A" w14:textId="44384103" w:rsidR="005C42A3" w:rsidRPr="00EB4FF9" w:rsidRDefault="005C42A3" w:rsidP="005C42A3">
      <w:pPr>
        <w:pStyle w:val="enumlev1"/>
        <w:rPr>
          <w:rFonts w:cstheme="minorHAnsi"/>
          <w:sz w:val="22"/>
          <w:szCs w:val="22"/>
        </w:rPr>
      </w:pPr>
      <w:r w:rsidRPr="00EB4FF9">
        <w:rPr>
          <w:rFonts w:cstheme="minorHAnsi"/>
          <w:sz w:val="22"/>
          <w:szCs w:val="22"/>
        </w:rPr>
        <w:t>–</w:t>
      </w:r>
      <w:r w:rsidRPr="00EB4FF9">
        <w:rPr>
          <w:rFonts w:cstheme="minorHAnsi"/>
          <w:sz w:val="22"/>
          <w:szCs w:val="22"/>
        </w:rPr>
        <w:tab/>
      </w:r>
      <w:r w:rsidRPr="00EB4FF9">
        <w:rPr>
          <w:rFonts w:cstheme="minorHAnsi"/>
          <w:b/>
          <w:bCs/>
          <w:sz w:val="22"/>
          <w:szCs w:val="22"/>
        </w:rPr>
        <w:t>20 de noviembre de 2023</w:t>
      </w:r>
      <w:r w:rsidRPr="00EB4FF9">
        <w:rPr>
          <w:rFonts w:cstheme="minorHAnsi"/>
          <w:sz w:val="22"/>
          <w:szCs w:val="22"/>
        </w:rPr>
        <w:t>: Taller de la UIT sobre "Fortalecimiento de la seguridad en la economía digital"</w:t>
      </w:r>
    </w:p>
    <w:p w14:paraId="45411AD9" w14:textId="0AD89C48" w:rsidR="005C42A3" w:rsidRPr="00EB4FF9" w:rsidRDefault="005C42A3" w:rsidP="005C42A3">
      <w:pPr>
        <w:pStyle w:val="enumlev1"/>
        <w:rPr>
          <w:rFonts w:cstheme="minorHAnsi"/>
          <w:b/>
          <w:bCs/>
          <w:sz w:val="22"/>
          <w:szCs w:val="22"/>
        </w:rPr>
      </w:pPr>
      <w:r w:rsidRPr="00EB4FF9">
        <w:rPr>
          <w:rFonts w:cstheme="minorHAnsi"/>
          <w:sz w:val="22"/>
          <w:szCs w:val="22"/>
        </w:rPr>
        <w:t>–</w:t>
      </w:r>
      <w:r w:rsidRPr="00EB4FF9">
        <w:rPr>
          <w:rFonts w:cstheme="minorHAnsi"/>
          <w:sz w:val="22"/>
          <w:szCs w:val="22"/>
        </w:rPr>
        <w:tab/>
      </w:r>
      <w:r w:rsidRPr="00EB4FF9">
        <w:rPr>
          <w:rFonts w:cstheme="minorHAnsi"/>
          <w:b/>
          <w:bCs/>
          <w:sz w:val="22"/>
          <w:szCs w:val="22"/>
        </w:rPr>
        <w:t>21 de noviembre de 2023</w:t>
      </w:r>
      <w:r w:rsidRPr="00EB4FF9">
        <w:rPr>
          <w:rFonts w:cstheme="minorHAnsi"/>
          <w:sz w:val="22"/>
          <w:szCs w:val="22"/>
        </w:rPr>
        <w:t>: Laboratorio de aprendizaje en materia de seguridad sobre "Servicios financieros digitales"</w:t>
      </w:r>
    </w:p>
    <w:p w14:paraId="6DAFC4FB" w14:textId="70FDA88F" w:rsidR="005C42A3" w:rsidRPr="00EB4FF9" w:rsidRDefault="005C42A3" w:rsidP="005C42A3">
      <w:pPr>
        <w:pStyle w:val="enumlev1"/>
        <w:rPr>
          <w:rFonts w:cstheme="minorHAnsi"/>
          <w:sz w:val="22"/>
          <w:szCs w:val="22"/>
        </w:rPr>
      </w:pPr>
      <w:r w:rsidRPr="00EB4FF9">
        <w:rPr>
          <w:rFonts w:cstheme="minorHAnsi"/>
          <w:sz w:val="22"/>
          <w:szCs w:val="22"/>
        </w:rPr>
        <w:t>–</w:t>
      </w:r>
      <w:r w:rsidRPr="00EB4FF9">
        <w:rPr>
          <w:rFonts w:cstheme="minorHAnsi"/>
          <w:sz w:val="22"/>
          <w:szCs w:val="22"/>
        </w:rPr>
        <w:tab/>
      </w:r>
      <w:r w:rsidRPr="00EB4FF9">
        <w:rPr>
          <w:rFonts w:cstheme="minorHAnsi"/>
          <w:b/>
          <w:bCs/>
          <w:sz w:val="22"/>
          <w:szCs w:val="22"/>
        </w:rPr>
        <w:t>22 de noviembre de 2023</w:t>
      </w:r>
      <w:r w:rsidRPr="00EB4FF9">
        <w:rPr>
          <w:rFonts w:cstheme="minorHAnsi"/>
          <w:sz w:val="22"/>
          <w:szCs w:val="22"/>
        </w:rPr>
        <w:t>: Cibersimulacro</w:t>
      </w:r>
    </w:p>
    <w:p w14:paraId="0B24BC56" w14:textId="1277A6F4" w:rsidR="005C42A3" w:rsidRPr="00EB4FF9" w:rsidRDefault="005C42A3" w:rsidP="005C42A3">
      <w:pPr>
        <w:pStyle w:val="enumlev1"/>
        <w:rPr>
          <w:rFonts w:cstheme="minorHAnsi"/>
          <w:sz w:val="22"/>
          <w:szCs w:val="22"/>
        </w:rPr>
      </w:pPr>
      <w:r w:rsidRPr="00EB4FF9">
        <w:rPr>
          <w:rFonts w:cstheme="minorHAnsi"/>
          <w:sz w:val="22"/>
          <w:szCs w:val="22"/>
        </w:rPr>
        <w:t>–</w:t>
      </w:r>
      <w:r w:rsidRPr="00EB4FF9">
        <w:rPr>
          <w:rFonts w:cstheme="minorHAnsi"/>
          <w:sz w:val="22"/>
          <w:szCs w:val="22"/>
        </w:rPr>
        <w:tab/>
      </w:r>
      <w:r w:rsidRPr="00EB4FF9">
        <w:rPr>
          <w:rFonts w:cstheme="minorHAnsi"/>
          <w:b/>
          <w:bCs/>
          <w:sz w:val="22"/>
          <w:szCs w:val="22"/>
        </w:rPr>
        <w:t>23 de noviembre de 2023</w:t>
      </w:r>
      <w:r w:rsidRPr="00EB4FF9">
        <w:rPr>
          <w:rFonts w:cstheme="minorHAnsi"/>
          <w:sz w:val="22"/>
          <w:szCs w:val="22"/>
        </w:rPr>
        <w:t>: Reunión del Grupo Regional para África de la Comisión de Estudio 17 del UIT-T (GRCE17-AFR)</w:t>
      </w:r>
    </w:p>
    <w:p w14:paraId="1B59D921" w14:textId="4202AA8B" w:rsidR="005C42A3" w:rsidRPr="00EB4FF9" w:rsidRDefault="005C42A3" w:rsidP="005C42A3">
      <w:pPr>
        <w:rPr>
          <w:rFonts w:cstheme="minorHAnsi"/>
          <w:sz w:val="22"/>
          <w:szCs w:val="22"/>
        </w:rPr>
      </w:pPr>
      <w:r w:rsidRPr="00EB4FF9">
        <w:rPr>
          <w:rFonts w:cstheme="minorHAnsi"/>
          <w:sz w:val="22"/>
          <w:szCs w:val="22"/>
        </w:rPr>
        <w:t xml:space="preserve">Durante la Cumbre también se celebrarán sesiones de formación sobre la </w:t>
      </w:r>
      <w:hyperlink r:id="rId16" w:history="1">
        <w:r w:rsidRPr="00EB4FF9">
          <w:rPr>
            <w:rStyle w:val="Hyperlink"/>
            <w:rFonts w:cstheme="minorHAnsi"/>
            <w:sz w:val="22"/>
            <w:szCs w:val="22"/>
          </w:rPr>
          <w:t>reducción de la brecha de normalización</w:t>
        </w:r>
      </w:hyperlink>
      <w:r w:rsidRPr="00EB4FF9">
        <w:rPr>
          <w:rFonts w:cstheme="minorHAnsi"/>
          <w:sz w:val="22"/>
          <w:szCs w:val="22"/>
        </w:rPr>
        <w:t>, con especial énfasis en la aplicación práctica de las Recomendaciones de seguridad del UIT-T en los marcos nacionales.</w:t>
      </w:r>
    </w:p>
    <w:p w14:paraId="60EB8F11" w14:textId="77777777" w:rsidR="005C42A3" w:rsidRPr="00EB4FF9" w:rsidRDefault="005C42A3" w:rsidP="005C42A3">
      <w:pPr>
        <w:rPr>
          <w:rFonts w:cstheme="minorHAnsi"/>
          <w:sz w:val="22"/>
          <w:szCs w:val="22"/>
        </w:rPr>
      </w:pPr>
      <w:r w:rsidRPr="00EB4FF9">
        <w:rPr>
          <w:rFonts w:cstheme="minorHAnsi"/>
          <w:sz w:val="22"/>
          <w:szCs w:val="22"/>
        </w:rPr>
        <w:t>4</w:t>
      </w:r>
      <w:r w:rsidRPr="00EB4FF9">
        <w:rPr>
          <w:rFonts w:cstheme="minorHAnsi"/>
          <w:sz w:val="22"/>
          <w:szCs w:val="22"/>
        </w:rPr>
        <w:tab/>
      </w:r>
      <w:proofErr w:type="gramStart"/>
      <w:r w:rsidRPr="00EB4FF9">
        <w:rPr>
          <w:rFonts w:cstheme="minorHAnsi"/>
          <w:sz w:val="22"/>
          <w:szCs w:val="22"/>
        </w:rPr>
        <w:t>La</w:t>
      </w:r>
      <w:proofErr w:type="gramEnd"/>
      <w:r w:rsidRPr="00EB4FF9">
        <w:rPr>
          <w:rFonts w:cstheme="minorHAnsi"/>
          <w:sz w:val="22"/>
          <w:szCs w:val="22"/>
        </w:rPr>
        <w:t xml:space="preserve"> Cumbre está dirigida a representantes de organismos reguladores de telecomunicaciones, organismos nacionales de ciberseguridad, ministerios, proveedores y distribuidores de servicios y soluciones, instituciones académicas, instituciones de investigación y desarrollo, y otras organizaciones que se ocupan de temas relacionados con la seguridad. La participación es gratuita y está abierta (del 20 al 22 de noviembre de 2023) a todas las partes interesadas, en particular a los Estados Miembros, Miembros de Sector, Asociados e Instituciones Académicas de la UIT, así como a cualquier persona de un país que sea miembro de la UIT y desee contribuir a los trabajos.</w:t>
      </w:r>
    </w:p>
    <w:p w14:paraId="47DC7556" w14:textId="77777777" w:rsidR="005C42A3" w:rsidRPr="00EB4FF9" w:rsidRDefault="005C42A3" w:rsidP="005C42A3">
      <w:pPr>
        <w:keepNext/>
        <w:keepLines/>
        <w:rPr>
          <w:rFonts w:cstheme="minorHAnsi"/>
          <w:sz w:val="22"/>
          <w:szCs w:val="22"/>
        </w:rPr>
      </w:pPr>
      <w:bookmarkStart w:id="4" w:name="_Hlk140479599"/>
      <w:r w:rsidRPr="00EB4FF9">
        <w:rPr>
          <w:rFonts w:cstheme="minorHAnsi"/>
          <w:b/>
          <w:bCs/>
          <w:sz w:val="22"/>
          <w:szCs w:val="22"/>
        </w:rPr>
        <w:t xml:space="preserve">Los representantes de los Estados Miembros, Miembros de Sector e Instituciones Académicas de la región de África, así como los Asociados que pertenecen a la Comisión de Estudio 17 y la región de África, además de los participantes invitados por el grupo regional, pueden participar en la reunión del GRCE17-AFR de 23 de noviembre de 2023, como se indica en la </w:t>
      </w:r>
      <w:hyperlink r:id="rId17" w:history="1">
        <w:r w:rsidRPr="00EB4FF9">
          <w:rPr>
            <w:rStyle w:val="Hyperlink"/>
            <w:rFonts w:cstheme="minorHAnsi"/>
            <w:b/>
            <w:bCs/>
            <w:sz w:val="22"/>
            <w:szCs w:val="22"/>
          </w:rPr>
          <w:t>Resolución 54 (Rev. Ginebra, 2022) de la AMNT</w:t>
        </w:r>
      </w:hyperlink>
      <w:r w:rsidRPr="00EB4FF9">
        <w:rPr>
          <w:rFonts w:cstheme="minorHAnsi"/>
          <w:b/>
          <w:bCs/>
          <w:sz w:val="22"/>
          <w:szCs w:val="22"/>
        </w:rPr>
        <w:t xml:space="preserve"> (</w:t>
      </w:r>
      <w:r w:rsidRPr="00EB4FF9">
        <w:rPr>
          <w:rFonts w:cstheme="minorHAnsi"/>
          <w:b/>
          <w:bCs/>
          <w:i/>
          <w:iCs/>
          <w:sz w:val="22"/>
          <w:szCs w:val="22"/>
        </w:rPr>
        <w:t xml:space="preserve">resuelve </w:t>
      </w:r>
      <w:r w:rsidRPr="00EB4FF9">
        <w:rPr>
          <w:rFonts w:cstheme="minorHAnsi"/>
          <w:b/>
          <w:bCs/>
          <w:sz w:val="22"/>
          <w:szCs w:val="22"/>
        </w:rPr>
        <w:t>4 a 6).</w:t>
      </w:r>
    </w:p>
    <w:bookmarkEnd w:id="4"/>
    <w:p w14:paraId="6F8E4F3D" w14:textId="77777777" w:rsidR="005C42A3" w:rsidRPr="00EB4FF9" w:rsidRDefault="005C42A3" w:rsidP="005C42A3">
      <w:pPr>
        <w:tabs>
          <w:tab w:val="left" w:pos="900"/>
        </w:tabs>
        <w:rPr>
          <w:rFonts w:cstheme="minorHAnsi"/>
          <w:sz w:val="22"/>
          <w:szCs w:val="22"/>
        </w:rPr>
      </w:pPr>
      <w:r w:rsidRPr="00EB4FF9">
        <w:rPr>
          <w:rFonts w:cstheme="minorHAnsi"/>
          <w:sz w:val="22"/>
          <w:szCs w:val="22"/>
        </w:rPr>
        <w:t>5</w:t>
      </w:r>
      <w:r w:rsidRPr="00EB4FF9">
        <w:rPr>
          <w:rFonts w:cstheme="minorHAnsi"/>
          <w:sz w:val="22"/>
          <w:szCs w:val="22"/>
        </w:rPr>
        <w:tab/>
      </w:r>
      <w:proofErr w:type="gramStart"/>
      <w:r w:rsidRPr="00EB4FF9">
        <w:rPr>
          <w:rFonts w:cstheme="minorHAnsi"/>
          <w:sz w:val="22"/>
          <w:szCs w:val="22"/>
        </w:rPr>
        <w:t>Toda</w:t>
      </w:r>
      <w:proofErr w:type="gramEnd"/>
      <w:r w:rsidRPr="00EB4FF9">
        <w:rPr>
          <w:rFonts w:cstheme="minorHAnsi"/>
          <w:sz w:val="22"/>
          <w:szCs w:val="22"/>
        </w:rPr>
        <w:t xml:space="preserve"> la información pertinente relativa a estos eventos (proyecto de programa, ponentes y enlace de inscripción) estará disponible en el siguiente sitio web: </w:t>
      </w:r>
      <w:hyperlink r:id="rId18" w:history="1">
        <w:r w:rsidRPr="00EB4FF9">
          <w:rPr>
            <w:rStyle w:val="Hyperlink"/>
            <w:rFonts w:cstheme="minorHAnsi"/>
            <w:sz w:val="22"/>
            <w:szCs w:val="22"/>
          </w:rPr>
          <w:t>https://www.itu.int/en/ITU-T/Workshops-and-Seminars/2023/1120/Pages/default.aspx</w:t>
        </w:r>
      </w:hyperlink>
      <w:r w:rsidRPr="00EB4FF9">
        <w:rPr>
          <w:rFonts w:cstheme="minorHAnsi"/>
          <w:sz w:val="22"/>
          <w:szCs w:val="22"/>
        </w:rPr>
        <w:t>.</w:t>
      </w:r>
    </w:p>
    <w:p w14:paraId="4182BFAF" w14:textId="77777777" w:rsidR="005C42A3" w:rsidRPr="00EB4FF9" w:rsidRDefault="005C42A3" w:rsidP="005C42A3">
      <w:pPr>
        <w:tabs>
          <w:tab w:val="left" w:pos="900"/>
        </w:tabs>
        <w:rPr>
          <w:rFonts w:cstheme="minorHAnsi"/>
          <w:sz w:val="22"/>
          <w:szCs w:val="22"/>
        </w:rPr>
      </w:pPr>
      <w:r w:rsidRPr="00EB4FF9">
        <w:rPr>
          <w:rFonts w:cstheme="minorHAnsi"/>
          <w:sz w:val="22"/>
          <w:szCs w:val="22"/>
        </w:rPr>
        <w:t>El sitio web se actualizará periódicamente a medida que se disponga de más información. Se recomienda a los participantes que consulten periódicamente el sitio web para conocer las últimas actualizaciones.</w:t>
      </w:r>
    </w:p>
    <w:p w14:paraId="50008566" w14:textId="77777777" w:rsidR="005C42A3" w:rsidRPr="00EB4FF9" w:rsidRDefault="005C42A3" w:rsidP="005C42A3">
      <w:pPr>
        <w:tabs>
          <w:tab w:val="left" w:pos="900"/>
        </w:tabs>
        <w:rPr>
          <w:rFonts w:cstheme="minorHAnsi"/>
          <w:sz w:val="22"/>
          <w:szCs w:val="22"/>
        </w:rPr>
      </w:pPr>
      <w:r w:rsidRPr="00EB4FF9">
        <w:rPr>
          <w:rFonts w:cstheme="minorHAnsi"/>
          <w:sz w:val="22"/>
          <w:szCs w:val="22"/>
        </w:rPr>
        <w:t>6</w:t>
      </w:r>
      <w:r w:rsidRPr="00EB4FF9">
        <w:rPr>
          <w:rFonts w:cstheme="minorHAnsi"/>
          <w:sz w:val="22"/>
          <w:szCs w:val="22"/>
        </w:rPr>
        <w:tab/>
      </w:r>
      <w:proofErr w:type="gramStart"/>
      <w:r w:rsidRPr="00EB4FF9">
        <w:rPr>
          <w:rFonts w:cstheme="minorHAnsi"/>
          <w:sz w:val="22"/>
          <w:szCs w:val="22"/>
        </w:rPr>
        <w:t>En</w:t>
      </w:r>
      <w:proofErr w:type="gramEnd"/>
      <w:r w:rsidRPr="00EB4FF9">
        <w:rPr>
          <w:rFonts w:cstheme="minorHAnsi"/>
          <w:sz w:val="22"/>
          <w:szCs w:val="22"/>
        </w:rPr>
        <w:t xml:space="preserve"> el sitio web de la UIT antes mencionado figura información general para los participantes sobre alojamiento en hoteles, transporte y requisitos de visado.</w:t>
      </w:r>
    </w:p>
    <w:p w14:paraId="3F0A7851" w14:textId="77777777" w:rsidR="005C42A3" w:rsidRPr="00EB4FF9" w:rsidRDefault="005C42A3" w:rsidP="005C42A3">
      <w:pPr>
        <w:rPr>
          <w:rFonts w:cstheme="minorHAnsi"/>
          <w:sz w:val="22"/>
          <w:szCs w:val="22"/>
        </w:rPr>
      </w:pPr>
      <w:r w:rsidRPr="00EB4FF9">
        <w:rPr>
          <w:rFonts w:cstheme="minorHAnsi"/>
          <w:sz w:val="22"/>
          <w:szCs w:val="22"/>
        </w:rPr>
        <w:t xml:space="preserve">Todos los participantes que deseen asistir al taller deberán inscribirse previamente. Tenga a bien completar cuanto antes el formulario de inscripción en línea disponible en la dirección: </w:t>
      </w:r>
      <w:hyperlink r:id="rId19" w:history="1">
        <w:r w:rsidRPr="00EB4FF9">
          <w:rPr>
            <w:rStyle w:val="Hyperlink"/>
            <w:rFonts w:cstheme="minorHAnsi"/>
            <w:sz w:val="22"/>
            <w:szCs w:val="22"/>
          </w:rPr>
          <w:t>https://www.itu.int/net4/CRM/xreg/web/registration.aspx?Event=C-00012871</w:t>
        </w:r>
      </w:hyperlink>
      <w:r w:rsidRPr="00EB4FF9">
        <w:rPr>
          <w:rFonts w:cstheme="minorHAnsi"/>
          <w:sz w:val="22"/>
          <w:szCs w:val="22"/>
          <w:u w:val="single"/>
        </w:rPr>
        <w:t>.</w:t>
      </w:r>
    </w:p>
    <w:p w14:paraId="0FB6823C" w14:textId="77777777" w:rsidR="005C42A3" w:rsidRPr="00EB4FF9" w:rsidRDefault="005C42A3" w:rsidP="005C42A3">
      <w:pPr>
        <w:tabs>
          <w:tab w:val="left" w:pos="900"/>
        </w:tabs>
        <w:rPr>
          <w:rFonts w:cstheme="minorHAnsi"/>
          <w:sz w:val="22"/>
          <w:szCs w:val="22"/>
        </w:rPr>
      </w:pPr>
      <w:r w:rsidRPr="00EB4FF9">
        <w:rPr>
          <w:rFonts w:cstheme="minorHAnsi"/>
          <w:b/>
          <w:bCs/>
          <w:sz w:val="22"/>
          <w:szCs w:val="22"/>
        </w:rPr>
        <w:t>Se recomienda inscribirse lo antes posible para la asistencia</w:t>
      </w:r>
      <w:r w:rsidRPr="00EB4FF9">
        <w:rPr>
          <w:rFonts w:cstheme="minorHAnsi"/>
          <w:b/>
          <w:bCs/>
          <w:i/>
          <w:iCs/>
          <w:sz w:val="22"/>
          <w:szCs w:val="22"/>
        </w:rPr>
        <w:t xml:space="preserve"> in situ</w:t>
      </w:r>
      <w:r w:rsidRPr="00EB4FF9">
        <w:rPr>
          <w:rFonts w:cstheme="minorHAnsi"/>
          <w:i/>
          <w:iCs/>
          <w:sz w:val="22"/>
          <w:szCs w:val="22"/>
        </w:rPr>
        <w:t xml:space="preserve"> </w:t>
      </w:r>
      <w:r w:rsidRPr="00EB4FF9">
        <w:rPr>
          <w:rFonts w:cstheme="minorHAnsi"/>
          <w:sz w:val="22"/>
          <w:szCs w:val="22"/>
        </w:rPr>
        <w:t xml:space="preserve">y, a fin de que el anfitrión pueda tomar las disposiciones necesarias sobre la logística, </w:t>
      </w:r>
      <w:r w:rsidRPr="00EB4FF9">
        <w:rPr>
          <w:rFonts w:cstheme="minorHAnsi"/>
          <w:b/>
          <w:bCs/>
          <w:sz w:val="22"/>
          <w:szCs w:val="22"/>
        </w:rPr>
        <w:t xml:space="preserve">la inscripción para la asistencia </w:t>
      </w:r>
      <w:r w:rsidRPr="00EB4FF9">
        <w:rPr>
          <w:rFonts w:cstheme="minorHAnsi"/>
          <w:b/>
          <w:bCs/>
          <w:i/>
          <w:iCs/>
          <w:sz w:val="22"/>
          <w:szCs w:val="22"/>
        </w:rPr>
        <w:t>in situ</w:t>
      </w:r>
      <w:r w:rsidRPr="00EB4FF9">
        <w:rPr>
          <w:rFonts w:cstheme="minorHAnsi"/>
          <w:b/>
          <w:bCs/>
          <w:sz w:val="22"/>
          <w:szCs w:val="22"/>
        </w:rPr>
        <w:t xml:space="preserve"> </w:t>
      </w:r>
      <w:r w:rsidRPr="00EB4FF9">
        <w:rPr>
          <w:rFonts w:cstheme="minorHAnsi"/>
          <w:sz w:val="22"/>
          <w:szCs w:val="22"/>
        </w:rPr>
        <w:t xml:space="preserve">debe realizarse a más </w:t>
      </w:r>
      <w:r w:rsidRPr="00EB4FF9">
        <w:rPr>
          <w:rFonts w:cstheme="minorHAnsi"/>
          <w:sz w:val="22"/>
          <w:szCs w:val="22"/>
        </w:rPr>
        <w:lastRenderedPageBreak/>
        <w:t xml:space="preserve">tardar el </w:t>
      </w:r>
      <w:r w:rsidRPr="00EB4FF9">
        <w:rPr>
          <w:rFonts w:cstheme="minorHAnsi"/>
          <w:b/>
          <w:bCs/>
          <w:sz w:val="22"/>
          <w:szCs w:val="22"/>
        </w:rPr>
        <w:t>1 de noviembre de 2023</w:t>
      </w:r>
      <w:r w:rsidRPr="00EB4FF9">
        <w:rPr>
          <w:rFonts w:cstheme="minorHAnsi"/>
          <w:sz w:val="22"/>
          <w:szCs w:val="22"/>
        </w:rPr>
        <w:t>. Le rogamos tenga presente que la preinscripción de los participantes en nuestros eventos se lleva a cabo exclusivamente en línea.</w:t>
      </w:r>
    </w:p>
    <w:p w14:paraId="67AF0439" w14:textId="77777777" w:rsidR="005C42A3" w:rsidRPr="00EB4FF9" w:rsidRDefault="005C42A3" w:rsidP="005C42A3">
      <w:pPr>
        <w:rPr>
          <w:rFonts w:cstheme="minorHAnsi"/>
          <w:sz w:val="22"/>
          <w:szCs w:val="22"/>
        </w:rPr>
      </w:pPr>
      <w:r w:rsidRPr="00EB4FF9">
        <w:rPr>
          <w:rFonts w:cstheme="minorHAnsi"/>
          <w:b/>
          <w:bCs/>
          <w:sz w:val="22"/>
          <w:szCs w:val="22"/>
        </w:rPr>
        <w:t>Tenga asimismo presente que es necesario inscribirse por separado para participar en la reunión del Grupo Regional para África de la Comisión de Estudio 17 del UIT-T (GRCE17-AFR).</w:t>
      </w:r>
      <w:r w:rsidRPr="00EB4FF9">
        <w:rPr>
          <w:rFonts w:cstheme="minorHAnsi"/>
          <w:sz w:val="22"/>
          <w:szCs w:val="22"/>
        </w:rPr>
        <w:t xml:space="preserve"> Para más información sobre la reunión del Grupo Regional, consúltese el sitio web del GRCE17-AFR en </w:t>
      </w:r>
      <w:hyperlink r:id="rId20" w:history="1">
        <w:r w:rsidRPr="00EB4FF9">
          <w:rPr>
            <w:rStyle w:val="Hyperlink"/>
            <w:rFonts w:cstheme="minorHAnsi"/>
            <w:sz w:val="22"/>
            <w:szCs w:val="22"/>
          </w:rPr>
          <w:t>http://itu.int/go/tsg17rgafr</w:t>
        </w:r>
      </w:hyperlink>
      <w:r w:rsidRPr="00EB4FF9">
        <w:rPr>
          <w:rFonts w:cstheme="minorHAnsi"/>
          <w:sz w:val="22"/>
          <w:szCs w:val="22"/>
        </w:rPr>
        <w:t>.</w:t>
      </w:r>
    </w:p>
    <w:p w14:paraId="4041E309" w14:textId="77777777" w:rsidR="005C42A3" w:rsidRPr="00EB4FF9" w:rsidRDefault="005C42A3" w:rsidP="005C42A3">
      <w:pPr>
        <w:tabs>
          <w:tab w:val="left" w:pos="900"/>
        </w:tabs>
        <w:rPr>
          <w:rFonts w:cstheme="minorHAnsi"/>
          <w:sz w:val="22"/>
          <w:szCs w:val="22"/>
        </w:rPr>
      </w:pPr>
      <w:r w:rsidRPr="00EB4FF9">
        <w:rPr>
          <w:rFonts w:cstheme="minorHAnsi"/>
          <w:sz w:val="22"/>
          <w:szCs w:val="22"/>
        </w:rPr>
        <w:t>7</w:t>
      </w:r>
      <w:r w:rsidRPr="00EB4FF9">
        <w:rPr>
          <w:rFonts w:cstheme="minorHAnsi"/>
          <w:sz w:val="22"/>
          <w:szCs w:val="22"/>
        </w:rPr>
        <w:tab/>
      </w:r>
      <w:proofErr w:type="gramStart"/>
      <w:r w:rsidRPr="00EB4FF9">
        <w:rPr>
          <w:rFonts w:cstheme="minorHAnsi"/>
          <w:sz w:val="22"/>
          <w:szCs w:val="22"/>
        </w:rPr>
        <w:t>Le</w:t>
      </w:r>
      <w:proofErr w:type="gramEnd"/>
      <w:r w:rsidRPr="00EB4FF9">
        <w:rPr>
          <w:rFonts w:cstheme="minorHAnsi"/>
          <w:sz w:val="22"/>
          <w:szCs w:val="22"/>
        </w:rPr>
        <w:t xml:space="preserve"> recordamos que los ciudadanos procedentes de ciertos países necesitan visado para entrar y permanecer en Uganda. Ese visado debe solicitarse en la oficina (embajada o consulado) que representa a Uganda en su país o, en su defecto, en la más próxima a su país de partida. Puede consultarse información adicional sobre los requisitos para la obtención del visado en el sitio web del evento, bajo el epígrafe "</w:t>
      </w:r>
      <w:r w:rsidRPr="00EB4FF9">
        <w:rPr>
          <w:rFonts w:cstheme="minorHAnsi"/>
          <w:b/>
          <w:bCs/>
          <w:sz w:val="22"/>
          <w:szCs w:val="22"/>
        </w:rPr>
        <w:t>Información práctica</w:t>
      </w:r>
      <w:r w:rsidRPr="00EB4FF9">
        <w:rPr>
          <w:rFonts w:cstheme="minorHAnsi"/>
          <w:sz w:val="22"/>
          <w:szCs w:val="22"/>
        </w:rPr>
        <w:t>".</w:t>
      </w:r>
    </w:p>
    <w:p w14:paraId="01948964" w14:textId="457A0242" w:rsidR="007B6316" w:rsidRPr="00EB4FF9" w:rsidRDefault="007B6316" w:rsidP="007B6316">
      <w:pPr>
        <w:rPr>
          <w:rFonts w:cstheme="minorHAnsi"/>
          <w:sz w:val="22"/>
          <w:szCs w:val="22"/>
        </w:rPr>
      </w:pPr>
      <w:r w:rsidRPr="00EB4FF9">
        <w:rPr>
          <w:rFonts w:cstheme="minorHAnsi"/>
          <w:sz w:val="22"/>
          <w:szCs w:val="22"/>
        </w:rPr>
        <w:t>Atentamente,</w:t>
      </w:r>
    </w:p>
    <w:p w14:paraId="00B89D13" w14:textId="5624E316" w:rsidR="00401C20" w:rsidRPr="00EB4FF9" w:rsidRDefault="003B4332" w:rsidP="00AC1339">
      <w:pPr>
        <w:spacing w:before="96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6028A3CC" wp14:editId="4AEB6B61">
            <wp:simplePos x="0" y="0"/>
            <wp:positionH relativeFrom="column">
              <wp:posOffset>-1369</wp:posOffset>
            </wp:positionH>
            <wp:positionV relativeFrom="paragraph">
              <wp:posOffset>175895</wp:posOffset>
            </wp:positionV>
            <wp:extent cx="635000" cy="285992"/>
            <wp:effectExtent l="0" t="0" r="0" b="0"/>
            <wp:wrapNone/>
            <wp:docPr id="3" name="Picture 3"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35000" cy="285992"/>
                    </a:xfrm>
                    <a:prstGeom prst="rect">
                      <a:avLst/>
                    </a:prstGeom>
                  </pic:spPr>
                </pic:pic>
              </a:graphicData>
            </a:graphic>
            <wp14:sizeRelH relativeFrom="margin">
              <wp14:pctWidth>0</wp14:pctWidth>
            </wp14:sizeRelH>
            <wp14:sizeRelV relativeFrom="margin">
              <wp14:pctHeight>0</wp14:pctHeight>
            </wp14:sizeRelV>
          </wp:anchor>
        </w:drawing>
      </w:r>
      <w:r w:rsidR="001350B9" w:rsidRPr="00EB4FF9">
        <w:rPr>
          <w:rFonts w:cstheme="minorHAnsi"/>
          <w:sz w:val="22"/>
          <w:szCs w:val="22"/>
        </w:rPr>
        <w:t>Seizo Onoe</w:t>
      </w:r>
      <w:r w:rsidR="007B6316" w:rsidRPr="00EB4FF9">
        <w:rPr>
          <w:rFonts w:cstheme="minorHAnsi"/>
          <w:sz w:val="22"/>
          <w:szCs w:val="22"/>
        </w:rPr>
        <w:br/>
      </w:r>
      <w:proofErr w:type="gramStart"/>
      <w:r w:rsidR="007B6316" w:rsidRPr="00EB4FF9">
        <w:rPr>
          <w:rFonts w:cstheme="minorHAnsi"/>
          <w:sz w:val="22"/>
          <w:szCs w:val="22"/>
        </w:rPr>
        <w:t>Director</w:t>
      </w:r>
      <w:proofErr w:type="gramEnd"/>
      <w:r w:rsidR="007B6316" w:rsidRPr="00EB4FF9">
        <w:rPr>
          <w:rFonts w:cstheme="minorHAnsi"/>
          <w:sz w:val="22"/>
          <w:szCs w:val="22"/>
        </w:rPr>
        <w:t xml:space="preserve"> de la Oficina de </w:t>
      </w:r>
      <w:r w:rsidR="007B6316" w:rsidRPr="00EB4FF9">
        <w:rPr>
          <w:rFonts w:cstheme="minorHAnsi"/>
          <w:sz w:val="22"/>
          <w:szCs w:val="22"/>
        </w:rPr>
        <w:br/>
        <w:t>Normalización de las Telecomunicaciones</w:t>
      </w:r>
    </w:p>
    <w:sectPr w:rsidR="00401C20" w:rsidRPr="00EB4FF9" w:rsidSect="00B87E9E">
      <w:head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6FB3" w14:textId="77777777" w:rsidR="000C4BCA" w:rsidRDefault="000C4BCA">
      <w:r>
        <w:separator/>
      </w:r>
    </w:p>
  </w:endnote>
  <w:endnote w:type="continuationSeparator" w:id="0">
    <w:p w14:paraId="7232EB48" w14:textId="77777777" w:rsidR="000C4BCA" w:rsidRDefault="000C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24BF"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6027" w14:textId="77777777" w:rsidR="000C4BCA" w:rsidRDefault="000C4BCA">
      <w:r>
        <w:t>____________________</w:t>
      </w:r>
    </w:p>
  </w:footnote>
  <w:footnote w:type="continuationSeparator" w:id="0">
    <w:p w14:paraId="3EA02348" w14:textId="77777777" w:rsidR="000C4BCA" w:rsidRDefault="000C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3D9E" w14:textId="574D31BB" w:rsidR="00597D46" w:rsidRPr="00697BC1" w:rsidRDefault="003B4332" w:rsidP="00597D46">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97D46">
          <w:rPr>
            <w:sz w:val="18"/>
            <w:szCs w:val="16"/>
          </w:rPr>
          <w:t>-</w:t>
        </w:r>
        <w:r w:rsidR="00597D46" w:rsidRPr="00697BC1">
          <w:rPr>
            <w:sz w:val="18"/>
            <w:szCs w:val="16"/>
          </w:rPr>
          <w:t xml:space="preserve"> </w:t>
        </w:r>
        <w:r w:rsidR="00597D46" w:rsidRPr="00697BC1">
          <w:rPr>
            <w:sz w:val="18"/>
            <w:szCs w:val="16"/>
          </w:rPr>
          <w:fldChar w:fldCharType="begin"/>
        </w:r>
        <w:r w:rsidR="00597D46" w:rsidRPr="00697BC1">
          <w:rPr>
            <w:sz w:val="18"/>
            <w:szCs w:val="16"/>
          </w:rPr>
          <w:instrText xml:space="preserve"> PAGE   \* MERGEFORMAT </w:instrText>
        </w:r>
        <w:r w:rsidR="00597D46" w:rsidRPr="00697BC1">
          <w:rPr>
            <w:sz w:val="18"/>
            <w:szCs w:val="16"/>
          </w:rPr>
          <w:fldChar w:fldCharType="separate"/>
        </w:r>
        <w:r w:rsidR="00597D46">
          <w:rPr>
            <w:sz w:val="18"/>
            <w:szCs w:val="16"/>
          </w:rPr>
          <w:t>2</w:t>
        </w:r>
        <w:r w:rsidR="00597D46" w:rsidRPr="00697BC1">
          <w:rPr>
            <w:noProof/>
            <w:sz w:val="18"/>
            <w:szCs w:val="16"/>
          </w:rPr>
          <w:fldChar w:fldCharType="end"/>
        </w:r>
      </w:sdtContent>
    </w:sdt>
    <w:r w:rsidR="00597D46" w:rsidRPr="00697BC1">
      <w:rPr>
        <w:noProof/>
        <w:sz w:val="18"/>
        <w:szCs w:val="16"/>
      </w:rPr>
      <w:t xml:space="preserve"> </w:t>
    </w:r>
    <w:r w:rsidR="00597D46">
      <w:rPr>
        <w:noProof/>
        <w:sz w:val="18"/>
        <w:szCs w:val="16"/>
      </w:rPr>
      <w:t>-</w:t>
    </w:r>
    <w:r w:rsidR="00597D46">
      <w:rPr>
        <w:noProof/>
        <w:sz w:val="18"/>
        <w:szCs w:val="16"/>
      </w:rPr>
      <w:br/>
      <w:t>Circular TSB 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6F30FAD"/>
    <w:multiLevelType w:val="hybridMultilevel"/>
    <w:tmpl w:val="290ABA58"/>
    <w:lvl w:ilvl="0" w:tplc="4B2E79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5"/>
  </w:num>
  <w:num w:numId="3" w16cid:durableId="1069613404">
    <w:abstractNumId w:val="3"/>
  </w:num>
  <w:num w:numId="4" w16cid:durableId="374936234">
    <w:abstractNumId w:val="2"/>
  </w:num>
  <w:num w:numId="5" w16cid:durableId="562256302">
    <w:abstractNumId w:val="4"/>
  </w:num>
  <w:num w:numId="6" w16cid:durableId="127909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F6"/>
    <w:rsid w:val="00002529"/>
    <w:rsid w:val="00085662"/>
    <w:rsid w:val="000C382F"/>
    <w:rsid w:val="000C4BCA"/>
    <w:rsid w:val="001173CC"/>
    <w:rsid w:val="001350B9"/>
    <w:rsid w:val="0014464D"/>
    <w:rsid w:val="001A54CC"/>
    <w:rsid w:val="001C61A7"/>
    <w:rsid w:val="00257FB4"/>
    <w:rsid w:val="002E496E"/>
    <w:rsid w:val="00303D62"/>
    <w:rsid w:val="00335367"/>
    <w:rsid w:val="00370C2D"/>
    <w:rsid w:val="003B4332"/>
    <w:rsid w:val="003D1E8D"/>
    <w:rsid w:val="003D673B"/>
    <w:rsid w:val="003F2855"/>
    <w:rsid w:val="00401C20"/>
    <w:rsid w:val="004A7957"/>
    <w:rsid w:val="004C4144"/>
    <w:rsid w:val="005562CD"/>
    <w:rsid w:val="0055719E"/>
    <w:rsid w:val="00597D46"/>
    <w:rsid w:val="005C42A3"/>
    <w:rsid w:val="006969B4"/>
    <w:rsid w:val="006E4F7B"/>
    <w:rsid w:val="00717F2A"/>
    <w:rsid w:val="00773476"/>
    <w:rsid w:val="00781E2A"/>
    <w:rsid w:val="007933A2"/>
    <w:rsid w:val="007B6316"/>
    <w:rsid w:val="00814503"/>
    <w:rsid w:val="008258C2"/>
    <w:rsid w:val="0084223F"/>
    <w:rsid w:val="008476DD"/>
    <w:rsid w:val="008505BD"/>
    <w:rsid w:val="00850C78"/>
    <w:rsid w:val="00876165"/>
    <w:rsid w:val="00884D12"/>
    <w:rsid w:val="008C17AD"/>
    <w:rsid w:val="008D02CD"/>
    <w:rsid w:val="0091370C"/>
    <w:rsid w:val="0095172A"/>
    <w:rsid w:val="009A0BA0"/>
    <w:rsid w:val="00A07691"/>
    <w:rsid w:val="00A54E47"/>
    <w:rsid w:val="00AB6E3A"/>
    <w:rsid w:val="00AC1339"/>
    <w:rsid w:val="00AE7093"/>
    <w:rsid w:val="00B422BC"/>
    <w:rsid w:val="00B43F77"/>
    <w:rsid w:val="00B55A3E"/>
    <w:rsid w:val="00B87E9E"/>
    <w:rsid w:val="00B95F0A"/>
    <w:rsid w:val="00B96180"/>
    <w:rsid w:val="00C116FE"/>
    <w:rsid w:val="00C17AC0"/>
    <w:rsid w:val="00C34772"/>
    <w:rsid w:val="00C5465A"/>
    <w:rsid w:val="00C93DF6"/>
    <w:rsid w:val="00D54642"/>
    <w:rsid w:val="00D834E7"/>
    <w:rsid w:val="00DD77C9"/>
    <w:rsid w:val="00DF3538"/>
    <w:rsid w:val="00E839B0"/>
    <w:rsid w:val="00E92C09"/>
    <w:rsid w:val="00EB4FF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E868"/>
  <w15:docId w15:val="{6E0A8C1E-F834-4758-BA5C-1694950D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5562CD"/>
    <w:rPr>
      <w:color w:val="605E5C"/>
      <w:shd w:val="clear" w:color="auto" w:fill="E1DFDD"/>
    </w:rPr>
  </w:style>
  <w:style w:type="character" w:customStyle="1" w:styleId="NoSpacingChar">
    <w:name w:val="No Spacing Char"/>
    <w:basedOn w:val="DefaultParagraphFont"/>
    <w:link w:val="NoSpacing"/>
    <w:uiPriority w:val="1"/>
    <w:locked/>
    <w:rsid w:val="00A07691"/>
    <w:rPr>
      <w:rFonts w:ascii="Calibri Light" w:hAnsi="Calibri Light" w:cs="Calibri Light"/>
    </w:rPr>
  </w:style>
  <w:style w:type="paragraph" w:styleId="NoSpacing">
    <w:name w:val="No Spacing"/>
    <w:basedOn w:val="Normal"/>
    <w:link w:val="NoSpacingChar"/>
    <w:uiPriority w:val="1"/>
    <w:qFormat/>
    <w:rsid w:val="00A07691"/>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T-RES-T.89-2022/es" TargetMode="External"/><Relationship Id="rId18" Type="http://schemas.openxmlformats.org/officeDocument/2006/relationships/hyperlink" Target="https://www.itu.int/en/ITU-T/Workshops-and-Seminars/2023/1120/Pages/default.aspx"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itu.int/pub/T-RES-T.58-2022/es" TargetMode="External"/><Relationship Id="rId17" Type="http://schemas.openxmlformats.org/officeDocument/2006/relationships/hyperlink" Target="https://www.itu.int/pub/T-RES-T.54-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gap/Pages/default.aspx" TargetMode="External"/><Relationship Id="rId20" Type="http://schemas.openxmlformats.org/officeDocument/2006/relationships/hyperlink" Target="http://itu.int/go/tsg17rg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RES-T.50-2022/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igi.itu.int/figi-resources/dfs-security-lab/" TargetMode="External"/><Relationship Id="rId23" Type="http://schemas.openxmlformats.org/officeDocument/2006/relationships/footer" Target="footer1.xml"/><Relationship Id="rId10" Type="http://schemas.openxmlformats.org/officeDocument/2006/relationships/hyperlink" Target="mailto:tsbevents@itu.int" TargetMode="External"/><Relationship Id="rId19" Type="http://schemas.openxmlformats.org/officeDocument/2006/relationships/hyperlink" Target="https://www.itu.int/net4/CRM/xreg/web/registration.aspx?Event=C-00012871"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rec/T-REC-X.1060/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29</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8789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Braud, Olivia</cp:lastModifiedBy>
  <cp:revision>10</cp:revision>
  <cp:lastPrinted>2023-07-27T13:06:00Z</cp:lastPrinted>
  <dcterms:created xsi:type="dcterms:W3CDTF">2023-07-18T08:43:00Z</dcterms:created>
  <dcterms:modified xsi:type="dcterms:W3CDTF">2023-07-27T13:06:00Z</dcterms:modified>
</cp:coreProperties>
</file>