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01"/>
        <w:gridCol w:w="5049"/>
      </w:tblGrid>
      <w:tr w:rsidR="00EF6A23" w:rsidRPr="00534FE0" w14:paraId="5671C036" w14:textId="77777777" w:rsidTr="003F083D">
        <w:trPr>
          <w:cantSplit/>
        </w:trPr>
        <w:tc>
          <w:tcPr>
            <w:tcW w:w="0" w:type="auto"/>
            <w:vAlign w:val="center"/>
          </w:tcPr>
          <w:p w14:paraId="17B654B0" w14:textId="77777777" w:rsidR="00EF6A23" w:rsidRPr="00534FE0" w:rsidRDefault="00EF6A23" w:rsidP="00D14F31">
            <w:pPr>
              <w:tabs>
                <w:tab w:val="right" w:pos="8732"/>
              </w:tabs>
              <w:spacing w:before="0"/>
              <w:rPr>
                <w:b/>
                <w:bCs/>
                <w:iCs/>
                <w:color w:val="FFFFFF"/>
                <w:sz w:val="30"/>
                <w:szCs w:val="30"/>
              </w:rPr>
            </w:pPr>
            <w:r w:rsidRPr="00534FE0">
              <w:rPr>
                <w:noProof/>
                <w:lang w:eastAsia="zh-CN"/>
              </w:rPr>
              <w:drawing>
                <wp:inline distT="0" distB="0" distL="0" distR="0" wp14:anchorId="739B0BFC" wp14:editId="1E27AF5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48DB9C22" w14:textId="77777777" w:rsidR="00EF6A23" w:rsidRPr="00534FE0" w:rsidRDefault="00EF6A23" w:rsidP="00EF6A23">
            <w:pPr>
              <w:spacing w:before="0"/>
              <w:rPr>
                <w:rFonts w:cs="Times New Roman Bold"/>
                <w:b/>
                <w:bCs/>
                <w:iCs/>
                <w:smallCaps/>
                <w:sz w:val="34"/>
                <w:szCs w:val="34"/>
              </w:rPr>
            </w:pPr>
            <w:r w:rsidRPr="00534FE0">
              <w:rPr>
                <w:rFonts w:cs="Times New Roman Bold"/>
                <w:b/>
                <w:bCs/>
                <w:iCs/>
                <w:smallCaps/>
                <w:sz w:val="34"/>
                <w:szCs w:val="34"/>
              </w:rPr>
              <w:t>Union internationale des télécommunications</w:t>
            </w:r>
          </w:p>
          <w:p w14:paraId="2C01A709" w14:textId="77777777" w:rsidR="00EF6A23" w:rsidRPr="00534FE0" w:rsidRDefault="00EF6A23" w:rsidP="00EF6A23">
            <w:pPr>
              <w:spacing w:before="0"/>
              <w:rPr>
                <w:color w:val="FFFFFF"/>
                <w:sz w:val="26"/>
                <w:szCs w:val="26"/>
              </w:rPr>
            </w:pPr>
            <w:r w:rsidRPr="00534FE0">
              <w:rPr>
                <w:rFonts w:cs="Times New Roman Bold"/>
                <w:b/>
                <w:bCs/>
                <w:iCs/>
                <w:smallCaps/>
                <w:sz w:val="28"/>
                <w:szCs w:val="28"/>
              </w:rPr>
              <w:t>B</w:t>
            </w:r>
            <w:r w:rsidRPr="00534FE0">
              <w:rPr>
                <w:b/>
                <w:bCs/>
                <w:iCs/>
                <w:smallCaps/>
                <w:sz w:val="28"/>
                <w:szCs w:val="28"/>
              </w:rPr>
              <w:t>ureau de la Normalisation des Télécommunications</w:t>
            </w:r>
          </w:p>
        </w:tc>
      </w:tr>
      <w:tr w:rsidR="00036F4F" w:rsidRPr="00E44A78" w14:paraId="20783B55" w14:textId="77777777" w:rsidTr="00434F0B">
        <w:trPr>
          <w:cantSplit/>
        </w:trPr>
        <w:tc>
          <w:tcPr>
            <w:tcW w:w="0" w:type="auto"/>
          </w:tcPr>
          <w:p w14:paraId="64E7BD71" w14:textId="77777777" w:rsidR="00036F4F" w:rsidRPr="00E44A78" w:rsidRDefault="00036F4F" w:rsidP="00A5280F">
            <w:pPr>
              <w:tabs>
                <w:tab w:val="left" w:pos="4111"/>
              </w:tabs>
              <w:spacing w:before="10"/>
              <w:ind w:left="57"/>
              <w:rPr>
                <w:rFonts w:cstheme="minorHAnsi"/>
                <w:sz w:val="22"/>
                <w:szCs w:val="22"/>
              </w:rPr>
            </w:pPr>
          </w:p>
        </w:tc>
        <w:tc>
          <w:tcPr>
            <w:tcW w:w="3399" w:type="dxa"/>
          </w:tcPr>
          <w:p w14:paraId="295B927C" w14:textId="77777777" w:rsidR="00036F4F" w:rsidRPr="00E44A78" w:rsidRDefault="00036F4F" w:rsidP="00A5280F">
            <w:pPr>
              <w:tabs>
                <w:tab w:val="left" w:pos="4111"/>
              </w:tabs>
              <w:spacing w:before="10"/>
              <w:ind w:left="57"/>
              <w:rPr>
                <w:rFonts w:cstheme="minorHAnsi"/>
                <w:b/>
                <w:sz w:val="22"/>
                <w:szCs w:val="22"/>
              </w:rPr>
            </w:pPr>
          </w:p>
        </w:tc>
        <w:tc>
          <w:tcPr>
            <w:tcW w:w="5051" w:type="dxa"/>
          </w:tcPr>
          <w:p w14:paraId="390F713E" w14:textId="04C68C02" w:rsidR="00036F4F" w:rsidRPr="00E44A78"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E44A78">
              <w:rPr>
                <w:rFonts w:cstheme="minorHAnsi"/>
                <w:sz w:val="22"/>
                <w:szCs w:val="22"/>
              </w:rPr>
              <w:t>Genève, le</w:t>
            </w:r>
            <w:r w:rsidR="00434F0B" w:rsidRPr="00E44A78">
              <w:rPr>
                <w:rFonts w:cstheme="minorHAnsi"/>
                <w:sz w:val="22"/>
                <w:szCs w:val="22"/>
              </w:rPr>
              <w:t xml:space="preserve"> 5 juillet 2023</w:t>
            </w:r>
          </w:p>
        </w:tc>
      </w:tr>
      <w:tr w:rsidR="00445B68" w:rsidRPr="00E44A78" w14:paraId="310D17F4" w14:textId="77777777" w:rsidTr="00434F0B">
        <w:trPr>
          <w:cantSplit/>
          <w:trHeight w:val="340"/>
        </w:trPr>
        <w:tc>
          <w:tcPr>
            <w:tcW w:w="0" w:type="auto"/>
          </w:tcPr>
          <w:p w14:paraId="009CFB5B" w14:textId="5CCC7E21" w:rsidR="00445B68" w:rsidRPr="00E44A78" w:rsidRDefault="00445B68" w:rsidP="00036F4F">
            <w:pPr>
              <w:tabs>
                <w:tab w:val="left" w:pos="4111"/>
              </w:tabs>
              <w:spacing w:before="10"/>
              <w:ind w:left="57"/>
              <w:rPr>
                <w:rFonts w:cstheme="minorHAnsi"/>
                <w:b/>
                <w:bCs/>
                <w:sz w:val="22"/>
                <w:szCs w:val="22"/>
              </w:rPr>
            </w:pPr>
            <w:proofErr w:type="gramStart"/>
            <w:r w:rsidRPr="00E44A78">
              <w:rPr>
                <w:rFonts w:cstheme="minorHAnsi"/>
                <w:b/>
                <w:bCs/>
                <w:sz w:val="22"/>
                <w:szCs w:val="22"/>
              </w:rPr>
              <w:t>Réf.:</w:t>
            </w:r>
            <w:proofErr w:type="gramEnd"/>
          </w:p>
        </w:tc>
        <w:tc>
          <w:tcPr>
            <w:tcW w:w="3399" w:type="dxa"/>
          </w:tcPr>
          <w:p w14:paraId="0200EAB5" w14:textId="487F7586" w:rsidR="00445B68" w:rsidRPr="00E44A78" w:rsidRDefault="00445B68" w:rsidP="00434F0B">
            <w:pPr>
              <w:tabs>
                <w:tab w:val="left" w:pos="4111"/>
              </w:tabs>
              <w:spacing w:before="10"/>
              <w:ind w:left="57"/>
              <w:rPr>
                <w:rFonts w:cstheme="minorHAnsi"/>
                <w:b/>
                <w:sz w:val="22"/>
                <w:szCs w:val="22"/>
              </w:rPr>
            </w:pPr>
            <w:r w:rsidRPr="00E44A78">
              <w:rPr>
                <w:rFonts w:cstheme="minorHAnsi"/>
                <w:b/>
                <w:sz w:val="22"/>
                <w:szCs w:val="22"/>
              </w:rPr>
              <w:t>Circulaire TSB</w:t>
            </w:r>
            <w:r w:rsidR="00434F0B" w:rsidRPr="00E44A78">
              <w:rPr>
                <w:rFonts w:cstheme="minorHAnsi"/>
                <w:b/>
                <w:sz w:val="22"/>
                <w:szCs w:val="22"/>
              </w:rPr>
              <w:t xml:space="preserve"> 120</w:t>
            </w:r>
            <w:r w:rsidR="00434F0B" w:rsidRPr="00E44A78">
              <w:rPr>
                <w:rFonts w:cstheme="minorHAnsi"/>
                <w:b/>
                <w:sz w:val="22"/>
                <w:szCs w:val="22"/>
              </w:rPr>
              <w:br/>
            </w:r>
            <w:r w:rsidR="00434F0B" w:rsidRPr="00E44A78">
              <w:rPr>
                <w:rFonts w:cstheme="minorHAnsi"/>
                <w:sz w:val="22"/>
                <w:szCs w:val="22"/>
              </w:rPr>
              <w:t>Manifestations TSB/DA</w:t>
            </w:r>
          </w:p>
        </w:tc>
        <w:tc>
          <w:tcPr>
            <w:tcW w:w="5051" w:type="dxa"/>
            <w:vMerge w:val="restart"/>
          </w:tcPr>
          <w:p w14:paraId="691E5D09" w14:textId="777954EF" w:rsidR="00434F0B" w:rsidRPr="00E44A78" w:rsidRDefault="00434F0B" w:rsidP="00434F0B">
            <w:pPr>
              <w:tabs>
                <w:tab w:val="left" w:pos="4111"/>
              </w:tabs>
              <w:spacing w:before="0"/>
              <w:ind w:left="395" w:hanging="395"/>
              <w:rPr>
                <w:rFonts w:cstheme="minorHAnsi"/>
                <w:sz w:val="22"/>
                <w:szCs w:val="22"/>
              </w:rPr>
            </w:pPr>
            <w:bookmarkStart w:id="0" w:name="Addressee_F"/>
            <w:bookmarkEnd w:id="0"/>
            <w:r w:rsidRPr="00E44A78">
              <w:rPr>
                <w:rFonts w:cstheme="minorHAnsi"/>
                <w:sz w:val="22"/>
                <w:szCs w:val="22"/>
              </w:rPr>
              <w:t>–</w:t>
            </w:r>
            <w:r w:rsidRPr="00E44A78">
              <w:rPr>
                <w:rFonts w:cstheme="minorHAnsi"/>
                <w:sz w:val="22"/>
                <w:szCs w:val="22"/>
              </w:rPr>
              <w:tab/>
              <w:t xml:space="preserve">Aux Administrations des États Membres de </w:t>
            </w:r>
            <w:proofErr w:type="gramStart"/>
            <w:r w:rsidRPr="00E44A78">
              <w:rPr>
                <w:rFonts w:cstheme="minorHAnsi"/>
                <w:sz w:val="22"/>
                <w:szCs w:val="22"/>
              </w:rPr>
              <w:t>l'Union;</w:t>
            </w:r>
            <w:proofErr w:type="gramEnd"/>
          </w:p>
          <w:p w14:paraId="4CE40373" w14:textId="12D4112D" w:rsidR="00434F0B" w:rsidRPr="00E44A78" w:rsidRDefault="00434F0B" w:rsidP="00434F0B">
            <w:pPr>
              <w:tabs>
                <w:tab w:val="left" w:pos="4111"/>
              </w:tabs>
              <w:spacing w:before="0"/>
              <w:ind w:left="395" w:hanging="395"/>
              <w:rPr>
                <w:rFonts w:cstheme="minorHAnsi"/>
                <w:sz w:val="22"/>
                <w:szCs w:val="22"/>
              </w:rPr>
            </w:pPr>
            <w:r w:rsidRPr="00E44A78">
              <w:rPr>
                <w:rFonts w:cstheme="minorHAnsi"/>
                <w:sz w:val="22"/>
                <w:szCs w:val="22"/>
              </w:rPr>
              <w:t>–</w:t>
            </w:r>
            <w:r w:rsidRPr="00E44A78">
              <w:rPr>
                <w:rFonts w:cstheme="minorHAnsi"/>
                <w:sz w:val="22"/>
                <w:szCs w:val="22"/>
              </w:rPr>
              <w:tab/>
              <w:t>Aux Membres du Secteur UIT-</w:t>
            </w:r>
            <w:proofErr w:type="gramStart"/>
            <w:r w:rsidRPr="00E44A78">
              <w:rPr>
                <w:rFonts w:cstheme="minorHAnsi"/>
                <w:sz w:val="22"/>
                <w:szCs w:val="22"/>
              </w:rPr>
              <w:t>T;</w:t>
            </w:r>
            <w:proofErr w:type="gramEnd"/>
          </w:p>
          <w:p w14:paraId="6265432B" w14:textId="5B503EFD" w:rsidR="00434F0B" w:rsidRPr="00E44A78" w:rsidRDefault="00434F0B" w:rsidP="00434F0B">
            <w:pPr>
              <w:tabs>
                <w:tab w:val="left" w:pos="4111"/>
              </w:tabs>
              <w:spacing w:before="0"/>
              <w:ind w:left="395" w:hanging="395"/>
              <w:rPr>
                <w:rFonts w:cstheme="minorHAnsi"/>
                <w:sz w:val="22"/>
                <w:szCs w:val="22"/>
              </w:rPr>
            </w:pPr>
            <w:r w:rsidRPr="00E44A78">
              <w:rPr>
                <w:rFonts w:cstheme="minorHAnsi"/>
                <w:sz w:val="22"/>
                <w:szCs w:val="22"/>
              </w:rPr>
              <w:t>–</w:t>
            </w:r>
            <w:r w:rsidRPr="00E44A78">
              <w:rPr>
                <w:rFonts w:cstheme="minorHAnsi"/>
                <w:sz w:val="22"/>
                <w:szCs w:val="22"/>
              </w:rPr>
              <w:tab/>
              <w:t>Aux Associés de l'UIT-</w:t>
            </w:r>
            <w:proofErr w:type="gramStart"/>
            <w:r w:rsidRPr="00E44A78">
              <w:rPr>
                <w:rFonts w:cstheme="minorHAnsi"/>
                <w:sz w:val="22"/>
                <w:szCs w:val="22"/>
              </w:rPr>
              <w:t>T;</w:t>
            </w:r>
            <w:proofErr w:type="gramEnd"/>
          </w:p>
          <w:p w14:paraId="61CEB424" w14:textId="38671002" w:rsidR="00434F0B" w:rsidRPr="00E44A78" w:rsidRDefault="00434F0B" w:rsidP="00434F0B">
            <w:pPr>
              <w:tabs>
                <w:tab w:val="left" w:pos="4111"/>
              </w:tabs>
              <w:spacing w:before="0"/>
              <w:ind w:left="395" w:hanging="395"/>
              <w:rPr>
                <w:rFonts w:cstheme="minorHAnsi"/>
                <w:sz w:val="22"/>
                <w:szCs w:val="22"/>
              </w:rPr>
            </w:pPr>
            <w:r w:rsidRPr="00E44A78">
              <w:rPr>
                <w:rFonts w:cstheme="minorHAnsi"/>
                <w:sz w:val="22"/>
                <w:szCs w:val="22"/>
              </w:rPr>
              <w:t>–</w:t>
            </w:r>
            <w:r w:rsidRPr="00E44A78">
              <w:rPr>
                <w:rFonts w:cstheme="minorHAnsi"/>
                <w:sz w:val="22"/>
                <w:szCs w:val="22"/>
              </w:rPr>
              <w:tab/>
              <w:t>Aux établissements universitaires participant aux travaux de l'UIT</w:t>
            </w:r>
          </w:p>
          <w:p w14:paraId="51E1BC04" w14:textId="77777777" w:rsidR="00434F0B" w:rsidRPr="00E44A78" w:rsidRDefault="00434F0B" w:rsidP="00434F0B">
            <w:pPr>
              <w:tabs>
                <w:tab w:val="left" w:pos="226"/>
                <w:tab w:val="left" w:pos="4111"/>
              </w:tabs>
              <w:spacing w:before="0"/>
              <w:ind w:left="226" w:hanging="226"/>
              <w:rPr>
                <w:rFonts w:cstheme="minorHAnsi"/>
                <w:b/>
                <w:bCs/>
                <w:sz w:val="22"/>
                <w:szCs w:val="22"/>
              </w:rPr>
            </w:pPr>
            <w:proofErr w:type="gramStart"/>
            <w:r w:rsidRPr="00E44A78">
              <w:rPr>
                <w:rFonts w:cstheme="minorHAnsi"/>
                <w:b/>
                <w:bCs/>
                <w:sz w:val="22"/>
                <w:szCs w:val="22"/>
              </w:rPr>
              <w:t>Copie:</w:t>
            </w:r>
            <w:proofErr w:type="gramEnd"/>
          </w:p>
          <w:p w14:paraId="5BF6D7B8" w14:textId="306BBFD1" w:rsidR="00434F0B" w:rsidRPr="00E44A78" w:rsidRDefault="00434F0B" w:rsidP="00434F0B">
            <w:pPr>
              <w:tabs>
                <w:tab w:val="left" w:pos="4111"/>
              </w:tabs>
              <w:spacing w:before="0"/>
              <w:ind w:left="370" w:hanging="370"/>
              <w:rPr>
                <w:rFonts w:cstheme="minorHAnsi"/>
                <w:sz w:val="22"/>
                <w:szCs w:val="22"/>
              </w:rPr>
            </w:pPr>
            <w:r w:rsidRPr="00E44A78">
              <w:rPr>
                <w:rFonts w:cstheme="minorHAnsi"/>
                <w:sz w:val="22"/>
                <w:szCs w:val="22"/>
              </w:rPr>
              <w:t>–</w:t>
            </w:r>
            <w:r w:rsidRPr="00E44A78">
              <w:rPr>
                <w:rFonts w:cstheme="minorHAnsi"/>
                <w:sz w:val="22"/>
                <w:szCs w:val="22"/>
              </w:rPr>
              <w:tab/>
              <w:t xml:space="preserve">Aux Président et Vice-Présidents des commissions </w:t>
            </w:r>
            <w:proofErr w:type="gramStart"/>
            <w:r w:rsidRPr="00E44A78">
              <w:rPr>
                <w:rFonts w:cstheme="minorHAnsi"/>
                <w:sz w:val="22"/>
                <w:szCs w:val="22"/>
              </w:rPr>
              <w:t>d'études;</w:t>
            </w:r>
            <w:proofErr w:type="gramEnd"/>
          </w:p>
          <w:p w14:paraId="27BE87C2" w14:textId="192B52C7" w:rsidR="00434F0B" w:rsidRPr="00E44A78" w:rsidRDefault="00434F0B" w:rsidP="00434F0B">
            <w:pPr>
              <w:tabs>
                <w:tab w:val="left" w:pos="4111"/>
              </w:tabs>
              <w:spacing w:before="0"/>
              <w:ind w:left="370" w:hanging="370"/>
              <w:rPr>
                <w:rFonts w:cstheme="minorHAnsi"/>
                <w:sz w:val="22"/>
                <w:szCs w:val="22"/>
              </w:rPr>
            </w:pPr>
            <w:r w:rsidRPr="00E44A78">
              <w:rPr>
                <w:rFonts w:cstheme="minorHAnsi"/>
                <w:sz w:val="22"/>
                <w:szCs w:val="22"/>
              </w:rPr>
              <w:t>–</w:t>
            </w:r>
            <w:r w:rsidRPr="00E44A78">
              <w:rPr>
                <w:rFonts w:cstheme="minorHAnsi"/>
                <w:sz w:val="22"/>
                <w:szCs w:val="22"/>
              </w:rPr>
              <w:tab/>
              <w:t xml:space="preserve">Au Directeur du Bureau de développement des </w:t>
            </w:r>
            <w:proofErr w:type="gramStart"/>
            <w:r w:rsidRPr="00E44A78">
              <w:rPr>
                <w:rFonts w:cstheme="minorHAnsi"/>
                <w:sz w:val="22"/>
                <w:szCs w:val="22"/>
              </w:rPr>
              <w:t>télécommunications;</w:t>
            </w:r>
            <w:proofErr w:type="gramEnd"/>
          </w:p>
          <w:p w14:paraId="536AF61E" w14:textId="352A52C6" w:rsidR="00434F0B" w:rsidRPr="00E44A78" w:rsidRDefault="00434F0B" w:rsidP="00434F0B">
            <w:pPr>
              <w:tabs>
                <w:tab w:val="left" w:pos="4111"/>
              </w:tabs>
              <w:spacing w:before="0"/>
              <w:ind w:left="370" w:hanging="370"/>
              <w:rPr>
                <w:rFonts w:cstheme="minorHAnsi"/>
                <w:sz w:val="22"/>
                <w:szCs w:val="22"/>
              </w:rPr>
            </w:pPr>
            <w:r w:rsidRPr="00E44A78">
              <w:rPr>
                <w:rFonts w:cstheme="minorHAnsi"/>
                <w:sz w:val="22"/>
                <w:szCs w:val="22"/>
              </w:rPr>
              <w:t>–</w:t>
            </w:r>
            <w:r w:rsidRPr="00E44A78">
              <w:rPr>
                <w:rFonts w:cstheme="minorHAnsi"/>
                <w:sz w:val="22"/>
                <w:szCs w:val="22"/>
              </w:rPr>
              <w:tab/>
              <w:t xml:space="preserve">Au Directeur du Bureau des </w:t>
            </w:r>
            <w:proofErr w:type="gramStart"/>
            <w:r w:rsidRPr="00E44A78">
              <w:rPr>
                <w:rFonts w:cstheme="minorHAnsi"/>
                <w:sz w:val="22"/>
                <w:szCs w:val="22"/>
              </w:rPr>
              <w:t>radiocommunications;</w:t>
            </w:r>
            <w:proofErr w:type="gramEnd"/>
          </w:p>
          <w:p w14:paraId="02F94D0A" w14:textId="74920510" w:rsidR="00445B68" w:rsidRPr="00E44A78" w:rsidRDefault="00434F0B" w:rsidP="00434F0B">
            <w:pPr>
              <w:tabs>
                <w:tab w:val="left" w:pos="4111"/>
              </w:tabs>
              <w:spacing w:before="0"/>
              <w:ind w:left="370" w:hanging="370"/>
              <w:rPr>
                <w:rFonts w:cstheme="minorHAnsi"/>
                <w:sz w:val="22"/>
                <w:szCs w:val="22"/>
              </w:rPr>
            </w:pPr>
            <w:r w:rsidRPr="00E44A78">
              <w:rPr>
                <w:rFonts w:cstheme="minorHAnsi"/>
                <w:sz w:val="22"/>
                <w:szCs w:val="22"/>
              </w:rPr>
              <w:t>–</w:t>
            </w:r>
            <w:r w:rsidRPr="00E44A78">
              <w:rPr>
                <w:rFonts w:cstheme="minorHAnsi"/>
                <w:sz w:val="22"/>
                <w:szCs w:val="22"/>
              </w:rPr>
              <w:tab/>
              <w:t>Aux Directeurs des Bureaux régionaux de l'UIT</w:t>
            </w:r>
          </w:p>
        </w:tc>
      </w:tr>
      <w:tr w:rsidR="00434F0B" w:rsidRPr="00E44A78" w14:paraId="4CDC6686" w14:textId="77777777" w:rsidTr="00434F0B">
        <w:trPr>
          <w:cantSplit/>
          <w:trHeight w:val="340"/>
        </w:trPr>
        <w:tc>
          <w:tcPr>
            <w:tcW w:w="0" w:type="auto"/>
          </w:tcPr>
          <w:p w14:paraId="5BBDEA4F" w14:textId="271D3672" w:rsidR="00434F0B" w:rsidRPr="00E44A78" w:rsidRDefault="00434F0B" w:rsidP="00036F4F">
            <w:pPr>
              <w:tabs>
                <w:tab w:val="left" w:pos="4111"/>
              </w:tabs>
              <w:spacing w:before="10"/>
              <w:ind w:left="57"/>
              <w:rPr>
                <w:rFonts w:cstheme="minorHAnsi"/>
                <w:b/>
                <w:bCs/>
                <w:sz w:val="22"/>
                <w:szCs w:val="22"/>
              </w:rPr>
            </w:pPr>
            <w:proofErr w:type="gramStart"/>
            <w:r w:rsidRPr="00E44A78">
              <w:rPr>
                <w:rFonts w:cstheme="minorHAnsi"/>
                <w:b/>
                <w:bCs/>
                <w:sz w:val="22"/>
                <w:szCs w:val="22"/>
              </w:rPr>
              <w:t>Contact:</w:t>
            </w:r>
            <w:proofErr w:type="gramEnd"/>
          </w:p>
        </w:tc>
        <w:tc>
          <w:tcPr>
            <w:tcW w:w="3399" w:type="dxa"/>
          </w:tcPr>
          <w:p w14:paraId="1FD2B5C3" w14:textId="1618B327" w:rsidR="00434F0B" w:rsidRPr="00E44A78" w:rsidRDefault="00434F0B" w:rsidP="00434F0B">
            <w:pPr>
              <w:tabs>
                <w:tab w:val="left" w:pos="4111"/>
              </w:tabs>
              <w:spacing w:before="10"/>
              <w:ind w:left="57"/>
              <w:rPr>
                <w:rFonts w:cstheme="minorHAnsi"/>
                <w:b/>
                <w:sz w:val="22"/>
                <w:szCs w:val="22"/>
              </w:rPr>
            </w:pPr>
            <w:r w:rsidRPr="00E44A78">
              <w:rPr>
                <w:rFonts w:cstheme="minorHAnsi"/>
                <w:b/>
                <w:sz w:val="22"/>
                <w:szCs w:val="22"/>
              </w:rPr>
              <w:t>Denis ANDREEV</w:t>
            </w:r>
          </w:p>
        </w:tc>
        <w:tc>
          <w:tcPr>
            <w:tcW w:w="5051" w:type="dxa"/>
            <w:vMerge/>
          </w:tcPr>
          <w:p w14:paraId="7193C43E" w14:textId="77777777" w:rsidR="00434F0B" w:rsidRPr="00E44A78" w:rsidRDefault="00434F0B"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E44A78" w14:paraId="71C343BA" w14:textId="77777777" w:rsidTr="00434F0B">
        <w:trPr>
          <w:cantSplit/>
        </w:trPr>
        <w:tc>
          <w:tcPr>
            <w:tcW w:w="0" w:type="auto"/>
          </w:tcPr>
          <w:p w14:paraId="5E5CC2A2" w14:textId="77777777" w:rsidR="00445B68" w:rsidRPr="00E44A78" w:rsidRDefault="00445B68" w:rsidP="00A5280F">
            <w:pPr>
              <w:tabs>
                <w:tab w:val="left" w:pos="4111"/>
              </w:tabs>
              <w:spacing w:before="10"/>
              <w:ind w:left="57"/>
              <w:rPr>
                <w:rFonts w:cstheme="minorHAnsi"/>
                <w:b/>
                <w:bCs/>
                <w:sz w:val="22"/>
                <w:szCs w:val="22"/>
              </w:rPr>
            </w:pPr>
            <w:proofErr w:type="gramStart"/>
            <w:r w:rsidRPr="00E44A78">
              <w:rPr>
                <w:rFonts w:cstheme="minorHAnsi"/>
                <w:b/>
                <w:bCs/>
                <w:sz w:val="22"/>
                <w:szCs w:val="22"/>
              </w:rPr>
              <w:t>Tél.:</w:t>
            </w:r>
            <w:proofErr w:type="gramEnd"/>
          </w:p>
        </w:tc>
        <w:tc>
          <w:tcPr>
            <w:tcW w:w="3399" w:type="dxa"/>
          </w:tcPr>
          <w:p w14:paraId="27A3AD46" w14:textId="1399F9F9" w:rsidR="00445B68" w:rsidRPr="00E44A78" w:rsidRDefault="00445B68" w:rsidP="00A5280F">
            <w:pPr>
              <w:tabs>
                <w:tab w:val="left" w:pos="4111"/>
              </w:tabs>
              <w:spacing w:before="0"/>
              <w:ind w:left="57"/>
              <w:rPr>
                <w:rFonts w:cstheme="minorHAnsi"/>
                <w:sz w:val="22"/>
                <w:szCs w:val="22"/>
              </w:rPr>
            </w:pPr>
            <w:r w:rsidRPr="00E44A78">
              <w:rPr>
                <w:rFonts w:cstheme="minorHAnsi"/>
                <w:sz w:val="22"/>
                <w:szCs w:val="22"/>
              </w:rPr>
              <w:t>+41 22 730</w:t>
            </w:r>
            <w:r w:rsidR="00434F0B" w:rsidRPr="00E44A78">
              <w:rPr>
                <w:rFonts w:cstheme="minorHAnsi"/>
                <w:sz w:val="22"/>
                <w:szCs w:val="22"/>
              </w:rPr>
              <w:t xml:space="preserve"> 5780</w:t>
            </w:r>
          </w:p>
        </w:tc>
        <w:tc>
          <w:tcPr>
            <w:tcW w:w="5051" w:type="dxa"/>
            <w:vMerge/>
          </w:tcPr>
          <w:p w14:paraId="4D3B29E6" w14:textId="77777777" w:rsidR="00445B68" w:rsidRPr="00E44A78" w:rsidRDefault="00445B68" w:rsidP="00A5280F">
            <w:pPr>
              <w:tabs>
                <w:tab w:val="left" w:pos="226"/>
                <w:tab w:val="left" w:pos="4111"/>
              </w:tabs>
              <w:spacing w:before="0"/>
              <w:ind w:left="226" w:hanging="226"/>
              <w:rPr>
                <w:rFonts w:cstheme="minorHAnsi"/>
                <w:b/>
                <w:sz w:val="22"/>
                <w:szCs w:val="22"/>
              </w:rPr>
            </w:pPr>
          </w:p>
        </w:tc>
      </w:tr>
      <w:tr w:rsidR="00445B68" w:rsidRPr="00E44A78" w14:paraId="1E8EF9B6" w14:textId="77777777" w:rsidTr="00434F0B">
        <w:trPr>
          <w:cantSplit/>
        </w:trPr>
        <w:tc>
          <w:tcPr>
            <w:tcW w:w="0" w:type="auto"/>
          </w:tcPr>
          <w:p w14:paraId="6B0A3B57" w14:textId="77777777" w:rsidR="00445B68" w:rsidRPr="00E44A78" w:rsidRDefault="00445B68" w:rsidP="00A5280F">
            <w:pPr>
              <w:tabs>
                <w:tab w:val="left" w:pos="4111"/>
              </w:tabs>
              <w:spacing w:before="10"/>
              <w:ind w:left="57"/>
              <w:rPr>
                <w:rFonts w:cstheme="minorHAnsi"/>
                <w:b/>
                <w:bCs/>
                <w:sz w:val="22"/>
                <w:szCs w:val="22"/>
              </w:rPr>
            </w:pPr>
            <w:proofErr w:type="gramStart"/>
            <w:r w:rsidRPr="00E44A78">
              <w:rPr>
                <w:rFonts w:cstheme="minorHAnsi"/>
                <w:b/>
                <w:bCs/>
                <w:sz w:val="22"/>
                <w:szCs w:val="22"/>
              </w:rPr>
              <w:t>Télécopie:</w:t>
            </w:r>
            <w:proofErr w:type="gramEnd"/>
          </w:p>
        </w:tc>
        <w:tc>
          <w:tcPr>
            <w:tcW w:w="3399" w:type="dxa"/>
          </w:tcPr>
          <w:p w14:paraId="029373B7" w14:textId="77777777" w:rsidR="00445B68" w:rsidRPr="00E44A78" w:rsidRDefault="00445B68" w:rsidP="00A5280F">
            <w:pPr>
              <w:tabs>
                <w:tab w:val="left" w:pos="4111"/>
              </w:tabs>
              <w:spacing w:before="0"/>
              <w:ind w:left="57"/>
              <w:rPr>
                <w:rFonts w:cstheme="minorHAnsi"/>
                <w:sz w:val="22"/>
                <w:szCs w:val="22"/>
              </w:rPr>
            </w:pPr>
            <w:r w:rsidRPr="00E44A78">
              <w:rPr>
                <w:rFonts w:cstheme="minorHAnsi"/>
                <w:sz w:val="22"/>
                <w:szCs w:val="22"/>
              </w:rPr>
              <w:t>+41 22 730 5853</w:t>
            </w:r>
          </w:p>
        </w:tc>
        <w:tc>
          <w:tcPr>
            <w:tcW w:w="5051" w:type="dxa"/>
            <w:vMerge/>
          </w:tcPr>
          <w:p w14:paraId="6DCAF7BD" w14:textId="77777777" w:rsidR="00445B68" w:rsidRPr="00E44A78" w:rsidRDefault="00445B68" w:rsidP="00A5280F">
            <w:pPr>
              <w:tabs>
                <w:tab w:val="left" w:pos="226"/>
                <w:tab w:val="left" w:pos="4111"/>
              </w:tabs>
              <w:spacing w:before="0"/>
              <w:ind w:left="226" w:hanging="226"/>
              <w:rPr>
                <w:rFonts w:cstheme="minorHAnsi"/>
                <w:b/>
                <w:sz w:val="22"/>
                <w:szCs w:val="22"/>
              </w:rPr>
            </w:pPr>
          </w:p>
        </w:tc>
      </w:tr>
      <w:tr w:rsidR="00445B68" w:rsidRPr="00E44A78" w14:paraId="04A0BB52" w14:textId="77777777" w:rsidTr="00434F0B">
        <w:trPr>
          <w:cantSplit/>
        </w:trPr>
        <w:tc>
          <w:tcPr>
            <w:tcW w:w="0" w:type="auto"/>
          </w:tcPr>
          <w:p w14:paraId="6E0E82D2" w14:textId="77777777" w:rsidR="00445B68" w:rsidRPr="00E44A78" w:rsidRDefault="00445B68" w:rsidP="00A5280F">
            <w:pPr>
              <w:tabs>
                <w:tab w:val="left" w:pos="4111"/>
              </w:tabs>
              <w:spacing w:before="10"/>
              <w:ind w:left="57"/>
              <w:rPr>
                <w:rFonts w:cstheme="minorHAnsi"/>
                <w:b/>
                <w:bCs/>
                <w:sz w:val="22"/>
                <w:szCs w:val="22"/>
              </w:rPr>
            </w:pPr>
            <w:proofErr w:type="gramStart"/>
            <w:r w:rsidRPr="00E44A78">
              <w:rPr>
                <w:rFonts w:cstheme="minorHAnsi"/>
                <w:b/>
                <w:bCs/>
                <w:sz w:val="22"/>
                <w:szCs w:val="22"/>
              </w:rPr>
              <w:t>Courriel:</w:t>
            </w:r>
            <w:proofErr w:type="gramEnd"/>
          </w:p>
        </w:tc>
        <w:tc>
          <w:tcPr>
            <w:tcW w:w="3399" w:type="dxa"/>
          </w:tcPr>
          <w:p w14:paraId="3DBDABF9" w14:textId="525D0C60" w:rsidR="00445B68" w:rsidRPr="00E44A78" w:rsidRDefault="007E36F3" w:rsidP="00A5280F">
            <w:pPr>
              <w:tabs>
                <w:tab w:val="left" w:pos="4111"/>
              </w:tabs>
              <w:spacing w:before="0"/>
              <w:ind w:left="57"/>
              <w:rPr>
                <w:rFonts w:cstheme="minorHAnsi"/>
                <w:sz w:val="22"/>
                <w:szCs w:val="22"/>
              </w:rPr>
            </w:pPr>
            <w:hyperlink r:id="rId9" w:history="1">
              <w:r w:rsidR="00434F0B" w:rsidRPr="00E44A78">
                <w:rPr>
                  <w:rStyle w:val="Hyperlink"/>
                  <w:rFonts w:cstheme="minorHAnsi"/>
                  <w:sz w:val="22"/>
                  <w:szCs w:val="22"/>
                </w:rPr>
                <w:t>tsbevents@itu.int</w:t>
              </w:r>
            </w:hyperlink>
          </w:p>
        </w:tc>
        <w:tc>
          <w:tcPr>
            <w:tcW w:w="5051" w:type="dxa"/>
            <w:vMerge/>
          </w:tcPr>
          <w:p w14:paraId="307B48B3" w14:textId="77777777" w:rsidR="00445B68" w:rsidRPr="00E44A78" w:rsidRDefault="00445B68" w:rsidP="00A5280F">
            <w:pPr>
              <w:tabs>
                <w:tab w:val="clear" w:pos="794"/>
                <w:tab w:val="left" w:pos="226"/>
                <w:tab w:val="left" w:pos="4111"/>
              </w:tabs>
              <w:spacing w:before="0"/>
              <w:ind w:left="226" w:hanging="226"/>
              <w:rPr>
                <w:rFonts w:cstheme="minorHAnsi"/>
                <w:sz w:val="22"/>
                <w:szCs w:val="22"/>
              </w:rPr>
            </w:pPr>
          </w:p>
        </w:tc>
      </w:tr>
      <w:tr w:rsidR="00517A03" w:rsidRPr="00E44A78" w14:paraId="4774A725" w14:textId="77777777" w:rsidTr="00C41B89">
        <w:trPr>
          <w:cantSplit/>
          <w:trHeight w:val="397"/>
        </w:trPr>
        <w:tc>
          <w:tcPr>
            <w:tcW w:w="0" w:type="auto"/>
          </w:tcPr>
          <w:p w14:paraId="23C88931" w14:textId="77777777" w:rsidR="00517A03" w:rsidRPr="00E44A78" w:rsidRDefault="00517A03" w:rsidP="00A21F9E">
            <w:pPr>
              <w:tabs>
                <w:tab w:val="left" w:pos="4111"/>
              </w:tabs>
              <w:ind w:left="57"/>
              <w:rPr>
                <w:rFonts w:cstheme="minorHAnsi"/>
                <w:b/>
                <w:bCs/>
                <w:sz w:val="22"/>
                <w:szCs w:val="22"/>
              </w:rPr>
            </w:pPr>
            <w:proofErr w:type="gramStart"/>
            <w:r w:rsidRPr="00E44A78">
              <w:rPr>
                <w:rFonts w:cstheme="minorHAnsi"/>
                <w:b/>
                <w:bCs/>
                <w:sz w:val="22"/>
                <w:szCs w:val="22"/>
              </w:rPr>
              <w:t>Objet:</w:t>
            </w:r>
            <w:proofErr w:type="gramEnd"/>
          </w:p>
        </w:tc>
        <w:tc>
          <w:tcPr>
            <w:tcW w:w="0" w:type="auto"/>
            <w:gridSpan w:val="2"/>
          </w:tcPr>
          <w:p w14:paraId="5F43CF4D" w14:textId="08D3121B" w:rsidR="00517A03" w:rsidRPr="00E44A78" w:rsidRDefault="00434F0B" w:rsidP="00A21F9E">
            <w:pPr>
              <w:tabs>
                <w:tab w:val="left" w:pos="4111"/>
              </w:tabs>
              <w:ind w:left="57"/>
              <w:rPr>
                <w:rFonts w:cstheme="minorHAnsi"/>
                <w:b/>
                <w:bCs/>
                <w:sz w:val="22"/>
                <w:szCs w:val="22"/>
              </w:rPr>
            </w:pPr>
            <w:r w:rsidRPr="00E44A78">
              <w:rPr>
                <w:rFonts w:cstheme="minorHAnsi"/>
                <w:b/>
                <w:bCs/>
                <w:sz w:val="22"/>
                <w:szCs w:val="22"/>
              </w:rPr>
              <w:t>Atelier didactique de l'UIT sur la procédure de reconnaissance des laboratoires de test de l'UIT</w:t>
            </w:r>
            <w:r w:rsidRPr="00E44A78">
              <w:rPr>
                <w:rFonts w:cstheme="minorHAnsi"/>
                <w:b/>
                <w:bCs/>
                <w:sz w:val="22"/>
                <w:szCs w:val="22"/>
              </w:rPr>
              <w:br/>
              <w:t>(Genève, Suisse, 12 octobre 2023)</w:t>
            </w:r>
          </w:p>
        </w:tc>
      </w:tr>
    </w:tbl>
    <w:p w14:paraId="613D1F0A" w14:textId="77777777" w:rsidR="00517A03" w:rsidRPr="00E44A78" w:rsidRDefault="00517A03" w:rsidP="00A21F9E">
      <w:pPr>
        <w:spacing w:before="240"/>
        <w:rPr>
          <w:rFonts w:cstheme="minorHAnsi"/>
          <w:sz w:val="22"/>
          <w:szCs w:val="22"/>
        </w:rPr>
      </w:pPr>
      <w:bookmarkStart w:id="1" w:name="StartTyping_F"/>
      <w:bookmarkEnd w:id="1"/>
      <w:r w:rsidRPr="00E44A78">
        <w:rPr>
          <w:rFonts w:cstheme="minorHAnsi"/>
          <w:sz w:val="22"/>
          <w:szCs w:val="22"/>
        </w:rPr>
        <w:t>Madame, Monsieur,</w:t>
      </w:r>
    </w:p>
    <w:p w14:paraId="5A1C046D" w14:textId="5C41DA70" w:rsidR="00434F0B" w:rsidRPr="00E44A78" w:rsidRDefault="00434F0B" w:rsidP="00434F0B">
      <w:pPr>
        <w:rPr>
          <w:rFonts w:cstheme="minorHAnsi"/>
          <w:bCs/>
          <w:sz w:val="22"/>
          <w:szCs w:val="22"/>
        </w:rPr>
      </w:pPr>
      <w:r w:rsidRPr="00E44A78">
        <w:rPr>
          <w:rFonts w:cstheme="minorHAnsi"/>
          <w:bCs/>
          <w:sz w:val="22"/>
          <w:szCs w:val="22"/>
        </w:rPr>
        <w:t>1</w:t>
      </w:r>
      <w:r w:rsidRPr="00E44A78">
        <w:rPr>
          <w:rFonts w:cstheme="minorHAnsi"/>
          <w:bCs/>
          <w:sz w:val="22"/>
          <w:szCs w:val="22"/>
        </w:rPr>
        <w:tab/>
        <w:t>J'ai l'honneur de vous informer que l'</w:t>
      </w:r>
      <w:hyperlink r:id="rId10" w:history="1">
        <w:r w:rsidRPr="00E44A78">
          <w:rPr>
            <w:rStyle w:val="Hyperlink"/>
            <w:rFonts w:cstheme="minorHAnsi"/>
            <w:bCs/>
            <w:sz w:val="22"/>
            <w:szCs w:val="22"/>
          </w:rPr>
          <w:t>Union internationale des télécommunications (UIT)</w:t>
        </w:r>
      </w:hyperlink>
      <w:r w:rsidRPr="00E44A78">
        <w:rPr>
          <w:rFonts w:cstheme="minorHAnsi"/>
          <w:bCs/>
          <w:sz w:val="22"/>
          <w:szCs w:val="22"/>
        </w:rPr>
        <w:t xml:space="preserve"> organise un atelier didactique sur sa procédure de reconnaissance des laboratoires de test, qui aura lieu sous la forme d'une manifestation physique avec participation à distance le </w:t>
      </w:r>
      <w:r w:rsidRPr="00E44A78">
        <w:rPr>
          <w:rFonts w:cstheme="minorHAnsi"/>
          <w:b/>
          <w:sz w:val="22"/>
          <w:szCs w:val="22"/>
        </w:rPr>
        <w:t>12 octobre 2023 (11 h 30-12 h 30 CEST)</w:t>
      </w:r>
      <w:r w:rsidRPr="00E44A78">
        <w:rPr>
          <w:rFonts w:cstheme="minorHAnsi"/>
          <w:bCs/>
          <w:sz w:val="22"/>
          <w:szCs w:val="22"/>
        </w:rPr>
        <w:t>, au siège de l'UIT à Genève (Suisse).</w:t>
      </w:r>
    </w:p>
    <w:p w14:paraId="7FE2A1EF" w14:textId="23700BA3" w:rsidR="00434F0B" w:rsidRPr="00E44A78" w:rsidRDefault="00434F0B" w:rsidP="00434F0B">
      <w:pPr>
        <w:rPr>
          <w:rFonts w:cstheme="minorHAnsi"/>
          <w:bCs/>
          <w:sz w:val="22"/>
          <w:szCs w:val="22"/>
        </w:rPr>
      </w:pPr>
      <w:r w:rsidRPr="00E44A78">
        <w:rPr>
          <w:rFonts w:cstheme="minorHAnsi"/>
          <w:bCs/>
          <w:sz w:val="22"/>
          <w:szCs w:val="22"/>
        </w:rPr>
        <w:t>2</w:t>
      </w:r>
      <w:r w:rsidRPr="00E44A78">
        <w:rPr>
          <w:rFonts w:cstheme="minorHAnsi"/>
          <w:bCs/>
          <w:sz w:val="22"/>
          <w:szCs w:val="22"/>
        </w:rPr>
        <w:tab/>
        <w:t xml:space="preserve">Cet atelier didactique se tiendra parallèlement à la réunion de la </w:t>
      </w:r>
      <w:hyperlink r:id="rId11" w:history="1">
        <w:r w:rsidRPr="00E44A78">
          <w:rPr>
            <w:rStyle w:val="Hyperlink"/>
            <w:rFonts w:cstheme="minorHAnsi"/>
            <w:bCs/>
            <w:sz w:val="22"/>
            <w:szCs w:val="22"/>
          </w:rPr>
          <w:t>Commission d'études 11 de l'UIT-T</w:t>
        </w:r>
      </w:hyperlink>
      <w:r w:rsidRPr="00E44A78">
        <w:rPr>
          <w:rFonts w:cstheme="minorHAnsi"/>
          <w:bCs/>
          <w:sz w:val="22"/>
          <w:szCs w:val="22"/>
        </w:rPr>
        <w:t>, qui aura lieu du 10 au 20 octobre 2023 au même endroit.</w:t>
      </w:r>
    </w:p>
    <w:p w14:paraId="346B53F2" w14:textId="524A9CDC" w:rsidR="00434F0B" w:rsidRPr="00E44A78" w:rsidRDefault="00434F0B" w:rsidP="00434F0B">
      <w:pPr>
        <w:rPr>
          <w:rFonts w:cstheme="minorHAnsi"/>
          <w:bCs/>
          <w:sz w:val="22"/>
          <w:szCs w:val="22"/>
        </w:rPr>
      </w:pPr>
      <w:r w:rsidRPr="00E44A78">
        <w:rPr>
          <w:rFonts w:cstheme="minorHAnsi"/>
          <w:bCs/>
          <w:sz w:val="22"/>
          <w:szCs w:val="22"/>
        </w:rPr>
        <w:t>3</w:t>
      </w:r>
      <w:r w:rsidRPr="00E44A78">
        <w:rPr>
          <w:rFonts w:cstheme="minorHAnsi"/>
          <w:bCs/>
          <w:sz w:val="22"/>
          <w:szCs w:val="22"/>
        </w:rPr>
        <w:tab/>
        <w:t xml:space="preserve">Conformément aux instructions données dans la </w:t>
      </w:r>
      <w:hyperlink r:id="rId12" w:history="1">
        <w:r w:rsidRPr="00E44A78">
          <w:rPr>
            <w:rStyle w:val="Hyperlink"/>
            <w:rFonts w:cstheme="minorHAnsi"/>
            <w:bCs/>
            <w:sz w:val="22"/>
            <w:szCs w:val="22"/>
          </w:rPr>
          <w:t>Résolution 76 (AMNT-20)</w:t>
        </w:r>
      </w:hyperlink>
      <w:r w:rsidRPr="00E44A78">
        <w:rPr>
          <w:rFonts w:cstheme="minorHAnsi"/>
          <w:bCs/>
          <w:sz w:val="22"/>
          <w:szCs w:val="22"/>
        </w:rPr>
        <w:t xml:space="preserve">, la CE 11 de l'UIT a élaboré la </w:t>
      </w:r>
      <w:hyperlink r:id="rId13" w:history="1">
        <w:r w:rsidRPr="00E44A78">
          <w:rPr>
            <w:rStyle w:val="Hyperlink"/>
            <w:rFonts w:cstheme="minorHAnsi"/>
            <w:bCs/>
            <w:sz w:val="22"/>
            <w:szCs w:val="22"/>
          </w:rPr>
          <w:t>ligne directrice de l'UIT-T relative à la procédure de reconnaissance des laboratoires de test</w:t>
        </w:r>
      </w:hyperlink>
      <w:r w:rsidRPr="00E44A78">
        <w:rPr>
          <w:rFonts w:cstheme="minorHAnsi"/>
          <w:bCs/>
          <w:sz w:val="22"/>
          <w:szCs w:val="22"/>
        </w:rPr>
        <w:t>, qui définit les critères applicables à la reconnaissance des laboratoires de test.</w:t>
      </w:r>
    </w:p>
    <w:p w14:paraId="14804A27" w14:textId="395141BC" w:rsidR="00434F0B" w:rsidRPr="00E44A78" w:rsidRDefault="00434F0B" w:rsidP="00434F0B">
      <w:pPr>
        <w:rPr>
          <w:rFonts w:cstheme="minorHAnsi"/>
          <w:bCs/>
          <w:sz w:val="22"/>
          <w:szCs w:val="22"/>
        </w:rPr>
      </w:pPr>
      <w:r w:rsidRPr="00E44A78">
        <w:rPr>
          <w:rFonts w:cstheme="minorHAnsi"/>
          <w:bCs/>
          <w:sz w:val="22"/>
          <w:szCs w:val="22"/>
        </w:rPr>
        <w:t>4</w:t>
      </w:r>
      <w:r w:rsidRPr="00E44A78">
        <w:rPr>
          <w:rFonts w:cstheme="minorHAnsi"/>
          <w:bCs/>
          <w:sz w:val="22"/>
          <w:szCs w:val="22"/>
        </w:rPr>
        <w:tab/>
        <w:t xml:space="preserve">L'UIT-T collabore avec la Coopération internationale pour l'accréditation des laboratoires (ILAC, </w:t>
      </w:r>
      <w:hyperlink r:id="rId14" w:history="1">
        <w:r w:rsidRPr="00E44A78">
          <w:rPr>
            <w:rStyle w:val="Hyperlink"/>
            <w:rFonts w:cstheme="minorHAnsi"/>
            <w:bCs/>
            <w:sz w:val="22"/>
            <w:szCs w:val="22"/>
          </w:rPr>
          <w:t>https://ilac.org/</w:t>
        </w:r>
      </w:hyperlink>
      <w:r w:rsidRPr="00E44A78">
        <w:rPr>
          <w:rFonts w:cstheme="minorHAnsi"/>
          <w:bCs/>
          <w:sz w:val="22"/>
          <w:szCs w:val="22"/>
        </w:rPr>
        <w:t xml:space="preserve">) et le Forum international de l'accréditation (IAF) sur ce sujet, et a signé un </w:t>
      </w:r>
      <w:hyperlink r:id="rId15" w:history="1">
        <w:r w:rsidRPr="00E44A78">
          <w:rPr>
            <w:rStyle w:val="Hyperlink"/>
            <w:rFonts w:cstheme="minorHAnsi"/>
            <w:bCs/>
            <w:sz w:val="22"/>
            <w:szCs w:val="22"/>
          </w:rPr>
          <w:t>mémorandum d'accord</w:t>
        </w:r>
      </w:hyperlink>
      <w:r w:rsidRPr="00E44A78">
        <w:rPr>
          <w:rFonts w:cstheme="minorHAnsi"/>
          <w:bCs/>
          <w:sz w:val="22"/>
          <w:szCs w:val="22"/>
        </w:rPr>
        <w:t xml:space="preserve"> actualisé en août 2022.</w:t>
      </w:r>
    </w:p>
    <w:p w14:paraId="18A9687A" w14:textId="3999A7BB" w:rsidR="00434F0B" w:rsidRPr="00E44A78" w:rsidRDefault="00434F0B" w:rsidP="00434F0B">
      <w:pPr>
        <w:rPr>
          <w:rFonts w:cstheme="minorHAnsi"/>
          <w:bCs/>
          <w:sz w:val="22"/>
          <w:szCs w:val="22"/>
        </w:rPr>
      </w:pPr>
      <w:r w:rsidRPr="00E44A78">
        <w:rPr>
          <w:rFonts w:cstheme="minorHAnsi"/>
          <w:bCs/>
          <w:sz w:val="22"/>
          <w:szCs w:val="22"/>
        </w:rPr>
        <w:t>5</w:t>
      </w:r>
      <w:r w:rsidRPr="00E44A78">
        <w:rPr>
          <w:rFonts w:cstheme="minorHAnsi"/>
          <w:bCs/>
          <w:sz w:val="22"/>
          <w:szCs w:val="22"/>
        </w:rPr>
        <w:tab/>
        <w:t>La procédure de reconnaissance des laboratoires de test de l'UIT (</w:t>
      </w:r>
      <w:hyperlink r:id="rId16" w:history="1">
        <w:r w:rsidRPr="00E44A78">
          <w:rPr>
            <w:rStyle w:val="Hyperlink"/>
            <w:rFonts w:cstheme="minorHAnsi"/>
            <w:bCs/>
            <w:sz w:val="22"/>
            <w:szCs w:val="22"/>
          </w:rPr>
          <w:t>Circulaire TSB 368</w:t>
        </w:r>
      </w:hyperlink>
      <w:r w:rsidRPr="00E44A78">
        <w:rPr>
          <w:rFonts w:cstheme="minorHAnsi"/>
          <w:bCs/>
          <w:sz w:val="22"/>
          <w:szCs w:val="22"/>
        </w:rPr>
        <w:t xml:space="preserve">) est en vigueur depuis 2021. Les laboratoires de test qui respectent les critères énumérés dans la </w:t>
      </w:r>
      <w:hyperlink r:id="rId17" w:history="1">
        <w:r w:rsidRPr="00E44A78">
          <w:rPr>
            <w:rStyle w:val="Hyperlink"/>
            <w:rFonts w:cstheme="minorHAnsi"/>
            <w:bCs/>
            <w:sz w:val="22"/>
            <w:szCs w:val="22"/>
          </w:rPr>
          <w:t>ligne directrice de l'UIT-T</w:t>
        </w:r>
      </w:hyperlink>
      <w:r w:rsidRPr="00E44A78">
        <w:rPr>
          <w:rFonts w:cstheme="minorHAnsi"/>
          <w:bCs/>
          <w:sz w:val="22"/>
          <w:szCs w:val="22"/>
        </w:rPr>
        <w:t xml:space="preserve"> sont enregistrés dans la base de données de l'UIT sur les laboratoires de test (</w:t>
      </w:r>
      <w:hyperlink r:id="rId18" w:history="1">
        <w:r w:rsidRPr="00E44A78">
          <w:rPr>
            <w:rStyle w:val="Hyperlink"/>
            <w:rFonts w:cstheme="minorHAnsi"/>
            <w:bCs/>
            <w:sz w:val="22"/>
            <w:szCs w:val="22"/>
          </w:rPr>
          <w:t>https://itu.int/go/tldb</w:t>
        </w:r>
      </w:hyperlink>
      <w:r w:rsidRPr="00E44A78">
        <w:rPr>
          <w:rFonts w:cstheme="minorHAnsi"/>
          <w:bCs/>
          <w:sz w:val="22"/>
          <w:szCs w:val="22"/>
        </w:rPr>
        <w:t>) en conséquence.</w:t>
      </w:r>
    </w:p>
    <w:p w14:paraId="3619CD8A" w14:textId="77777777" w:rsidR="00434F0B" w:rsidRPr="00E44A78" w:rsidRDefault="00434F0B" w:rsidP="00434F0B">
      <w:pPr>
        <w:rPr>
          <w:rFonts w:cstheme="minorHAnsi"/>
          <w:bCs/>
          <w:sz w:val="22"/>
          <w:szCs w:val="22"/>
        </w:rPr>
      </w:pPr>
      <w:r w:rsidRPr="00E44A78">
        <w:rPr>
          <w:rFonts w:cstheme="minorHAnsi"/>
          <w:bCs/>
          <w:sz w:val="22"/>
          <w:szCs w:val="22"/>
        </w:rPr>
        <w:t>6</w:t>
      </w:r>
      <w:r w:rsidRPr="00E44A78">
        <w:rPr>
          <w:rFonts w:cstheme="minorHAnsi"/>
          <w:bCs/>
          <w:sz w:val="22"/>
          <w:szCs w:val="22"/>
        </w:rPr>
        <w:tab/>
        <w:t>L'objectif de cet atelier didactique est de permettre à toutes les parties prenantes intéressées de mieux comprendre la procédure de reconnaissance des laboratoires de test mise au point par l'UIT et les avantages associés, et de leur communiquer les renseignements d'ordre logistique dont elles ont besoin pour soumettre des demandes.</w:t>
      </w:r>
    </w:p>
    <w:p w14:paraId="16EEE9F9" w14:textId="77777777" w:rsidR="00434F0B" w:rsidRPr="00E44A78" w:rsidRDefault="00434F0B" w:rsidP="00434F0B">
      <w:pPr>
        <w:rPr>
          <w:rFonts w:cstheme="minorHAnsi"/>
          <w:bCs/>
          <w:sz w:val="22"/>
          <w:szCs w:val="22"/>
        </w:rPr>
      </w:pPr>
      <w:r w:rsidRPr="00E44A78">
        <w:rPr>
          <w:rFonts w:cstheme="minorHAnsi"/>
          <w:bCs/>
          <w:sz w:val="22"/>
          <w:szCs w:val="22"/>
        </w:rPr>
        <w:t>7</w:t>
      </w:r>
      <w:r w:rsidRPr="00E44A78">
        <w:rPr>
          <w:rFonts w:cstheme="minorHAnsi"/>
          <w:bCs/>
          <w:sz w:val="22"/>
          <w:szCs w:val="22"/>
        </w:rPr>
        <w:tab/>
        <w:t>Il se déroulera uniquement en anglais.</w:t>
      </w:r>
    </w:p>
    <w:p w14:paraId="6692A9D4" w14:textId="77777777" w:rsidR="00434F0B" w:rsidRPr="00E44A78" w:rsidRDefault="00434F0B" w:rsidP="00434F0B">
      <w:pPr>
        <w:rPr>
          <w:rFonts w:cstheme="minorHAnsi"/>
          <w:bCs/>
          <w:sz w:val="22"/>
          <w:szCs w:val="22"/>
        </w:rPr>
      </w:pPr>
      <w:r w:rsidRPr="00E44A78">
        <w:rPr>
          <w:rFonts w:cstheme="minorHAnsi"/>
          <w:bCs/>
          <w:sz w:val="22"/>
          <w:szCs w:val="22"/>
        </w:rPr>
        <w:t>8</w:t>
      </w:r>
      <w:r w:rsidRPr="00E44A78">
        <w:rPr>
          <w:rFonts w:cstheme="minorHAnsi"/>
          <w:bCs/>
          <w:sz w:val="22"/>
          <w:szCs w:val="22"/>
        </w:rPr>
        <w:tab/>
        <w:t xml:space="preserve">La participation à l'atelier didactique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de parties prenantes intéressées, y compris d'opérateurs de télécommunication, de régulateurs, d'organismes de normalisation </w:t>
      </w:r>
      <w:r w:rsidRPr="00E44A78">
        <w:rPr>
          <w:rFonts w:cstheme="minorHAnsi"/>
          <w:bCs/>
          <w:sz w:val="22"/>
          <w:szCs w:val="22"/>
        </w:rPr>
        <w:lastRenderedPageBreak/>
        <w:t>et d'instituts de financement et notamment de laboratoires de test. La participation à l'atelier didactique est gratuite et aucune bourse ne sera accordée.</w:t>
      </w:r>
    </w:p>
    <w:p w14:paraId="238A28F2" w14:textId="1C2808A0" w:rsidR="00434F0B" w:rsidRPr="00E44A78" w:rsidRDefault="00434F0B" w:rsidP="00434F0B">
      <w:pPr>
        <w:rPr>
          <w:rFonts w:cstheme="minorHAnsi"/>
          <w:bCs/>
          <w:sz w:val="22"/>
          <w:szCs w:val="22"/>
        </w:rPr>
      </w:pPr>
      <w:r w:rsidRPr="00E44A78">
        <w:rPr>
          <w:rFonts w:cstheme="minorHAnsi"/>
          <w:bCs/>
          <w:sz w:val="22"/>
          <w:szCs w:val="22"/>
        </w:rPr>
        <w:t>9</w:t>
      </w:r>
      <w:r w:rsidRPr="00E44A78">
        <w:rPr>
          <w:rFonts w:cstheme="minorHAnsi"/>
          <w:bCs/>
          <w:sz w:val="22"/>
          <w:szCs w:val="22"/>
        </w:rPr>
        <w:tab/>
        <w:t xml:space="preserve">Toutes les informations utiles concernant l'atelier didactique, notamment le projet de programme, seront disponibles sur le site web de la manifestation, à l'adresse </w:t>
      </w:r>
      <w:proofErr w:type="gramStart"/>
      <w:r w:rsidRPr="00E44A78">
        <w:rPr>
          <w:rFonts w:cstheme="minorHAnsi"/>
          <w:bCs/>
          <w:sz w:val="22"/>
          <w:szCs w:val="22"/>
        </w:rPr>
        <w:t>suivante:</w:t>
      </w:r>
      <w:proofErr w:type="gramEnd"/>
      <w:r w:rsidRPr="00E44A78">
        <w:rPr>
          <w:rFonts w:cstheme="minorHAnsi"/>
          <w:bCs/>
          <w:sz w:val="22"/>
          <w:szCs w:val="22"/>
        </w:rPr>
        <w:t xml:space="preserve"> </w:t>
      </w:r>
      <w:hyperlink r:id="rId19" w:history="1">
        <w:r w:rsidRPr="00E44A78">
          <w:rPr>
            <w:rStyle w:val="Hyperlink"/>
            <w:rFonts w:cstheme="minorHAnsi"/>
            <w:bCs/>
            <w:sz w:val="22"/>
            <w:szCs w:val="22"/>
          </w:rPr>
          <w:t>https://itu.int/go/TT-TLRP</w:t>
        </w:r>
      </w:hyperlink>
      <w:r w:rsidRPr="00E44A78">
        <w:rPr>
          <w:rFonts w:cstheme="minorHAnsi"/>
          <w:bCs/>
          <w:sz w:val="22"/>
          <w:szCs w:val="22"/>
        </w:rPr>
        <w:t>. La page web de la manifestation sera mise à jour périodiquement, à mesure que parviendront des informations nouvelles. Il est recommandé aux participants de consulter régulièrement la page web pour prendre connaissance des dernières informations.</w:t>
      </w:r>
    </w:p>
    <w:p w14:paraId="06519A38" w14:textId="4E48BB77" w:rsidR="00434F0B" w:rsidRPr="00E44A78" w:rsidRDefault="00434F0B" w:rsidP="00434F0B">
      <w:pPr>
        <w:rPr>
          <w:rFonts w:cstheme="minorHAnsi"/>
          <w:bCs/>
          <w:sz w:val="22"/>
          <w:szCs w:val="22"/>
        </w:rPr>
      </w:pPr>
      <w:r w:rsidRPr="00E44A78">
        <w:rPr>
          <w:rFonts w:cstheme="minorHAnsi"/>
          <w:bCs/>
          <w:sz w:val="22"/>
          <w:szCs w:val="22"/>
        </w:rPr>
        <w:t>10</w:t>
      </w:r>
      <w:r w:rsidRPr="00E44A78">
        <w:rPr>
          <w:rFonts w:cstheme="minorHAnsi"/>
          <w:bCs/>
          <w:sz w:val="22"/>
          <w:szCs w:val="22"/>
        </w:rPr>
        <w:tab/>
        <w:t>Des équipements de réseau local sans fil sont à la disposition des délégués dans les principaux espaces de conférence de l'UIT. Des informations détaillées sont disponibles sur le site web de l'UIT-T (</w:t>
      </w:r>
      <w:hyperlink r:id="rId20" w:history="1">
        <w:r w:rsidRPr="00E44A78">
          <w:rPr>
            <w:rStyle w:val="Hyperlink"/>
            <w:rFonts w:cstheme="minorHAnsi"/>
            <w:bCs/>
            <w:sz w:val="22"/>
            <w:szCs w:val="22"/>
          </w:rPr>
          <w:t>https://www.itu.int/ITU-T/edh/faqs-support.html</w:t>
        </w:r>
      </w:hyperlink>
      <w:r w:rsidRPr="00E44A78">
        <w:rPr>
          <w:rFonts w:cstheme="minorHAnsi"/>
          <w:bCs/>
          <w:sz w:val="22"/>
          <w:szCs w:val="22"/>
        </w:rPr>
        <w:t>).</w:t>
      </w:r>
    </w:p>
    <w:p w14:paraId="039602B5" w14:textId="71C413CB" w:rsidR="00434F0B" w:rsidRPr="00E44A78" w:rsidRDefault="00434F0B" w:rsidP="00434F0B">
      <w:pPr>
        <w:rPr>
          <w:rFonts w:cstheme="minorHAnsi"/>
          <w:bCs/>
          <w:sz w:val="22"/>
          <w:szCs w:val="22"/>
        </w:rPr>
      </w:pPr>
      <w:r w:rsidRPr="00E44A78">
        <w:rPr>
          <w:rFonts w:cstheme="minorHAnsi"/>
          <w:bCs/>
          <w:sz w:val="22"/>
          <w:szCs w:val="22"/>
        </w:rPr>
        <w:t>11</w:t>
      </w:r>
      <w:r w:rsidRPr="00E44A78">
        <w:rPr>
          <w:rFonts w:cstheme="minorHAnsi"/>
          <w:bCs/>
          <w:sz w:val="22"/>
          <w:szCs w:val="22"/>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E44A78">
        <w:rPr>
          <w:rFonts w:cstheme="minorHAnsi"/>
          <w:bCs/>
          <w:sz w:val="22"/>
          <w:szCs w:val="22"/>
        </w:rPr>
        <w:t>l'adresse:</w:t>
      </w:r>
      <w:proofErr w:type="gramEnd"/>
      <w:r w:rsidRPr="00E44A78">
        <w:rPr>
          <w:rFonts w:cstheme="minorHAnsi"/>
          <w:bCs/>
          <w:sz w:val="22"/>
          <w:szCs w:val="22"/>
        </w:rPr>
        <w:t xml:space="preserve"> </w:t>
      </w:r>
      <w:hyperlink r:id="rId21" w:history="1">
        <w:r w:rsidRPr="00E44A78">
          <w:rPr>
            <w:rStyle w:val="Hyperlink"/>
            <w:rFonts w:cstheme="minorHAnsi"/>
            <w:bCs/>
            <w:sz w:val="22"/>
            <w:szCs w:val="22"/>
          </w:rPr>
          <w:t>https://itu.int/travel/</w:t>
        </w:r>
      </w:hyperlink>
      <w:r w:rsidRPr="00E44A78">
        <w:rPr>
          <w:rFonts w:cstheme="minorHAnsi"/>
          <w:bCs/>
          <w:sz w:val="22"/>
          <w:szCs w:val="22"/>
        </w:rPr>
        <w:t>.</w:t>
      </w:r>
    </w:p>
    <w:p w14:paraId="2CF27B40" w14:textId="77777777" w:rsidR="00434F0B" w:rsidRPr="00E44A78" w:rsidRDefault="00434F0B" w:rsidP="00434F0B">
      <w:pPr>
        <w:rPr>
          <w:rFonts w:cstheme="minorHAnsi"/>
          <w:bCs/>
          <w:sz w:val="22"/>
          <w:szCs w:val="22"/>
        </w:rPr>
      </w:pPr>
      <w:r w:rsidRPr="00E44A78">
        <w:rPr>
          <w:rFonts w:cstheme="minorHAnsi"/>
          <w:bCs/>
          <w:sz w:val="22"/>
          <w:szCs w:val="22"/>
        </w:rPr>
        <w:t>12</w:t>
      </w:r>
      <w:r w:rsidRPr="00E44A78">
        <w:rPr>
          <w:rFonts w:cstheme="minorHAnsi"/>
          <w:bCs/>
          <w:sz w:val="22"/>
          <w:szCs w:val="22"/>
        </w:rPr>
        <w:tab/>
        <w:t xml:space="preserve">Afin de permettre au TSB de prendre les dispositions nécessaires concernant l'organisation de l'atelier didactique, je vous saurais gré de bien vouloir vous inscrire au moyen du formulaire en ligne disponible sur la page du site web dès que possible, </w:t>
      </w:r>
      <w:r w:rsidRPr="00E44A78">
        <w:rPr>
          <w:rFonts w:cstheme="minorHAnsi"/>
          <w:b/>
          <w:sz w:val="22"/>
          <w:szCs w:val="22"/>
        </w:rPr>
        <w:t>et au plus tard le 5 octobre 2023</w:t>
      </w:r>
      <w:r w:rsidRPr="00E44A78">
        <w:rPr>
          <w:rFonts w:cstheme="minorHAnsi"/>
          <w:bCs/>
          <w:sz w:val="22"/>
          <w:szCs w:val="22"/>
        </w:rPr>
        <w:t xml:space="preserve">. </w:t>
      </w:r>
      <w:r w:rsidRPr="00E44A78">
        <w:rPr>
          <w:rFonts w:cstheme="minorHAnsi"/>
          <w:b/>
          <w:sz w:val="22"/>
          <w:szCs w:val="22"/>
        </w:rPr>
        <w:t>Veuillez noter que l'inscription préalable des participants à l'atelier didactique est obligatoire et se fait exclusivement en ligne</w:t>
      </w:r>
      <w:r w:rsidRPr="00E44A78">
        <w:rPr>
          <w:rFonts w:cstheme="minorHAnsi"/>
          <w:bCs/>
          <w:sz w:val="22"/>
          <w:szCs w:val="22"/>
        </w:rPr>
        <w:t>.</w:t>
      </w:r>
    </w:p>
    <w:p w14:paraId="6D6F0124" w14:textId="77777777" w:rsidR="00434F0B" w:rsidRPr="00E44A78" w:rsidRDefault="00434F0B" w:rsidP="00434F0B">
      <w:pPr>
        <w:rPr>
          <w:rFonts w:cstheme="minorHAnsi"/>
          <w:bCs/>
          <w:sz w:val="22"/>
          <w:szCs w:val="22"/>
        </w:rPr>
      </w:pPr>
      <w:r w:rsidRPr="00E44A78">
        <w:rPr>
          <w:rFonts w:cstheme="minorHAnsi"/>
          <w:bCs/>
          <w:sz w:val="22"/>
          <w:szCs w:val="22"/>
        </w:rPr>
        <w:t>13</w:t>
      </w:r>
      <w:r w:rsidRPr="00E44A78">
        <w:rPr>
          <w:rFonts w:cstheme="minorHAnsi"/>
          <w:bCs/>
          <w:sz w:val="22"/>
          <w:szCs w:val="22"/>
        </w:rPr>
        <w:tab/>
        <w:t xml:space="preserve">Nous vous rappelons que, pour les ressortissants de certains pays, l'entrée et le séjour, quelle qu'en soit la durée, sur le territoire de la Suisse sont soumis à l'obtention d'un visa. </w:t>
      </w:r>
      <w:r w:rsidRPr="00E44A78">
        <w:rPr>
          <w:rFonts w:cstheme="minorHAnsi"/>
          <w:b/>
          <w:sz w:val="22"/>
          <w:szCs w:val="22"/>
        </w:rPr>
        <w:t>Ce visa doit être demandé au moins quatre (4) semaines avant la date de début de l'atelier didactique</w:t>
      </w:r>
      <w:r w:rsidRPr="00E44A78">
        <w:rPr>
          <w:rFonts w:cstheme="minorHAnsi"/>
          <w:bCs/>
          <w:sz w:val="22"/>
          <w:szCs w:val="22"/>
        </w:rPr>
        <w:t xml:space="preserve"> et obtenu auprès de la représentation de la Suisse (ambassade ou consulat) dans votre pays ou, à défaut, dans le pays le plus proche de votre pays de départ.</w:t>
      </w:r>
    </w:p>
    <w:p w14:paraId="00DCB25B" w14:textId="08F1351F" w:rsidR="00036F4F" w:rsidRPr="00E44A78" w:rsidRDefault="00434F0B" w:rsidP="00434F0B">
      <w:pPr>
        <w:rPr>
          <w:rFonts w:cstheme="minorHAnsi"/>
          <w:bCs/>
          <w:sz w:val="22"/>
          <w:szCs w:val="22"/>
        </w:rPr>
      </w:pPr>
      <w:r w:rsidRPr="00E44A78">
        <w:rPr>
          <w:rFonts w:cstheme="minorHAnsi"/>
          <w:bCs/>
          <w:sz w:val="22"/>
          <w:szCs w:val="22"/>
        </w:rPr>
        <w:t xml:space="preserve">En cas de problème pour des </w:t>
      </w:r>
      <w:r w:rsidRPr="00E44A78">
        <w:rPr>
          <w:rFonts w:cstheme="minorHAnsi"/>
          <w:b/>
          <w:sz w:val="22"/>
          <w:szCs w:val="22"/>
        </w:rPr>
        <w:t>États Membres, des Membres de Secteur et des Associés de l'UIT ou des établissements universitaires participant aux travaux de l'UIT</w:t>
      </w:r>
      <w:r w:rsidRPr="00E44A78">
        <w:rPr>
          <w:rFonts w:cstheme="minorHAnsi"/>
          <w:bCs/>
          <w:sz w:val="22"/>
          <w:szCs w:val="22"/>
        </w:rPr>
        <w:t xml:space="preserve">, et sur demande officielle de leur part au TSB, l'Union peut intervenir auprès des autorités suisses compétentes pour faciliter l'émission du visa, mais uniquement pendant la période de </w:t>
      </w:r>
      <w:proofErr w:type="gramStart"/>
      <w:r w:rsidRPr="00E44A78">
        <w:rPr>
          <w:rFonts w:cstheme="minorHAnsi"/>
          <w:b/>
          <w:sz w:val="22"/>
          <w:szCs w:val="22"/>
        </w:rPr>
        <w:t>quatre</w:t>
      </w:r>
      <w:r w:rsidRPr="00E44A78">
        <w:rPr>
          <w:rFonts w:cstheme="minorHAnsi"/>
          <w:bCs/>
          <w:sz w:val="22"/>
          <w:szCs w:val="22"/>
        </w:rPr>
        <w:t xml:space="preserve"> semaines susmentionnée</w:t>
      </w:r>
      <w:proofErr w:type="gramEnd"/>
      <w:r w:rsidRPr="00E44A78">
        <w:rPr>
          <w:rFonts w:cstheme="minorHAnsi"/>
          <w:bCs/>
          <w:sz w:val="22"/>
          <w:szCs w:val="22"/>
        </w:rPr>
        <w:t>. Les demandes doivent être effectuées en cochant la case correspondante du formulaire d'inscription, au plus tard quatre semaines avant la date de la manifestation. Elles doivent être envoyées à la Section des voyages de l'UIT (</w:t>
      </w:r>
      <w:hyperlink r:id="rId22" w:history="1">
        <w:r w:rsidRPr="00E44A78">
          <w:rPr>
            <w:rStyle w:val="Hyperlink"/>
            <w:rFonts w:cstheme="minorHAnsi"/>
            <w:bCs/>
            <w:sz w:val="22"/>
            <w:szCs w:val="22"/>
          </w:rPr>
          <w:t>travel@itu.int</w:t>
        </w:r>
      </w:hyperlink>
      <w:r w:rsidRPr="00E44A78">
        <w:rPr>
          <w:rFonts w:cstheme="minorHAnsi"/>
          <w:bCs/>
          <w:sz w:val="22"/>
          <w:szCs w:val="22"/>
        </w:rPr>
        <w:t>) avec la mention "assistance pour le visa".</w:t>
      </w:r>
    </w:p>
    <w:p w14:paraId="462884F4" w14:textId="77777777" w:rsidR="00BD6ECF" w:rsidRPr="00E44A78" w:rsidRDefault="00517A03" w:rsidP="00BD6ECF">
      <w:pPr>
        <w:rPr>
          <w:rFonts w:cstheme="minorHAnsi"/>
          <w:sz w:val="22"/>
          <w:szCs w:val="22"/>
        </w:rPr>
      </w:pPr>
      <w:r w:rsidRPr="00E44A78">
        <w:rPr>
          <w:rFonts w:cstheme="minorHAnsi"/>
          <w:sz w:val="22"/>
          <w:szCs w:val="22"/>
        </w:rPr>
        <w:t>Veuillez agréer, Madame, Monsieur, l</w:t>
      </w:r>
      <w:r w:rsidR="00167472" w:rsidRPr="00E44A78">
        <w:rPr>
          <w:rFonts w:cstheme="minorHAnsi"/>
          <w:sz w:val="22"/>
          <w:szCs w:val="22"/>
        </w:rPr>
        <w:t>'</w:t>
      </w:r>
      <w:r w:rsidRPr="00E44A78">
        <w:rPr>
          <w:rFonts w:cstheme="minorHAnsi"/>
          <w:sz w:val="22"/>
          <w:szCs w:val="22"/>
        </w:rPr>
        <w:t>assurance de ma haute considération.</w:t>
      </w:r>
    </w:p>
    <w:p w14:paraId="4C33A057" w14:textId="37ACB2B2" w:rsidR="00517A03" w:rsidRPr="00E44A78" w:rsidRDefault="007E36F3" w:rsidP="009713FE">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775020C4" wp14:editId="231AF08A">
            <wp:simplePos x="0" y="0"/>
            <wp:positionH relativeFrom="column">
              <wp:posOffset>3810</wp:posOffset>
            </wp:positionH>
            <wp:positionV relativeFrom="paragraph">
              <wp:posOffset>118745</wp:posOffset>
            </wp:positionV>
            <wp:extent cx="546099" cy="409575"/>
            <wp:effectExtent l="0" t="0" r="6985"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r w:rsidR="00CB4E80" w:rsidRPr="00E44A78">
        <w:rPr>
          <w:rFonts w:cstheme="minorHAnsi"/>
          <w:sz w:val="22"/>
          <w:szCs w:val="22"/>
        </w:rPr>
        <w:t>Seizo Onoe</w:t>
      </w:r>
      <w:r w:rsidR="00036F4F" w:rsidRPr="00E44A78">
        <w:rPr>
          <w:rFonts w:cstheme="minorHAnsi"/>
          <w:sz w:val="22"/>
          <w:szCs w:val="22"/>
        </w:rPr>
        <w:br/>
        <w:t xml:space="preserve">Directeur du Bureau de la normalisation </w:t>
      </w:r>
      <w:r w:rsidR="00036F4F" w:rsidRPr="00E44A78">
        <w:rPr>
          <w:rFonts w:cstheme="minorHAnsi"/>
          <w:sz w:val="22"/>
          <w:szCs w:val="22"/>
        </w:rPr>
        <w:br/>
        <w:t>des télécommunications</w:t>
      </w:r>
      <w:r w:rsidR="00036F4F" w:rsidRPr="00E44A78">
        <w:rPr>
          <w:rFonts w:cstheme="minorHAnsi"/>
          <w:b/>
          <w:sz w:val="22"/>
          <w:szCs w:val="22"/>
        </w:rPr>
        <w:t xml:space="preserve"> </w:t>
      </w:r>
    </w:p>
    <w:sectPr w:rsidR="00517A03" w:rsidRPr="00E44A78" w:rsidSect="00A15179">
      <w:headerReference w:type="defaul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D46D" w14:textId="77777777" w:rsidR="00F03920" w:rsidRDefault="00F03920">
      <w:r>
        <w:separator/>
      </w:r>
    </w:p>
  </w:endnote>
  <w:endnote w:type="continuationSeparator" w:id="0">
    <w:p w14:paraId="795C563C" w14:textId="77777777" w:rsidR="00F03920" w:rsidRDefault="00F0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1BB4"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326A" w14:textId="77777777" w:rsidR="00F03920" w:rsidRDefault="00F03920">
      <w:r>
        <w:t>____________________</w:t>
      </w:r>
    </w:p>
  </w:footnote>
  <w:footnote w:type="continuationSeparator" w:id="0">
    <w:p w14:paraId="45C36C7E" w14:textId="77777777" w:rsidR="00F03920" w:rsidRDefault="00F0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FF85" w14:textId="0C80B2D7" w:rsidR="00697BC1" w:rsidRPr="00697BC1" w:rsidRDefault="007E36F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534FE0">
      <w:rPr>
        <w:noProof/>
        <w:sz w:val="18"/>
        <w:szCs w:val="16"/>
      </w:rPr>
      <w:br/>
      <w:t>Circulaire TSB 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44"/>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C5077"/>
    <w:rsid w:val="002152A3"/>
    <w:rsid w:val="0023667A"/>
    <w:rsid w:val="002E395D"/>
    <w:rsid w:val="003131F0"/>
    <w:rsid w:val="00333A80"/>
    <w:rsid w:val="00341117"/>
    <w:rsid w:val="00364E95"/>
    <w:rsid w:val="00372875"/>
    <w:rsid w:val="003B1E80"/>
    <w:rsid w:val="003B66E8"/>
    <w:rsid w:val="003E66AD"/>
    <w:rsid w:val="004033F1"/>
    <w:rsid w:val="00414B0C"/>
    <w:rsid w:val="00423C21"/>
    <w:rsid w:val="004257AC"/>
    <w:rsid w:val="00434F0B"/>
    <w:rsid w:val="0043711B"/>
    <w:rsid w:val="00445B68"/>
    <w:rsid w:val="004977C9"/>
    <w:rsid w:val="004B732E"/>
    <w:rsid w:val="004D51F4"/>
    <w:rsid w:val="004D64E0"/>
    <w:rsid w:val="005120A2"/>
    <w:rsid w:val="0051210D"/>
    <w:rsid w:val="005136D2"/>
    <w:rsid w:val="00517A03"/>
    <w:rsid w:val="00534FE0"/>
    <w:rsid w:val="005A3DD9"/>
    <w:rsid w:val="005B1DFC"/>
    <w:rsid w:val="00601682"/>
    <w:rsid w:val="00603470"/>
    <w:rsid w:val="00613D44"/>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E36F3"/>
    <w:rsid w:val="00810105"/>
    <w:rsid w:val="008157E0"/>
    <w:rsid w:val="00850477"/>
    <w:rsid w:val="00854E1D"/>
    <w:rsid w:val="00887FA6"/>
    <w:rsid w:val="008C4397"/>
    <w:rsid w:val="008C465A"/>
    <w:rsid w:val="008F2C9B"/>
    <w:rsid w:val="00923CD6"/>
    <w:rsid w:val="00935AA8"/>
    <w:rsid w:val="009713FE"/>
    <w:rsid w:val="00971C9A"/>
    <w:rsid w:val="009D51FA"/>
    <w:rsid w:val="009F1E23"/>
    <w:rsid w:val="00A15179"/>
    <w:rsid w:val="00A21F9E"/>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44A78"/>
    <w:rsid w:val="00E62CEA"/>
    <w:rsid w:val="00E72AE1"/>
    <w:rsid w:val="00ED6A7A"/>
    <w:rsid w:val="00EE4C36"/>
    <w:rsid w:val="00EF6A23"/>
    <w:rsid w:val="00F03920"/>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E2333"/>
  <w15:docId w15:val="{26253D77-2BD4-4CAC-8ED2-8B113092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434F0B"/>
    <w:rPr>
      <w:color w:val="605E5C"/>
      <w:shd w:val="clear" w:color="auto" w:fill="E1DFDD"/>
    </w:rPr>
  </w:style>
  <w:style w:type="character" w:styleId="FollowedHyperlink">
    <w:name w:val="FollowedHyperlink"/>
    <w:basedOn w:val="DefaultParagraphFont"/>
    <w:semiHidden/>
    <w:unhideWhenUsed/>
    <w:rsid w:val="00434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com11/casc/Documents/TL-RP_pub_2022-07-15.pdf" TargetMode="External"/><Relationship Id="rId18" Type="http://schemas.openxmlformats.org/officeDocument/2006/relationships/hyperlink" Target="https://itu.int/go/tld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net4/travel/index-fr.aspx" TargetMode="External"/><Relationship Id="rId7" Type="http://schemas.openxmlformats.org/officeDocument/2006/relationships/endnotes" Target="endnotes.xml"/><Relationship Id="rId12" Type="http://schemas.openxmlformats.org/officeDocument/2006/relationships/hyperlink" Target="https://www.itu.int/pub/T-RES-T.76-2022/fr" TargetMode="External"/><Relationship Id="rId17" Type="http://schemas.openxmlformats.org/officeDocument/2006/relationships/hyperlink" Target="https://www.itu.int/en/ITU-T/studygroups/com11/casc/Documents/TL-RP_pub_2022-07-15.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T17-TSB-CIR-0368/fr" TargetMode="External"/><Relationship Id="rId20" Type="http://schemas.openxmlformats.org/officeDocument/2006/relationships/hyperlink" Target="https://www.itu.int/ITU-T/edh/faqs-suppor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22-2024/11/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T/extcoop/Documents/mou/MoU-ITU-T-IAF-ILAC-20220824.pdf" TargetMode="External"/><Relationship Id="rId23" Type="http://schemas.openxmlformats.org/officeDocument/2006/relationships/image" Target="media/image2.PNG"/><Relationship Id="rId10" Type="http://schemas.openxmlformats.org/officeDocument/2006/relationships/hyperlink" Target="https://www.itu.int/fr/Pages/default.aspx" TargetMode="External"/><Relationship Id="rId19" Type="http://schemas.openxmlformats.org/officeDocument/2006/relationships/hyperlink" Target="https://itu.int/go/TT-TLRP"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lac.org/" TargetMode="External"/><Relationship Id="rId22" Type="http://schemas.openxmlformats.org/officeDocument/2006/relationships/hyperlink" Target="mailto:travel@itu.i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24</TotalTime>
  <Pages>2</Pages>
  <Words>887</Words>
  <Characters>6019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6893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Froehly, Mathilde</dc:creator>
  <cp:lastModifiedBy>Braud, Olivia</cp:lastModifiedBy>
  <cp:revision>6</cp:revision>
  <cp:lastPrinted>2023-07-14T09:40:00Z</cp:lastPrinted>
  <dcterms:created xsi:type="dcterms:W3CDTF">2023-07-13T15:57:00Z</dcterms:created>
  <dcterms:modified xsi:type="dcterms:W3CDTF">2023-07-14T09:40:00Z</dcterms:modified>
</cp:coreProperties>
</file>