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82"/>
        <w:gridCol w:w="4371"/>
      </w:tblGrid>
      <w:tr w:rsidR="00DD68CA" w:rsidRPr="000E2E76" w14:paraId="37FDABAF" w14:textId="77777777" w:rsidTr="00DD68CA">
        <w:trPr>
          <w:cantSplit/>
        </w:trPr>
        <w:tc>
          <w:tcPr>
            <w:tcW w:w="1560" w:type="dxa"/>
          </w:tcPr>
          <w:p w14:paraId="7902BB0B" w14:textId="77777777" w:rsidR="00DD68CA" w:rsidRPr="00E03468" w:rsidRDefault="00DD68CA" w:rsidP="00867192">
            <w:pPr>
              <w:spacing w:before="0"/>
              <w:rPr>
                <w:b/>
                <w:bCs/>
                <w:lang w:val="ru-RU"/>
              </w:rPr>
            </w:pPr>
            <w:r w:rsidRPr="00E03468">
              <w:rPr>
                <w:noProof/>
                <w:lang w:val="ru-RU" w:eastAsia="zh-CN"/>
              </w:rPr>
              <w:drawing>
                <wp:inline distT="0" distB="0" distL="0" distR="0" wp14:anchorId="3832571B" wp14:editId="7E44660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78CE7ECB" w14:textId="77777777" w:rsidR="00DD68CA" w:rsidRPr="00E03468" w:rsidRDefault="00DD68CA" w:rsidP="00DD68C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0346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4E31DDF" w14:textId="77777777" w:rsidR="00DD68CA" w:rsidRPr="00E03468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0346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DD68CA" w:rsidRPr="00E35B50" w14:paraId="3E1C736A" w14:textId="77777777" w:rsidTr="00A815B6">
        <w:trPr>
          <w:cantSplit/>
        </w:trPr>
        <w:tc>
          <w:tcPr>
            <w:tcW w:w="1560" w:type="dxa"/>
          </w:tcPr>
          <w:p w14:paraId="19B030D8" w14:textId="77777777" w:rsidR="00DD68CA" w:rsidRPr="00E35B50" w:rsidRDefault="00DD68CA" w:rsidP="00867192">
            <w:pPr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982" w:type="dxa"/>
          </w:tcPr>
          <w:p w14:paraId="174E80E6" w14:textId="77777777" w:rsidR="00DD68CA" w:rsidRPr="00E35B50" w:rsidRDefault="00DD68CA" w:rsidP="00867192">
            <w:pPr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4371" w:type="dxa"/>
          </w:tcPr>
          <w:p w14:paraId="39B3B466" w14:textId="2ECC83C3" w:rsidR="00DD68CA" w:rsidRPr="00E35B50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4"/>
              <w:rPr>
                <w:szCs w:val="22"/>
                <w:lang w:val="ru-RU"/>
              </w:rPr>
            </w:pPr>
            <w:r w:rsidRPr="00E35B50">
              <w:rPr>
                <w:szCs w:val="22"/>
                <w:lang w:val="ru-RU"/>
              </w:rPr>
              <w:t xml:space="preserve">Женева, </w:t>
            </w:r>
            <w:r w:rsidR="00C25B83" w:rsidRPr="00E35B50">
              <w:rPr>
                <w:szCs w:val="22"/>
                <w:lang w:val="ru-RU"/>
              </w:rPr>
              <w:t>18 июля 2023 года</w:t>
            </w:r>
          </w:p>
        </w:tc>
      </w:tr>
      <w:tr w:rsidR="00A815B6" w:rsidRPr="000E2E76" w14:paraId="07672AC7" w14:textId="77777777" w:rsidTr="00A815B6">
        <w:trPr>
          <w:cantSplit/>
        </w:trPr>
        <w:tc>
          <w:tcPr>
            <w:tcW w:w="1560" w:type="dxa"/>
          </w:tcPr>
          <w:p w14:paraId="6484727C" w14:textId="77777777" w:rsidR="00A815B6" w:rsidRPr="00E35B50" w:rsidRDefault="00A815B6" w:rsidP="00C25B83">
            <w:pPr>
              <w:spacing w:before="0"/>
              <w:jc w:val="left"/>
              <w:rPr>
                <w:szCs w:val="22"/>
                <w:lang w:val="ru-RU"/>
              </w:rPr>
            </w:pPr>
            <w:r w:rsidRPr="00E35B50">
              <w:rPr>
                <w:b/>
                <w:bCs/>
                <w:szCs w:val="22"/>
                <w:lang w:val="ru-RU"/>
              </w:rPr>
              <w:t>Осн</w:t>
            </w:r>
            <w:r w:rsidRPr="00E35B50">
              <w:rPr>
                <w:szCs w:val="22"/>
                <w:lang w:val="ru-RU"/>
              </w:rPr>
              <w:t>.:</w:t>
            </w:r>
          </w:p>
        </w:tc>
        <w:tc>
          <w:tcPr>
            <w:tcW w:w="3982" w:type="dxa"/>
          </w:tcPr>
          <w:p w14:paraId="675C515A" w14:textId="30CCF00C" w:rsidR="00A815B6" w:rsidRPr="00E35B50" w:rsidRDefault="00C25B83" w:rsidP="00460150">
            <w:pPr>
              <w:spacing w:before="0"/>
              <w:jc w:val="left"/>
              <w:rPr>
                <w:szCs w:val="22"/>
                <w:lang w:val="ru-RU"/>
              </w:rPr>
            </w:pPr>
            <w:r w:rsidRPr="00E35B50">
              <w:rPr>
                <w:b/>
                <w:bCs/>
                <w:szCs w:val="22"/>
                <w:lang w:val="ru-RU"/>
              </w:rPr>
              <w:t>Циркуляр 115 БСЭ</w:t>
            </w:r>
            <w:r w:rsidR="00A815B6" w:rsidRPr="00E35B50">
              <w:rPr>
                <w:b/>
                <w:bCs/>
                <w:szCs w:val="22"/>
                <w:lang w:val="ru-RU"/>
              </w:rPr>
              <w:br/>
            </w:r>
            <w:r w:rsidRPr="00E35B50">
              <w:rPr>
                <w:szCs w:val="22"/>
                <w:lang w:val="ru-RU"/>
              </w:rPr>
              <w:t>Events/GM</w:t>
            </w:r>
          </w:p>
        </w:tc>
        <w:tc>
          <w:tcPr>
            <w:tcW w:w="4371" w:type="dxa"/>
            <w:vMerge w:val="restart"/>
          </w:tcPr>
          <w:p w14:paraId="5A479669" w14:textId="5CE6EB34" w:rsidR="00C25B83" w:rsidRPr="00E35B50" w:rsidRDefault="00C25B83" w:rsidP="00C25B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35B50">
              <w:rPr>
                <w:b/>
                <w:bCs/>
                <w:szCs w:val="22"/>
                <w:lang w:val="ru-RU"/>
              </w:rPr>
              <w:t>Кому</w:t>
            </w:r>
            <w:r w:rsidRPr="00E35B50">
              <w:rPr>
                <w:szCs w:val="22"/>
                <w:lang w:val="ru-RU"/>
              </w:rPr>
              <w:t>:</w:t>
            </w:r>
          </w:p>
          <w:p w14:paraId="5BA9D6B7" w14:textId="68657838" w:rsidR="00A815B6" w:rsidRPr="00E35B50" w:rsidRDefault="00C25B83" w:rsidP="00C25B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35B50">
              <w:rPr>
                <w:szCs w:val="22"/>
                <w:lang w:val="ru-RU"/>
              </w:rPr>
              <w:t>–</w:t>
            </w:r>
            <w:r w:rsidRPr="00E35B50">
              <w:rPr>
                <w:szCs w:val="22"/>
                <w:lang w:val="ru-RU"/>
              </w:rPr>
              <w:tab/>
            </w:r>
            <w:r w:rsidR="00A815B6" w:rsidRPr="00E35B50">
              <w:rPr>
                <w:szCs w:val="22"/>
                <w:lang w:val="ru-RU"/>
              </w:rPr>
              <w:t>Администрациям Государств – Членов Союза</w:t>
            </w:r>
          </w:p>
          <w:p w14:paraId="1D9F0F56" w14:textId="77777777" w:rsidR="00A815B6" w:rsidRPr="00E35B50" w:rsidRDefault="00A815B6" w:rsidP="00C25B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35B50">
              <w:rPr>
                <w:szCs w:val="22"/>
                <w:lang w:val="ru-RU"/>
              </w:rPr>
              <w:t>–</w:t>
            </w:r>
            <w:r w:rsidRPr="00E35B50">
              <w:rPr>
                <w:szCs w:val="22"/>
                <w:lang w:val="ru-RU"/>
              </w:rPr>
              <w:tab/>
              <w:t>Членам Сектора МСЭ-Т</w:t>
            </w:r>
          </w:p>
          <w:p w14:paraId="7A1C1C72" w14:textId="77777777" w:rsidR="00A815B6" w:rsidRPr="00E35B50" w:rsidRDefault="00A815B6" w:rsidP="00C25B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35B50">
              <w:rPr>
                <w:szCs w:val="22"/>
                <w:lang w:val="ru-RU"/>
              </w:rPr>
              <w:t>–</w:t>
            </w:r>
            <w:r w:rsidRPr="00E35B50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237C4930" w14:textId="77777777" w:rsidR="00A815B6" w:rsidRPr="00E35B50" w:rsidRDefault="00A815B6" w:rsidP="00C25B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35B50">
              <w:rPr>
                <w:szCs w:val="22"/>
                <w:lang w:val="ru-RU"/>
              </w:rPr>
              <w:t>–</w:t>
            </w:r>
            <w:r w:rsidRPr="00E35B50">
              <w:rPr>
                <w:szCs w:val="22"/>
                <w:lang w:val="ru-RU"/>
              </w:rPr>
              <w:tab/>
              <w:t>Академическим организациям − Членам МСЭ</w:t>
            </w:r>
            <w:r w:rsidRPr="00E35B50">
              <w:rPr>
                <w:szCs w:val="22"/>
                <w:lang w:val="ru-RU"/>
              </w:rPr>
              <w:noBreakHyphen/>
              <w:t>Т</w:t>
            </w:r>
          </w:p>
          <w:p w14:paraId="149496CF" w14:textId="236A4091" w:rsidR="00C25B83" w:rsidRPr="00E35B50" w:rsidRDefault="00C25B83" w:rsidP="00C25B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35B50">
              <w:rPr>
                <w:b/>
                <w:bCs/>
                <w:szCs w:val="22"/>
                <w:lang w:val="ru-RU"/>
              </w:rPr>
              <w:t>Копии</w:t>
            </w:r>
            <w:r w:rsidRPr="00E35B50">
              <w:rPr>
                <w:szCs w:val="22"/>
                <w:lang w:val="ru-RU"/>
              </w:rPr>
              <w:t>:</w:t>
            </w:r>
          </w:p>
          <w:p w14:paraId="72106F01" w14:textId="56940252" w:rsidR="00A815B6" w:rsidRPr="00E35B50" w:rsidRDefault="00A815B6" w:rsidP="00C25B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35B50">
              <w:rPr>
                <w:szCs w:val="22"/>
                <w:lang w:val="ru-RU"/>
              </w:rPr>
              <w:t>–</w:t>
            </w:r>
            <w:r w:rsidRPr="00E35B50">
              <w:rPr>
                <w:szCs w:val="22"/>
                <w:lang w:val="ru-RU"/>
              </w:rPr>
              <w:tab/>
              <w:t xml:space="preserve">Председателю и заместителям </w:t>
            </w:r>
            <w:r w:rsidR="00904120" w:rsidRPr="00E35B50">
              <w:rPr>
                <w:szCs w:val="22"/>
                <w:lang w:val="ru-RU"/>
              </w:rPr>
              <w:t xml:space="preserve">председателей исследовательских </w:t>
            </w:r>
            <w:r w:rsidRPr="00E35B50">
              <w:rPr>
                <w:szCs w:val="22"/>
                <w:lang w:val="ru-RU"/>
              </w:rPr>
              <w:t>комисси</w:t>
            </w:r>
            <w:r w:rsidR="00EF1CDA" w:rsidRPr="00E35B50">
              <w:rPr>
                <w:szCs w:val="22"/>
                <w:lang w:val="ru-RU"/>
              </w:rPr>
              <w:t>й</w:t>
            </w:r>
            <w:r w:rsidR="00A7045E" w:rsidRPr="00E35B50">
              <w:rPr>
                <w:szCs w:val="22"/>
                <w:lang w:val="ru-RU"/>
              </w:rPr>
              <w:t xml:space="preserve"> МСЭ-Т</w:t>
            </w:r>
          </w:p>
          <w:p w14:paraId="7B7F7EE2" w14:textId="77777777" w:rsidR="00A815B6" w:rsidRPr="00E35B50" w:rsidRDefault="00A815B6" w:rsidP="00C25B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35B50">
              <w:rPr>
                <w:szCs w:val="22"/>
                <w:lang w:val="ru-RU"/>
              </w:rPr>
              <w:t>–</w:t>
            </w:r>
            <w:r w:rsidRPr="00E35B50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5339850" w14:textId="77777777" w:rsidR="00A815B6" w:rsidRPr="00E35B50" w:rsidRDefault="00A815B6" w:rsidP="00C25B83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35B50">
              <w:rPr>
                <w:szCs w:val="22"/>
                <w:lang w:val="ru-RU"/>
              </w:rPr>
              <w:t>–</w:t>
            </w:r>
            <w:r w:rsidRPr="00E35B50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C25B83" w:rsidRPr="00E35B50" w14:paraId="1083D7DF" w14:textId="77777777" w:rsidTr="00A815B6">
        <w:trPr>
          <w:cantSplit/>
        </w:trPr>
        <w:tc>
          <w:tcPr>
            <w:tcW w:w="1560" w:type="dxa"/>
          </w:tcPr>
          <w:p w14:paraId="2E622CF8" w14:textId="535E3EC7" w:rsidR="00C25B83" w:rsidRPr="00E35B50" w:rsidRDefault="00C25B83" w:rsidP="00C25B83">
            <w:pPr>
              <w:spacing w:before="0"/>
              <w:jc w:val="left"/>
              <w:rPr>
                <w:szCs w:val="22"/>
                <w:lang w:val="ru-RU"/>
              </w:rPr>
            </w:pPr>
            <w:r w:rsidRPr="00E35B50">
              <w:rPr>
                <w:b/>
                <w:bCs/>
                <w:szCs w:val="22"/>
                <w:lang w:val="ru-RU"/>
              </w:rPr>
              <w:t>Для контактов</w:t>
            </w:r>
            <w:r w:rsidRPr="00E35B50">
              <w:rPr>
                <w:szCs w:val="22"/>
                <w:lang w:val="ru-RU"/>
              </w:rPr>
              <w:t>:</w:t>
            </w:r>
          </w:p>
        </w:tc>
        <w:tc>
          <w:tcPr>
            <w:tcW w:w="3982" w:type="dxa"/>
          </w:tcPr>
          <w:p w14:paraId="0763DF7E" w14:textId="5849BC87" w:rsidR="00C25B83" w:rsidRPr="00E35B50" w:rsidRDefault="00C25B83" w:rsidP="00C25B83">
            <w:pPr>
              <w:spacing w:before="0"/>
              <w:jc w:val="left"/>
              <w:rPr>
                <w:szCs w:val="22"/>
                <w:lang w:val="ru-RU"/>
              </w:rPr>
            </w:pPr>
            <w:r w:rsidRPr="00E35B50">
              <w:rPr>
                <w:b/>
                <w:bCs/>
                <w:szCs w:val="22"/>
                <w:lang w:val="ru-RU"/>
              </w:rPr>
              <w:t>Виджей Мори (Vijay Mauree)</w:t>
            </w:r>
          </w:p>
        </w:tc>
        <w:tc>
          <w:tcPr>
            <w:tcW w:w="4371" w:type="dxa"/>
            <w:vMerge/>
          </w:tcPr>
          <w:p w14:paraId="1D819D7F" w14:textId="77777777" w:rsidR="00C25B83" w:rsidRPr="00E35B50" w:rsidRDefault="00C25B83" w:rsidP="00C25B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A815B6" w:rsidRPr="00E35B50" w14:paraId="3C8F5F8E" w14:textId="77777777" w:rsidTr="00A815B6">
        <w:trPr>
          <w:cantSplit/>
        </w:trPr>
        <w:tc>
          <w:tcPr>
            <w:tcW w:w="1560" w:type="dxa"/>
          </w:tcPr>
          <w:p w14:paraId="1BE0D57C" w14:textId="77777777" w:rsidR="00A815B6" w:rsidRPr="00E35B50" w:rsidRDefault="00A815B6" w:rsidP="00C25B83">
            <w:pPr>
              <w:spacing w:before="0"/>
              <w:jc w:val="left"/>
              <w:rPr>
                <w:szCs w:val="22"/>
                <w:lang w:val="ru-RU"/>
              </w:rPr>
            </w:pPr>
            <w:r w:rsidRPr="00E35B50">
              <w:rPr>
                <w:b/>
                <w:bCs/>
                <w:szCs w:val="22"/>
                <w:lang w:val="ru-RU"/>
              </w:rPr>
              <w:t>Тел</w:t>
            </w:r>
            <w:r w:rsidRPr="00E35B50">
              <w:rPr>
                <w:szCs w:val="22"/>
                <w:lang w:val="ru-RU"/>
              </w:rPr>
              <w:t>.:</w:t>
            </w:r>
          </w:p>
        </w:tc>
        <w:tc>
          <w:tcPr>
            <w:tcW w:w="3982" w:type="dxa"/>
          </w:tcPr>
          <w:p w14:paraId="1B6AAA93" w14:textId="352C8299" w:rsidR="00A815B6" w:rsidRPr="00E35B50" w:rsidRDefault="00C25B83" w:rsidP="00C25B83">
            <w:pPr>
              <w:spacing w:before="0"/>
              <w:jc w:val="left"/>
              <w:rPr>
                <w:szCs w:val="22"/>
                <w:lang w:val="ru-RU"/>
              </w:rPr>
            </w:pPr>
            <w:r w:rsidRPr="00E35B50">
              <w:rPr>
                <w:rFonts w:cstheme="minorHAnsi"/>
                <w:bCs/>
                <w:szCs w:val="22"/>
                <w:lang w:val="ru-RU"/>
              </w:rPr>
              <w:t>+41 22 730 5591</w:t>
            </w:r>
          </w:p>
        </w:tc>
        <w:tc>
          <w:tcPr>
            <w:tcW w:w="4371" w:type="dxa"/>
            <w:vMerge/>
          </w:tcPr>
          <w:p w14:paraId="661E898A" w14:textId="77777777" w:rsidR="00A815B6" w:rsidRPr="00E35B50" w:rsidRDefault="00A815B6" w:rsidP="00C25B83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</w:p>
        </w:tc>
      </w:tr>
      <w:tr w:rsidR="00A815B6" w:rsidRPr="00E35B50" w14:paraId="18BAF87F" w14:textId="77777777" w:rsidTr="00A815B6">
        <w:trPr>
          <w:cantSplit/>
        </w:trPr>
        <w:tc>
          <w:tcPr>
            <w:tcW w:w="1560" w:type="dxa"/>
          </w:tcPr>
          <w:p w14:paraId="63519E0E" w14:textId="77777777" w:rsidR="00A815B6" w:rsidRPr="00E35B50" w:rsidRDefault="00A815B6" w:rsidP="00C25B83">
            <w:pPr>
              <w:spacing w:before="0"/>
              <w:jc w:val="left"/>
              <w:rPr>
                <w:szCs w:val="22"/>
                <w:lang w:val="ru-RU"/>
              </w:rPr>
            </w:pPr>
            <w:r w:rsidRPr="00E35B50">
              <w:rPr>
                <w:b/>
                <w:bCs/>
                <w:szCs w:val="22"/>
                <w:lang w:val="ru-RU"/>
              </w:rPr>
              <w:t>Факс</w:t>
            </w:r>
            <w:r w:rsidRPr="00E35B50">
              <w:rPr>
                <w:szCs w:val="22"/>
                <w:lang w:val="ru-RU"/>
              </w:rPr>
              <w:t>:</w:t>
            </w:r>
          </w:p>
        </w:tc>
        <w:tc>
          <w:tcPr>
            <w:tcW w:w="3982" w:type="dxa"/>
          </w:tcPr>
          <w:p w14:paraId="4D296643" w14:textId="4CF51CEE" w:rsidR="00A815B6" w:rsidRPr="00E35B50" w:rsidRDefault="00C25B83" w:rsidP="00C25B83">
            <w:pPr>
              <w:spacing w:before="0"/>
              <w:jc w:val="left"/>
              <w:rPr>
                <w:szCs w:val="22"/>
                <w:lang w:val="ru-RU"/>
              </w:rPr>
            </w:pPr>
            <w:r w:rsidRPr="00E35B50">
              <w:rPr>
                <w:rFonts w:cstheme="minorHAnsi"/>
                <w:bCs/>
                <w:szCs w:val="22"/>
                <w:lang w:val="ru-RU"/>
              </w:rPr>
              <w:t>+41 22 730 5853</w:t>
            </w:r>
          </w:p>
        </w:tc>
        <w:tc>
          <w:tcPr>
            <w:tcW w:w="4371" w:type="dxa"/>
            <w:vMerge/>
          </w:tcPr>
          <w:p w14:paraId="4844F6C0" w14:textId="77777777" w:rsidR="00A815B6" w:rsidRPr="00E35B50" w:rsidRDefault="00A815B6" w:rsidP="00C25B83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</w:p>
        </w:tc>
      </w:tr>
      <w:tr w:rsidR="00A815B6" w:rsidRPr="000E2E76" w14:paraId="70ABE2E1" w14:textId="77777777" w:rsidTr="00A815B6">
        <w:trPr>
          <w:cantSplit/>
        </w:trPr>
        <w:tc>
          <w:tcPr>
            <w:tcW w:w="1560" w:type="dxa"/>
          </w:tcPr>
          <w:p w14:paraId="57DBE452" w14:textId="77777777" w:rsidR="00A815B6" w:rsidRPr="00E35B50" w:rsidRDefault="00A815B6" w:rsidP="00C25B83">
            <w:pPr>
              <w:spacing w:before="0"/>
              <w:jc w:val="left"/>
              <w:rPr>
                <w:szCs w:val="22"/>
                <w:lang w:val="ru-RU"/>
              </w:rPr>
            </w:pPr>
            <w:r w:rsidRPr="00E35B50">
              <w:rPr>
                <w:b/>
                <w:bCs/>
                <w:szCs w:val="22"/>
                <w:lang w:val="ru-RU"/>
              </w:rPr>
              <w:t>Эл. почта</w:t>
            </w:r>
            <w:r w:rsidRPr="00E35B50">
              <w:rPr>
                <w:szCs w:val="22"/>
                <w:lang w:val="ru-RU"/>
              </w:rPr>
              <w:t>:</w:t>
            </w:r>
          </w:p>
        </w:tc>
        <w:tc>
          <w:tcPr>
            <w:tcW w:w="3982" w:type="dxa"/>
          </w:tcPr>
          <w:p w14:paraId="253F5A7F" w14:textId="77777777" w:rsidR="00C25B83" w:rsidRPr="00E35B50" w:rsidRDefault="008C351D" w:rsidP="00C25B83">
            <w:pPr>
              <w:pStyle w:val="Tabletext0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hyperlink r:id="rId9" w:history="1">
              <w:r w:rsidR="00C25B83" w:rsidRPr="00E35B5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ru-RU"/>
                </w:rPr>
                <w:t>tsbevents@itu.int</w:t>
              </w:r>
            </w:hyperlink>
          </w:p>
          <w:p w14:paraId="29D302DE" w14:textId="0A7F904F" w:rsidR="00A815B6" w:rsidRPr="00E35B50" w:rsidRDefault="008C351D" w:rsidP="00C25B83">
            <w:pPr>
              <w:spacing w:before="0"/>
              <w:jc w:val="left"/>
              <w:rPr>
                <w:szCs w:val="22"/>
                <w:lang w:val="ru-RU"/>
              </w:rPr>
            </w:pPr>
            <w:hyperlink r:id="rId10" w:history="1">
              <w:r w:rsidR="00C25B83" w:rsidRPr="00E35B50">
                <w:rPr>
                  <w:rStyle w:val="Hyperlink"/>
                  <w:rFonts w:cstheme="minorHAnsi"/>
                  <w:szCs w:val="22"/>
                  <w:lang w:val="ru-RU"/>
                </w:rPr>
                <w:t>tsbfgcd@itu.int</w:t>
              </w:r>
            </w:hyperlink>
          </w:p>
        </w:tc>
        <w:tc>
          <w:tcPr>
            <w:tcW w:w="4371" w:type="dxa"/>
            <w:vMerge/>
          </w:tcPr>
          <w:p w14:paraId="1F21D9C3" w14:textId="77777777" w:rsidR="00A815B6" w:rsidRPr="00E35B50" w:rsidRDefault="00A815B6" w:rsidP="00C25B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1629DC" w:rsidRPr="000E2E76" w14:paraId="2651AD18" w14:textId="77777777" w:rsidTr="00A815B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17FA71EC" w14:textId="77777777" w:rsidR="001629DC" w:rsidRPr="00E35B50" w:rsidRDefault="001629DC" w:rsidP="00C25B83">
            <w:pPr>
              <w:spacing w:before="0"/>
              <w:jc w:val="left"/>
              <w:rPr>
                <w:b/>
                <w:bCs/>
                <w:szCs w:val="22"/>
                <w:lang w:val="ru-RU"/>
              </w:rPr>
            </w:pPr>
            <w:r w:rsidRPr="00E35B50">
              <w:rPr>
                <w:b/>
                <w:bCs/>
                <w:szCs w:val="22"/>
                <w:lang w:val="ru-RU"/>
              </w:rPr>
              <w:t>Предмет</w:t>
            </w:r>
            <w:r w:rsidRPr="00E35B50">
              <w:rPr>
                <w:szCs w:val="22"/>
                <w:lang w:val="ru-RU"/>
              </w:rPr>
              <w:t>:</w:t>
            </w:r>
          </w:p>
        </w:tc>
        <w:tc>
          <w:tcPr>
            <w:tcW w:w="8353" w:type="dxa"/>
            <w:gridSpan w:val="2"/>
          </w:tcPr>
          <w:p w14:paraId="7DF11F7B" w14:textId="296B6A43" w:rsidR="001629DC" w:rsidRPr="00E35B50" w:rsidRDefault="00C25B83" w:rsidP="00C25B83">
            <w:pPr>
              <w:spacing w:before="0"/>
              <w:jc w:val="left"/>
              <w:rPr>
                <w:b/>
                <w:bCs/>
                <w:szCs w:val="22"/>
                <w:lang w:val="ru-RU"/>
              </w:rPr>
            </w:pPr>
            <w:r w:rsidRPr="00E35B50">
              <w:rPr>
                <w:b/>
                <w:bCs/>
                <w:szCs w:val="22"/>
                <w:lang w:val="ru-RU"/>
              </w:rPr>
              <w:t xml:space="preserve">Создание новой Оперативной группы МСЭ-T по моделям определения затрат для приемлемых в ценовом отношении услуг передачи данных (ОГ-CD), ее первое собрание и связанный с ним семинар-практикум </w:t>
            </w:r>
            <w:r w:rsidR="00904120" w:rsidRPr="00E35B50">
              <w:rPr>
                <w:b/>
                <w:bCs/>
                <w:szCs w:val="22"/>
                <w:lang w:val="ru-RU"/>
              </w:rPr>
              <w:br/>
            </w:r>
            <w:r w:rsidRPr="00E35B50">
              <w:rPr>
                <w:b/>
                <w:bCs/>
                <w:szCs w:val="22"/>
                <w:lang w:val="ru-RU"/>
              </w:rPr>
              <w:t>(Нью-Дели, Индия, 4−6 октября 2023 г.)</w:t>
            </w:r>
          </w:p>
        </w:tc>
      </w:tr>
    </w:tbl>
    <w:p w14:paraId="266A2B7E" w14:textId="77777777" w:rsidR="001629DC" w:rsidRPr="00E35B50" w:rsidRDefault="001629DC" w:rsidP="00C25B83">
      <w:pPr>
        <w:pStyle w:val="Normalaftertitle"/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Уважаемая госпожа,</w:t>
      </w:r>
      <w:r w:rsidRPr="00E35B50">
        <w:rPr>
          <w:szCs w:val="22"/>
          <w:lang w:val="ru-RU"/>
        </w:rPr>
        <w:br/>
        <w:t>уважаемый господин,</w:t>
      </w:r>
    </w:p>
    <w:p w14:paraId="748596CB" w14:textId="5928C6C9" w:rsidR="00C25B83" w:rsidRPr="00E35B50" w:rsidRDefault="00C25B83" w:rsidP="00C25B83">
      <w:pPr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1</w:t>
      </w:r>
      <w:r w:rsidRPr="00E35B50">
        <w:rPr>
          <w:szCs w:val="22"/>
          <w:lang w:val="ru-RU"/>
        </w:rPr>
        <w:tab/>
        <w:t xml:space="preserve">В соответствии с соглашением, достигнутым на собрании 3-й Исследовательской комиссии МСЭ-Т, проходившем в Женеве 1–10 марта 2023 года, имею честь объявить о создании новой </w:t>
      </w:r>
      <w:hyperlink r:id="rId11" w:history="1">
        <w:r w:rsidRPr="00E35B50">
          <w:rPr>
            <w:rStyle w:val="Hyperlink"/>
            <w:szCs w:val="22"/>
            <w:lang w:val="ru-RU"/>
          </w:rPr>
          <w:t>Оперативной группы МСЭ-Т по моделям определения затрат для приемлемых в ценовом отношении услуг передачи данных (ОГ-CD)</w:t>
        </w:r>
      </w:hyperlink>
      <w:r w:rsidRPr="00E35B50">
        <w:rPr>
          <w:szCs w:val="22"/>
          <w:lang w:val="ru-RU"/>
        </w:rPr>
        <w:t>.</w:t>
      </w:r>
    </w:p>
    <w:p w14:paraId="43F6EFDE" w14:textId="5383AE83" w:rsidR="00C25B83" w:rsidRPr="00E35B50" w:rsidRDefault="00C25B83" w:rsidP="00C25B83">
      <w:pPr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2</w:t>
      </w:r>
      <w:r w:rsidRPr="00E35B50">
        <w:rPr>
          <w:szCs w:val="22"/>
          <w:lang w:val="ru-RU"/>
        </w:rPr>
        <w:tab/>
        <w:t>Председателем ОГ-CD назначен г-н Шайлендра Кумар Мишра (Министерство связи Индии), которому будет помогать заместитель Председателя г-жа Хильда Муцейеква (Регуляторный орган почты и электросвязи Зимбабве (POTRAZ)). Общий мандат Оперативной группы включает проведение анализа цепочки поставок в области электросвязи/ИКТ, различных моделей определения затрат и стратегий ценообразования, используемых для услуг передачи данных в сетях подвижной связи и интернета, а также исследование политических, экономических, нормативных аспектов и аспектов стандартизации, связанных с моделями определения затрат для приемлемых в ценовом отношении услуг передачи данных, в том числе передового опыта использования методик и экономических моделей определения затрат.</w:t>
      </w:r>
    </w:p>
    <w:p w14:paraId="735CF6E1" w14:textId="03D2A4C8" w:rsidR="00C25B83" w:rsidRPr="00E35B50" w:rsidRDefault="00C25B83" w:rsidP="00C25B83">
      <w:pPr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3</w:t>
      </w:r>
      <w:r w:rsidRPr="00E35B50">
        <w:rPr>
          <w:szCs w:val="22"/>
          <w:lang w:val="ru-RU"/>
        </w:rPr>
        <w:tab/>
        <w:t xml:space="preserve">Участие в работе ОГ-CD является бесплатным и открыто для отдельных экспертов и организаций из всех секторов и соответствующих областей знаний. Всем лицам, которые хотели бы следить за этой работой или участвовать в ней, предлагается зарегистрироваться в специальном списке рассылки; подробная информация о порядке подписки размещена по адресу: </w:t>
      </w:r>
      <w:hyperlink r:id="rId12" w:history="1">
        <w:r w:rsidRPr="00E35B50">
          <w:rPr>
            <w:rStyle w:val="Hyperlink"/>
            <w:rFonts w:cstheme="minorHAnsi"/>
            <w:szCs w:val="22"/>
            <w:lang w:val="ru-RU"/>
          </w:rPr>
          <w:t>https://www.itu.int/en/ITU-T/focusgroups/cd/Pages/mailing-lists.aspx</w:t>
        </w:r>
      </w:hyperlink>
      <w:r w:rsidRPr="00E35B50">
        <w:rPr>
          <w:szCs w:val="22"/>
          <w:lang w:val="ru-RU"/>
        </w:rPr>
        <w:t>.</w:t>
      </w:r>
    </w:p>
    <w:p w14:paraId="507810C5" w14:textId="1A69C230" w:rsidR="00C25B83" w:rsidRPr="00E35B50" w:rsidRDefault="00C25B83" w:rsidP="00C25B83">
      <w:pPr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4</w:t>
      </w:r>
      <w:r w:rsidRPr="00E35B50">
        <w:rPr>
          <w:szCs w:val="22"/>
          <w:lang w:val="ru-RU"/>
        </w:rPr>
        <w:tab/>
        <w:t xml:space="preserve">Группа будет работать в соответствии с процедурами, изложенными в </w:t>
      </w:r>
      <w:hyperlink r:id="rId13" w:history="1">
        <w:r w:rsidRPr="00E35B50">
          <w:rPr>
            <w:rStyle w:val="Hyperlink"/>
            <w:szCs w:val="22"/>
            <w:lang w:val="ru-RU"/>
          </w:rPr>
          <w:t>Рекомендации</w:t>
        </w:r>
        <w:r w:rsidR="00C70D96" w:rsidRPr="00E35B50">
          <w:rPr>
            <w:rStyle w:val="Hyperlink"/>
            <w:szCs w:val="22"/>
            <w:lang w:val="ru-RU"/>
          </w:rPr>
          <w:t> </w:t>
        </w:r>
        <w:r w:rsidRPr="00E35B50">
          <w:rPr>
            <w:rStyle w:val="Hyperlink"/>
            <w:szCs w:val="22"/>
            <w:lang w:val="ru-RU"/>
          </w:rPr>
          <w:t>МСЭ</w:t>
        </w:r>
        <w:r w:rsidR="00C70D96" w:rsidRPr="00E35B50">
          <w:rPr>
            <w:rStyle w:val="Hyperlink"/>
            <w:szCs w:val="22"/>
            <w:lang w:val="ru-RU"/>
          </w:rPr>
          <w:noBreakHyphen/>
        </w:r>
        <w:r w:rsidRPr="00E35B50">
          <w:rPr>
            <w:rStyle w:val="Hyperlink"/>
            <w:szCs w:val="22"/>
            <w:lang w:val="ru-RU"/>
          </w:rPr>
          <w:t>T</w:t>
        </w:r>
        <w:r w:rsidR="00C70D96" w:rsidRPr="00E35B50">
          <w:rPr>
            <w:rStyle w:val="Hyperlink"/>
            <w:szCs w:val="22"/>
            <w:lang w:val="ru-RU"/>
          </w:rPr>
          <w:t> </w:t>
        </w:r>
        <w:r w:rsidRPr="00E35B50">
          <w:rPr>
            <w:rStyle w:val="Hyperlink"/>
            <w:szCs w:val="22"/>
            <w:lang w:val="ru-RU"/>
          </w:rPr>
          <w:t>A.7</w:t>
        </w:r>
      </w:hyperlink>
      <w:r w:rsidRPr="00E35B50">
        <w:rPr>
          <w:szCs w:val="22"/>
          <w:lang w:val="ru-RU"/>
        </w:rPr>
        <w:t xml:space="preserve">, и согласованным кругом ведения, приведенным в </w:t>
      </w:r>
      <w:r w:rsidRPr="00E35B50">
        <w:rPr>
          <w:b/>
          <w:bCs/>
          <w:szCs w:val="22"/>
          <w:lang w:val="ru-RU"/>
        </w:rPr>
        <w:t>Приложении</w:t>
      </w:r>
      <w:r w:rsidR="00C70D96" w:rsidRPr="00E35B50">
        <w:rPr>
          <w:b/>
          <w:bCs/>
          <w:szCs w:val="22"/>
          <w:lang w:val="ru-RU"/>
        </w:rPr>
        <w:t> </w:t>
      </w:r>
      <w:r w:rsidRPr="00E35B50">
        <w:rPr>
          <w:b/>
          <w:bCs/>
          <w:szCs w:val="22"/>
          <w:lang w:val="ru-RU"/>
        </w:rPr>
        <w:t>1</w:t>
      </w:r>
      <w:r w:rsidRPr="00E35B50">
        <w:rPr>
          <w:szCs w:val="22"/>
          <w:lang w:val="ru-RU"/>
        </w:rPr>
        <w:t>. Установленная продолжительность работы Оперативной группы составляет один год после первого собрания с возможностью продления.</w:t>
      </w:r>
    </w:p>
    <w:p w14:paraId="2928394C" w14:textId="77777777" w:rsidR="00C25B83" w:rsidRPr="00E35B50" w:rsidRDefault="00C25B83" w:rsidP="00C25B83">
      <w:pPr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5</w:t>
      </w:r>
      <w:r w:rsidRPr="00E35B50">
        <w:rPr>
          <w:szCs w:val="22"/>
          <w:lang w:val="ru-RU"/>
        </w:rPr>
        <w:tab/>
        <w:t>Первое собрание ОГ-CD состоится в Нью-Дели 5 и 6 октября 2023 года по любезному приглашению Регуляторного органа электросвязи Индии (TRAI).</w:t>
      </w:r>
    </w:p>
    <w:p w14:paraId="072AE963" w14:textId="77777777" w:rsidR="00C25B83" w:rsidRPr="00E35B50" w:rsidRDefault="00C25B83" w:rsidP="00C25B83">
      <w:pPr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lastRenderedPageBreak/>
        <w:t>Задачи первого собрания включают:</w:t>
      </w:r>
    </w:p>
    <w:p w14:paraId="1448271A" w14:textId="6FA1BDD5" w:rsidR="00C25B83" w:rsidRPr="00E35B50" w:rsidRDefault="004F39A1" w:rsidP="004F39A1">
      <w:pPr>
        <w:pStyle w:val="enumlev1"/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•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завершение работы по определению структуры ОГ-CD и рабочих групп;</w:t>
      </w:r>
    </w:p>
    <w:p w14:paraId="2F10C366" w14:textId="7F740A65" w:rsidR="00C25B83" w:rsidRPr="00E35B50" w:rsidRDefault="004F39A1" w:rsidP="004F39A1">
      <w:pPr>
        <w:pStyle w:val="enumlev1"/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•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назначение заместителей Председателя ОГ-CD;</w:t>
      </w:r>
    </w:p>
    <w:p w14:paraId="3124E750" w14:textId="21BFC38C" w:rsidR="00C25B83" w:rsidRPr="00E35B50" w:rsidRDefault="004F39A1" w:rsidP="004F39A1">
      <w:pPr>
        <w:pStyle w:val="enumlev1"/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•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согласование сроков в отношении ожидаемых результатов работы, планируемых собраний и распределения обязанностей между созданными рабочими группами;</w:t>
      </w:r>
    </w:p>
    <w:p w14:paraId="6FCAB7EF" w14:textId="54BD9944" w:rsidR="00C25B83" w:rsidRPr="00E35B50" w:rsidRDefault="004F39A1" w:rsidP="004F39A1">
      <w:pPr>
        <w:pStyle w:val="enumlev1"/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•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согласование методов работы ОГ-CD на основе Рекомендации МСЭ-Т A.7;</w:t>
      </w:r>
    </w:p>
    <w:p w14:paraId="4EFF3DCA" w14:textId="08ADA384" w:rsidR="00C25B83" w:rsidRPr="00E35B50" w:rsidRDefault="004F39A1" w:rsidP="004F39A1">
      <w:pPr>
        <w:pStyle w:val="enumlev1"/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•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обсуждение и представление письменных вкладов.</w:t>
      </w:r>
    </w:p>
    <w:p w14:paraId="30F252DD" w14:textId="77777777" w:rsidR="00C25B83" w:rsidRPr="00E35B50" w:rsidRDefault="00C25B83" w:rsidP="00C25B83">
      <w:pPr>
        <w:pStyle w:val="enumlev1"/>
        <w:ind w:left="0" w:firstLine="0"/>
        <w:rPr>
          <w:rFonts w:asciiTheme="minorHAnsi" w:hAnsiTheme="minorHAnsi" w:cstheme="minorHAnsi"/>
          <w:szCs w:val="22"/>
          <w:lang w:val="ru-RU"/>
        </w:rPr>
      </w:pPr>
      <w:r w:rsidRPr="00E35B50">
        <w:rPr>
          <w:rFonts w:asciiTheme="minorHAnsi" w:hAnsiTheme="minorHAnsi"/>
          <w:szCs w:val="22"/>
          <w:lang w:val="ru-RU"/>
        </w:rPr>
        <w:t xml:space="preserve">Перед первым собранием 4 октября 2023 года в том же месте пройдет семинар-практикум "Модели затрат для услуг передачи данных и международных интернет-соединений". Более подробная информация о программе работы семинара-практикума размещена на веб-сайте мероприятия по адресу: </w:t>
      </w:r>
      <w:hyperlink r:id="rId14" w:history="1">
        <w:r w:rsidRPr="00E35B50">
          <w:rPr>
            <w:rStyle w:val="Hyperlink"/>
            <w:rFonts w:asciiTheme="minorHAnsi" w:hAnsiTheme="minorHAnsi" w:cstheme="minorHAnsi"/>
            <w:szCs w:val="22"/>
            <w:lang w:val="ru-RU"/>
          </w:rPr>
          <w:t>http://itu.int/go/WS_FGCD_01</w:t>
        </w:r>
      </w:hyperlink>
      <w:r w:rsidRPr="00E35B50">
        <w:rPr>
          <w:rFonts w:asciiTheme="minorHAnsi" w:hAnsiTheme="minorHAnsi"/>
          <w:szCs w:val="22"/>
          <w:lang w:val="ru-RU"/>
        </w:rPr>
        <w:t>.</w:t>
      </w:r>
    </w:p>
    <w:p w14:paraId="5B61B203" w14:textId="77777777" w:rsidR="00C25B83" w:rsidRPr="00E35B50" w:rsidRDefault="00C25B83" w:rsidP="00C25B83">
      <w:pPr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6</w:t>
      </w:r>
      <w:r w:rsidRPr="00E35B50">
        <w:rPr>
          <w:szCs w:val="22"/>
          <w:lang w:val="ru-RU"/>
        </w:rPr>
        <w:tab/>
        <w:t xml:space="preserve">Настоятельно рекомендуется представлять вклады в письменном виде, необходимые для успешной работы Оперативной группы и соответствующие кругу ведения, приведенному в </w:t>
      </w:r>
      <w:r w:rsidRPr="00E35B50">
        <w:rPr>
          <w:b/>
          <w:bCs/>
          <w:szCs w:val="22"/>
          <w:lang w:val="ru-RU"/>
        </w:rPr>
        <w:t>Приложении 1</w:t>
      </w:r>
      <w:r w:rsidRPr="00E35B50">
        <w:rPr>
          <w:szCs w:val="22"/>
          <w:lang w:val="ru-RU"/>
        </w:rPr>
        <w:t>, для решения определенных выше задач в целях содействия составлению первоначального плана подготовки результатов работы. Вклады в письменном виде следует представлять в секретариат БСЭ (</w:t>
      </w:r>
      <w:hyperlink r:id="rId15" w:history="1">
        <w:r w:rsidRPr="00E35B50">
          <w:rPr>
            <w:rStyle w:val="Hyperlink"/>
            <w:szCs w:val="22"/>
            <w:lang w:val="ru-RU"/>
          </w:rPr>
          <w:t>tsbfgmv@itu.int</w:t>
        </w:r>
      </w:hyperlink>
      <w:r w:rsidRPr="00E35B50">
        <w:rPr>
          <w:szCs w:val="22"/>
          <w:lang w:val="ru-RU"/>
        </w:rPr>
        <w:t xml:space="preserve">) в электронном формате, используя шаблоны документов, размещенные на </w:t>
      </w:r>
      <w:hyperlink r:id="rId16" w:history="1">
        <w:r w:rsidRPr="00E35B50">
          <w:rPr>
            <w:rStyle w:val="Hyperlink"/>
            <w:szCs w:val="22"/>
            <w:lang w:val="ru-RU"/>
          </w:rPr>
          <w:t>домашней странице ОГ-CD</w:t>
        </w:r>
      </w:hyperlink>
      <w:r w:rsidRPr="00E35B50">
        <w:rPr>
          <w:szCs w:val="22"/>
          <w:lang w:val="ru-RU"/>
        </w:rPr>
        <w:t xml:space="preserve">. </w:t>
      </w:r>
      <w:r w:rsidRPr="00E35B50">
        <w:rPr>
          <w:b/>
          <w:bCs/>
          <w:szCs w:val="22"/>
          <w:lang w:val="ru-RU"/>
        </w:rPr>
        <w:t>Предельный срок представления вкладов для первого собрания – 22 сентября 2023 года</w:t>
      </w:r>
      <w:r w:rsidRPr="00E35B50">
        <w:rPr>
          <w:szCs w:val="22"/>
          <w:lang w:val="ru-RU"/>
        </w:rPr>
        <w:t>.</w:t>
      </w:r>
    </w:p>
    <w:p w14:paraId="4DF7131A" w14:textId="77777777" w:rsidR="00C25B83" w:rsidRPr="00E35B50" w:rsidRDefault="00C25B83" w:rsidP="00C25B83">
      <w:pPr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7</w:t>
      </w:r>
      <w:r w:rsidRPr="00E35B50">
        <w:rPr>
          <w:szCs w:val="22"/>
          <w:lang w:val="ru-RU"/>
        </w:rPr>
        <w:tab/>
        <w:t xml:space="preserve">Повестка дня собрания, документы и иная полезная информация будут доступны на </w:t>
      </w:r>
      <w:hyperlink r:id="rId17" w:history="1">
        <w:r w:rsidRPr="00E35B50">
          <w:rPr>
            <w:rStyle w:val="Hyperlink"/>
            <w:szCs w:val="22"/>
            <w:lang w:val="ru-RU"/>
          </w:rPr>
          <w:t>домашней странице ОГ-CD</w:t>
        </w:r>
      </w:hyperlink>
      <w:r w:rsidRPr="00E35B50">
        <w:rPr>
          <w:szCs w:val="22"/>
          <w:lang w:val="ru-RU"/>
        </w:rPr>
        <w:t xml:space="preserve"> до начала собрания. Обсуждения будут проходить только на английском языке. Информация о порядке дистанционного участия будет доступна на веб-странице Оперативной группы (</w:t>
      </w:r>
      <w:hyperlink r:id="rId18" w:history="1">
        <w:r w:rsidRPr="00E35B50">
          <w:rPr>
            <w:rStyle w:val="Hyperlink"/>
            <w:rFonts w:cstheme="minorHAnsi"/>
            <w:szCs w:val="22"/>
            <w:lang w:val="ru-RU"/>
          </w:rPr>
          <w:t>http://www.itu.int/go/fgcd</w:t>
        </w:r>
      </w:hyperlink>
      <w:r w:rsidRPr="00E35B50">
        <w:rPr>
          <w:szCs w:val="22"/>
          <w:lang w:val="ru-RU"/>
        </w:rPr>
        <w:t>).</w:t>
      </w:r>
    </w:p>
    <w:p w14:paraId="1AA4A982" w14:textId="77777777" w:rsidR="00C25B83" w:rsidRPr="00E35B50" w:rsidRDefault="00C25B83" w:rsidP="00C25B83">
      <w:pPr>
        <w:spacing w:after="120"/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8</w:t>
      </w:r>
      <w:r w:rsidRPr="00E35B50">
        <w:rPr>
          <w:szCs w:val="22"/>
          <w:lang w:val="ru-RU"/>
        </w:rPr>
        <w:tab/>
        <w:t xml:space="preserve">С </w:t>
      </w:r>
      <w:proofErr w:type="gramStart"/>
      <w:r w:rsidRPr="00E35B50">
        <w:rPr>
          <w:szCs w:val="22"/>
          <w:lang w:val="ru-RU"/>
        </w:rPr>
        <w:t>тем</w:t>
      </w:r>
      <w:proofErr w:type="gramEnd"/>
      <w:r w:rsidRPr="00E35B50">
        <w:rPr>
          <w:szCs w:val="22"/>
          <w:lang w:val="ru-RU"/>
        </w:rPr>
        <w:t xml:space="preserve"> чтобы МСЭ мог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19" w:history="1">
        <w:r w:rsidRPr="00E35B50">
          <w:rPr>
            <w:rStyle w:val="Hyperlink"/>
            <w:szCs w:val="22"/>
            <w:lang w:val="ru-RU"/>
          </w:rPr>
          <w:t>домашней странице ОГ-CD</w:t>
        </w:r>
      </w:hyperlink>
      <w:r w:rsidRPr="00E35B50">
        <w:rPr>
          <w:szCs w:val="22"/>
          <w:lang w:val="ru-RU"/>
        </w:rPr>
        <w:t xml:space="preserve"> в максимально короткий срок. Число мест ограничено, и регистрация будет проводиться по принципу "первым пришел – первым обслужен". Регистрация является обязательной как для дистанционного, так и для очного участия. Обращаем ваше внимание на то, что предварительная регистрация участников на эти мероприятия проводится только в онлайновой форме.</w:t>
      </w:r>
    </w:p>
    <w:p w14:paraId="3A07AAA2" w14:textId="77777777" w:rsidR="00C25B83" w:rsidRPr="00E35B50" w:rsidRDefault="00C25B83" w:rsidP="00C25B83">
      <w:pPr>
        <w:spacing w:after="120"/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9</w:t>
      </w:r>
      <w:r w:rsidRPr="00E35B50">
        <w:rPr>
          <w:szCs w:val="22"/>
          <w:lang w:val="ru-RU"/>
        </w:rPr>
        <w:tab/>
        <w:t>Напоминаем, что для въезда в Индию и пребывания там гражданам определенных государств необходима виза. В случае необходимости визы следует запрашивать до даты прибытия в страну в посольстве или консульстве, представляющем Индию в вашей стране, или, если в вашей стране такое учреждение отсутствует, в ближайшем к стране выезда. Предельные сроки могут различаться, поэтому предлагается уточнить сроки в соответствующем представительстве и подавать заявку заблаговременно. Поскольку собрание проводится за пределами Швейцарии, запросы на поддержку в получении визы следует направлять непосредственно принимающей стороне собрания.</w:t>
      </w:r>
    </w:p>
    <w:p w14:paraId="5329CA7D" w14:textId="77777777" w:rsidR="00C25B83" w:rsidRPr="00E35B50" w:rsidRDefault="00C25B83" w:rsidP="00C25B83">
      <w:pPr>
        <w:spacing w:after="240"/>
        <w:rPr>
          <w:szCs w:val="22"/>
          <w:lang w:val="ru-RU"/>
        </w:rPr>
      </w:pPr>
      <w:r w:rsidRPr="00E35B50">
        <w:rPr>
          <w:szCs w:val="22"/>
          <w:lang w:val="ru-RU"/>
        </w:rPr>
        <w:t xml:space="preserve">Дополнительные сведения и документы, необходимые для оформления визы, в соответствующем случае, будут представлены в документе о материально-техническом обеспечении собрания, который будет размещен на </w:t>
      </w:r>
      <w:hyperlink r:id="rId20" w:history="1">
        <w:r w:rsidRPr="00E35B50">
          <w:rPr>
            <w:rStyle w:val="Hyperlink"/>
            <w:szCs w:val="22"/>
            <w:lang w:val="ru-RU"/>
          </w:rPr>
          <w:t>домашней странице ОГ-CD</w:t>
        </w:r>
      </w:hyperlink>
      <w:r w:rsidRPr="00E35B50">
        <w:rPr>
          <w:szCs w:val="22"/>
          <w:lang w:val="ru-RU"/>
        </w:rPr>
        <w:t>.</w:t>
      </w:r>
    </w:p>
    <w:p w14:paraId="431F92ED" w14:textId="2D5470EE" w:rsidR="004F39A1" w:rsidRPr="00E35B50" w:rsidRDefault="004F39A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cstheme="minorHAnsi"/>
          <w:szCs w:val="22"/>
          <w:lang w:val="ru-RU"/>
        </w:rPr>
      </w:pPr>
      <w:r w:rsidRPr="00E35B50">
        <w:rPr>
          <w:rFonts w:cstheme="minorHAnsi"/>
          <w:szCs w:val="22"/>
          <w:lang w:val="ru-RU"/>
        </w:rPr>
        <w:br w:type="page"/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C25B83" w:rsidRPr="000E2E76" w14:paraId="29B2BF91" w14:textId="77777777" w:rsidTr="004F39A1">
        <w:trPr>
          <w:trHeight w:val="438"/>
          <w:jc w:val="center"/>
        </w:trPr>
        <w:tc>
          <w:tcPr>
            <w:tcW w:w="1982" w:type="dxa"/>
          </w:tcPr>
          <w:p w14:paraId="0549FBC0" w14:textId="77777777" w:rsidR="00C25B83" w:rsidRPr="00E35B50" w:rsidRDefault="00C25B83" w:rsidP="004F39A1">
            <w:pPr>
              <w:pStyle w:val="TableText"/>
              <w:rPr>
                <w:rFonts w:cstheme="minorHAnsi"/>
                <w:sz w:val="22"/>
                <w:szCs w:val="22"/>
                <w:lang w:val="ru-RU"/>
              </w:rPr>
            </w:pPr>
            <w:r w:rsidRPr="00E35B50">
              <w:rPr>
                <w:sz w:val="22"/>
                <w:szCs w:val="22"/>
                <w:lang w:val="ru-RU"/>
              </w:rPr>
              <w:lastRenderedPageBreak/>
              <w:t>25 августа 2023 г.</w:t>
            </w:r>
          </w:p>
        </w:tc>
        <w:tc>
          <w:tcPr>
            <w:tcW w:w="7647" w:type="dxa"/>
          </w:tcPr>
          <w:p w14:paraId="024B9C2B" w14:textId="2C85B653" w:rsidR="00C25B83" w:rsidRPr="00E35B50" w:rsidRDefault="00C70D96" w:rsidP="00C70D96">
            <w:pPr>
              <w:pStyle w:val="TableText"/>
              <w:tabs>
                <w:tab w:val="clear" w:pos="284"/>
                <w:tab w:val="left" w:pos="317"/>
              </w:tabs>
              <w:ind w:left="317" w:hanging="317"/>
              <w:jc w:val="left"/>
              <w:rPr>
                <w:rFonts w:cstheme="minorHAnsi"/>
                <w:sz w:val="22"/>
                <w:szCs w:val="22"/>
                <w:lang w:val="ru-RU"/>
              </w:rPr>
            </w:pPr>
            <w:r w:rsidRPr="00E35B50">
              <w:rPr>
                <w:sz w:val="22"/>
                <w:szCs w:val="22"/>
                <w:lang w:val="ru-RU"/>
              </w:rPr>
              <w:t>−</w:t>
            </w:r>
            <w:r w:rsidRPr="00E35B50">
              <w:rPr>
                <w:sz w:val="22"/>
                <w:szCs w:val="22"/>
                <w:lang w:val="ru-RU"/>
              </w:rPr>
              <w:tab/>
            </w:r>
            <w:r w:rsidR="00C25B83" w:rsidRPr="00E35B50">
              <w:rPr>
                <w:sz w:val="22"/>
                <w:szCs w:val="22"/>
                <w:lang w:val="ru-RU"/>
              </w:rPr>
              <w:t>Предельный срок для представления запроса на направление пригласительного письма для целей оформления визы</w:t>
            </w:r>
          </w:p>
        </w:tc>
      </w:tr>
      <w:tr w:rsidR="00C25B83" w:rsidRPr="000E2E76" w14:paraId="5D5301F0" w14:textId="77777777" w:rsidTr="004F39A1">
        <w:trPr>
          <w:trHeight w:val="438"/>
          <w:jc w:val="center"/>
        </w:trPr>
        <w:tc>
          <w:tcPr>
            <w:tcW w:w="1982" w:type="dxa"/>
          </w:tcPr>
          <w:p w14:paraId="496BDC05" w14:textId="77777777" w:rsidR="00C25B83" w:rsidRPr="00E35B50" w:rsidRDefault="00C25B83" w:rsidP="004F39A1">
            <w:pPr>
              <w:pStyle w:val="TableText"/>
              <w:rPr>
                <w:rFonts w:cstheme="minorHAnsi"/>
                <w:sz w:val="22"/>
                <w:szCs w:val="22"/>
                <w:lang w:val="ru-RU"/>
              </w:rPr>
            </w:pPr>
            <w:bookmarkStart w:id="0" w:name="_Hlk124850442"/>
            <w:r w:rsidRPr="00E35B50">
              <w:rPr>
                <w:sz w:val="22"/>
                <w:szCs w:val="22"/>
                <w:lang w:val="ru-RU"/>
              </w:rPr>
              <w:t>22 сентября 2023 г.</w:t>
            </w:r>
          </w:p>
        </w:tc>
        <w:tc>
          <w:tcPr>
            <w:tcW w:w="7647" w:type="dxa"/>
          </w:tcPr>
          <w:p w14:paraId="49E47B17" w14:textId="36184C15" w:rsidR="00C25B83" w:rsidRPr="00E35B50" w:rsidRDefault="00C70D96" w:rsidP="00C70D96">
            <w:pPr>
              <w:pStyle w:val="TableText"/>
              <w:tabs>
                <w:tab w:val="clear" w:pos="284"/>
                <w:tab w:val="left" w:pos="317"/>
              </w:tabs>
              <w:ind w:left="317" w:hanging="317"/>
              <w:jc w:val="left"/>
              <w:rPr>
                <w:rFonts w:cstheme="minorHAnsi"/>
                <w:sz w:val="22"/>
                <w:szCs w:val="22"/>
                <w:lang w:val="ru-RU"/>
              </w:rPr>
            </w:pPr>
            <w:r w:rsidRPr="00E35B50">
              <w:rPr>
                <w:sz w:val="22"/>
                <w:szCs w:val="22"/>
                <w:lang w:val="ru-RU"/>
              </w:rPr>
              <w:t>−</w:t>
            </w:r>
            <w:r w:rsidRPr="00E35B50">
              <w:rPr>
                <w:sz w:val="22"/>
                <w:szCs w:val="22"/>
                <w:lang w:val="ru-RU"/>
              </w:rPr>
              <w:tab/>
            </w:r>
            <w:r w:rsidR="00C25B83" w:rsidRPr="00E35B50">
              <w:rPr>
                <w:sz w:val="22"/>
                <w:szCs w:val="22"/>
                <w:lang w:val="ru-RU"/>
              </w:rPr>
              <w:t>Предельный срок для представления вкладов в письменном виде</w:t>
            </w:r>
            <w:r w:rsidR="003A0E6F" w:rsidRPr="00E35B50">
              <w:rPr>
                <w:sz w:val="22"/>
                <w:szCs w:val="22"/>
                <w:lang w:val="ru-RU"/>
              </w:rPr>
              <w:t xml:space="preserve"> </w:t>
            </w:r>
            <w:r w:rsidR="003A0E6F" w:rsidRPr="00E35B50">
              <w:rPr>
                <w:sz w:val="22"/>
                <w:szCs w:val="22"/>
                <w:lang w:val="ru-RU"/>
              </w:rPr>
              <w:br/>
            </w:r>
            <w:r w:rsidR="00C25B83" w:rsidRPr="00E35B50">
              <w:rPr>
                <w:sz w:val="22"/>
                <w:szCs w:val="22"/>
                <w:lang w:val="ru-RU"/>
              </w:rPr>
              <w:t xml:space="preserve">(по эл. почте на адрес </w:t>
            </w:r>
            <w:hyperlink r:id="rId21" w:history="1">
              <w:r w:rsidR="001672C7" w:rsidRPr="00E35B50">
                <w:rPr>
                  <w:rStyle w:val="Hyperlink"/>
                  <w:sz w:val="22"/>
                  <w:szCs w:val="22"/>
                  <w:lang w:val="ru-RU"/>
                </w:rPr>
                <w:t>tsbfgcd@itu.in</w:t>
              </w:r>
            </w:hyperlink>
            <w:r w:rsidR="00C25B83" w:rsidRPr="00E35B50">
              <w:rPr>
                <w:sz w:val="22"/>
                <w:szCs w:val="22"/>
                <w:lang w:val="ru-RU"/>
              </w:rPr>
              <w:t>)</w:t>
            </w:r>
          </w:p>
        </w:tc>
      </w:tr>
      <w:tr w:rsidR="00C25B83" w:rsidRPr="000E2E76" w14:paraId="081565D4" w14:textId="77777777" w:rsidTr="004F39A1">
        <w:trPr>
          <w:trHeight w:val="438"/>
          <w:jc w:val="center"/>
        </w:trPr>
        <w:tc>
          <w:tcPr>
            <w:tcW w:w="1982" w:type="dxa"/>
          </w:tcPr>
          <w:p w14:paraId="547E3332" w14:textId="77777777" w:rsidR="00C25B83" w:rsidRPr="00E35B50" w:rsidRDefault="00C25B83" w:rsidP="004F39A1">
            <w:pPr>
              <w:pStyle w:val="TableText"/>
              <w:rPr>
                <w:rFonts w:cstheme="minorHAnsi"/>
                <w:sz w:val="22"/>
                <w:szCs w:val="22"/>
                <w:lang w:val="ru-RU"/>
              </w:rPr>
            </w:pPr>
            <w:r w:rsidRPr="00E35B50">
              <w:rPr>
                <w:sz w:val="22"/>
                <w:szCs w:val="22"/>
                <w:lang w:val="ru-RU"/>
              </w:rPr>
              <w:t>27 сентября 2023 г.</w:t>
            </w:r>
          </w:p>
        </w:tc>
        <w:tc>
          <w:tcPr>
            <w:tcW w:w="7647" w:type="dxa"/>
          </w:tcPr>
          <w:p w14:paraId="087EEB4C" w14:textId="60D3918E" w:rsidR="00C25B83" w:rsidRPr="00E35B50" w:rsidRDefault="00C70D96" w:rsidP="00C70D96">
            <w:pPr>
              <w:pStyle w:val="TableText"/>
              <w:tabs>
                <w:tab w:val="clear" w:pos="284"/>
                <w:tab w:val="left" w:pos="317"/>
              </w:tabs>
              <w:ind w:left="317" w:hanging="317"/>
              <w:jc w:val="left"/>
              <w:rPr>
                <w:rFonts w:cstheme="minorHAnsi"/>
                <w:sz w:val="22"/>
                <w:szCs w:val="22"/>
                <w:lang w:val="ru-RU"/>
              </w:rPr>
            </w:pPr>
            <w:r w:rsidRPr="00E35B50">
              <w:rPr>
                <w:sz w:val="22"/>
                <w:szCs w:val="22"/>
                <w:lang w:val="ru-RU"/>
              </w:rPr>
              <w:t>−</w:t>
            </w:r>
            <w:r w:rsidRPr="00E35B50">
              <w:rPr>
                <w:sz w:val="22"/>
                <w:szCs w:val="22"/>
                <w:lang w:val="ru-RU"/>
              </w:rPr>
              <w:tab/>
            </w:r>
            <w:r w:rsidR="00C25B83" w:rsidRPr="00E35B50">
              <w:rPr>
                <w:sz w:val="22"/>
                <w:szCs w:val="22"/>
                <w:lang w:val="ru-RU"/>
              </w:rPr>
              <w:t xml:space="preserve">Предельный срок для предварительной регистрации (в онлайновой форме на </w:t>
            </w:r>
            <w:hyperlink r:id="rId22" w:history="1">
              <w:r w:rsidR="00C25B83" w:rsidRPr="00E35B50">
                <w:rPr>
                  <w:rStyle w:val="Hyperlink"/>
                  <w:sz w:val="22"/>
                  <w:szCs w:val="22"/>
                  <w:lang w:val="ru-RU"/>
                </w:rPr>
                <w:t>домашней странице ОГ-CD</w:t>
              </w:r>
            </w:hyperlink>
            <w:r w:rsidR="00C25B83" w:rsidRPr="00E35B50">
              <w:rPr>
                <w:sz w:val="22"/>
                <w:szCs w:val="22"/>
                <w:lang w:val="ru-RU"/>
              </w:rPr>
              <w:t xml:space="preserve">). Онлайновая регистрация: </w:t>
            </w:r>
            <w:hyperlink r:id="rId23" w:history="1">
              <w:r w:rsidR="00C25B83" w:rsidRPr="00E35B50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https://www.itu.int/net4/CRM/xreg/web/Registration.aspx?Event=C-00012894</w:t>
              </w:r>
            </w:hyperlink>
            <w:r w:rsidR="00C25B83" w:rsidRPr="00E35B50">
              <w:rPr>
                <w:sz w:val="22"/>
                <w:szCs w:val="22"/>
                <w:lang w:val="ru-RU"/>
              </w:rPr>
              <w:t>.</w:t>
            </w:r>
          </w:p>
        </w:tc>
      </w:tr>
    </w:tbl>
    <w:bookmarkEnd w:id="0"/>
    <w:p w14:paraId="1596BFE0" w14:textId="77777777" w:rsidR="00C25B83" w:rsidRPr="00E35B50" w:rsidRDefault="00C25B83" w:rsidP="004F39A1">
      <w:pPr>
        <w:tabs>
          <w:tab w:val="left" w:pos="7763"/>
        </w:tabs>
        <w:spacing w:after="120"/>
        <w:rPr>
          <w:rFonts w:cstheme="minorHAnsi"/>
          <w:szCs w:val="22"/>
          <w:lang w:val="ru-RU"/>
        </w:rPr>
      </w:pPr>
      <w:r w:rsidRPr="00E35B50">
        <w:rPr>
          <w:szCs w:val="22"/>
          <w:lang w:val="ru-RU"/>
        </w:rPr>
        <w:t>Желаю вам плодотворного и приятного собрания.</w:t>
      </w:r>
    </w:p>
    <w:p w14:paraId="188F569D" w14:textId="77777777" w:rsidR="00DD68CA" w:rsidRPr="00E35B50" w:rsidRDefault="00DD68CA" w:rsidP="00DD68CA">
      <w:pPr>
        <w:rPr>
          <w:szCs w:val="22"/>
          <w:lang w:val="ru-RU"/>
        </w:rPr>
      </w:pPr>
      <w:r w:rsidRPr="00E35B50">
        <w:rPr>
          <w:szCs w:val="22"/>
          <w:lang w:val="ru-RU"/>
        </w:rPr>
        <w:t>С уважением,</w:t>
      </w:r>
    </w:p>
    <w:p w14:paraId="1C7B1070" w14:textId="24A0B320" w:rsidR="00DD68CA" w:rsidRPr="00E35B50" w:rsidRDefault="008C351D" w:rsidP="000E2E76">
      <w:pPr>
        <w:pStyle w:val="Normalaftertitle"/>
        <w:spacing w:before="960"/>
        <w:jc w:val="left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4049A08" wp14:editId="7897EB98">
            <wp:simplePos x="0" y="0"/>
            <wp:positionH relativeFrom="column">
              <wp:posOffset>-2539</wp:posOffset>
            </wp:positionH>
            <wp:positionV relativeFrom="paragraph">
              <wp:posOffset>175728</wp:posOffset>
            </wp:positionV>
            <wp:extent cx="666750" cy="357533"/>
            <wp:effectExtent l="0" t="0" r="0" b="4445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36" cy="361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815B6" w:rsidRPr="00E35B50">
        <w:rPr>
          <w:szCs w:val="22"/>
          <w:lang w:val="ru-RU"/>
        </w:rPr>
        <w:t>Сейдзо</w:t>
      </w:r>
      <w:proofErr w:type="spellEnd"/>
      <w:r w:rsidR="00A815B6" w:rsidRPr="00E35B50">
        <w:rPr>
          <w:szCs w:val="22"/>
          <w:lang w:val="ru-RU"/>
        </w:rPr>
        <w:t xml:space="preserve"> </w:t>
      </w:r>
      <w:proofErr w:type="spellStart"/>
      <w:r w:rsidR="00A815B6" w:rsidRPr="00E35B50">
        <w:rPr>
          <w:szCs w:val="22"/>
          <w:lang w:val="ru-RU"/>
        </w:rPr>
        <w:t>Оноэ</w:t>
      </w:r>
      <w:proofErr w:type="spellEnd"/>
      <w:r w:rsidR="00DD68CA" w:rsidRPr="00E35B50">
        <w:rPr>
          <w:szCs w:val="22"/>
          <w:lang w:val="ru-RU"/>
        </w:rPr>
        <w:br/>
        <w:t>Директор Бюро</w:t>
      </w:r>
      <w:r w:rsidR="00DD68CA" w:rsidRPr="00E35B50">
        <w:rPr>
          <w:szCs w:val="22"/>
          <w:lang w:val="ru-RU"/>
        </w:rPr>
        <w:br/>
        <w:t>стандартизации электросвязи</w:t>
      </w:r>
    </w:p>
    <w:p w14:paraId="5BD00D33" w14:textId="5EBE081F" w:rsidR="00C25B83" w:rsidRPr="00E35B50" w:rsidRDefault="00C25B83" w:rsidP="00C25B83">
      <w:pPr>
        <w:spacing w:before="1440"/>
        <w:rPr>
          <w:szCs w:val="22"/>
          <w:lang w:val="ru-RU"/>
        </w:rPr>
      </w:pPr>
      <w:r w:rsidRPr="00E35B50">
        <w:rPr>
          <w:b/>
          <w:bCs/>
          <w:szCs w:val="22"/>
          <w:lang w:val="ru-RU"/>
        </w:rPr>
        <w:t>Приложение</w:t>
      </w:r>
      <w:r w:rsidRPr="00E35B50">
        <w:rPr>
          <w:szCs w:val="22"/>
          <w:lang w:val="ru-RU"/>
        </w:rPr>
        <w:t>: 1</w:t>
      </w:r>
    </w:p>
    <w:p w14:paraId="227A48CC" w14:textId="48477441" w:rsidR="00C25B83" w:rsidRPr="00E35B50" w:rsidRDefault="00C25B8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br w:type="page"/>
      </w:r>
    </w:p>
    <w:p w14:paraId="593625EA" w14:textId="77777777" w:rsidR="00C25B83" w:rsidRPr="00E35B50" w:rsidRDefault="00C25B83" w:rsidP="001672C7">
      <w:pPr>
        <w:pStyle w:val="AnnexNo"/>
        <w:rPr>
          <w:rFonts w:cs="Calibri"/>
          <w:sz w:val="22"/>
          <w:szCs w:val="22"/>
          <w:lang w:val="ru-RU"/>
        </w:rPr>
      </w:pPr>
      <w:r w:rsidRPr="00E35B50">
        <w:rPr>
          <w:sz w:val="22"/>
          <w:szCs w:val="22"/>
          <w:lang w:val="ru-RU"/>
        </w:rPr>
        <w:lastRenderedPageBreak/>
        <w:t>Приложение 1</w:t>
      </w:r>
    </w:p>
    <w:p w14:paraId="0D5971BB" w14:textId="77777777" w:rsidR="00C25B83" w:rsidRPr="00E35B50" w:rsidRDefault="00C25B83" w:rsidP="001672C7">
      <w:pPr>
        <w:pStyle w:val="AnnexTitle"/>
        <w:rPr>
          <w:rFonts w:eastAsia="SimSun" w:cstheme="minorHAnsi"/>
          <w:sz w:val="22"/>
          <w:szCs w:val="22"/>
          <w:lang w:val="ru-RU"/>
        </w:rPr>
      </w:pPr>
      <w:r w:rsidRPr="00E35B50">
        <w:rPr>
          <w:sz w:val="22"/>
          <w:szCs w:val="22"/>
          <w:lang w:val="ru-RU"/>
        </w:rPr>
        <w:t>Круг ведения Оперативной группы по моделям определения затрат для приемлемых в ценовом отношении услуг передачи данных (ОГ-CD)</w:t>
      </w:r>
    </w:p>
    <w:p w14:paraId="5604A753" w14:textId="77777777" w:rsidR="00C25B83" w:rsidRPr="00E35B50" w:rsidRDefault="00C25B83" w:rsidP="001672C7">
      <w:pPr>
        <w:pStyle w:val="Heading1"/>
        <w:rPr>
          <w:szCs w:val="22"/>
          <w:lang w:val="ru-RU"/>
        </w:rPr>
      </w:pPr>
      <w:r w:rsidRPr="00E35B50">
        <w:rPr>
          <w:szCs w:val="22"/>
          <w:lang w:val="ru-RU"/>
        </w:rPr>
        <w:t>1</w:t>
      </w:r>
      <w:r w:rsidRPr="00E35B50">
        <w:rPr>
          <w:szCs w:val="22"/>
          <w:lang w:val="ru-RU"/>
        </w:rPr>
        <w:tab/>
        <w:t>Обоснование и сфера деятельности</w:t>
      </w:r>
    </w:p>
    <w:p w14:paraId="0B940A0D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Ценообразование в сфере данных является сложным процессом и определяется рынком. Затраты, связанные с управлением длинной цепочкой поставок для предоставления услуг интернета, окупаются в основном путем прямого взимания средств с клиентов. Существует необходимость в проведении целенаправленного исследования механизмов ценообразования и порядка структурирования возмещения затрат. При определении затрат на услуги следует учитывать различные факторы, такие как конкуренция, потребительский спрос, покупательская способность, готовность платить и т. д.</w:t>
      </w:r>
    </w:p>
    <w:p w14:paraId="4952419B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Цепочки поставок в области электросвязи/ИКТ являются длинными, сложными и разнообразными. Существует множество моделей затрат, как модель полностью распределенных затрат (FAC), модель долгосрочных приростных издержек (LRIC), модель долгосрочных общих приростных издержек с учетом услуг (TSLRIC+), модель затрат "снизу вверх" (BU), модель составных элементов (BBM), модель затрат "сверху вниз" (TD), гибридные модели затрат, используемые для ценообразования в сфере услуг интернета. Предстоит произвести существенные изменения в моделировании затрат для традиционных сетей с целью включения измененных сценариев экосистемы, таких как совместно используемые сети, новые технологии и т. д. Используются также различные стратегии ценообразования, такие как ценообразование, основанное на ценности, конкурентное ценообразование, ценообразование по принципу "затраты плюс прибыль", динамическое ценообразование и другие.</w:t>
      </w:r>
    </w:p>
    <w:p w14:paraId="73ABA994" w14:textId="19E62CFA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3-я Исследовательская комиссия МСЭ-Т является ведущей исследовательской комиссией по принципам и методикам определения затрат. Она также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основе.</w:t>
      </w:r>
    </w:p>
    <w:p w14:paraId="1B957D8A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Ниже приведена соответствующая выдержка из мандата ИК3 МСЭ-Т:</w:t>
      </w:r>
    </w:p>
    <w:p w14:paraId="50FDEAD4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"</w:t>
      </w:r>
      <w:r w:rsidRPr="00E35B50">
        <w:rPr>
          <w:i/>
          <w:iCs/>
          <w:szCs w:val="22"/>
          <w:lang w:val="ru-RU"/>
        </w:rPr>
        <w:t>3-я Исследовательская комиссия МСЭ-Т отвечает, среди прочего, за изучение относящихся к международной электросвязи/ИКТ стратегических и экономических вопросов, а также вопросов тарификации и учета (включая принципы и методики расчета затрат), с тем чтобы предоставлять информацию для разработки создающих благоприятные возможности регуляторных моделей и нормативных баз</w:t>
      </w:r>
      <w:r w:rsidRPr="00E35B50">
        <w:rPr>
          <w:szCs w:val="22"/>
          <w:lang w:val="ru-RU"/>
        </w:rPr>
        <w:t xml:space="preserve">. </w:t>
      </w:r>
      <w:r w:rsidRPr="00E35B50">
        <w:rPr>
          <w:i/>
          <w:iCs/>
          <w:szCs w:val="22"/>
          <w:lang w:val="ru-RU"/>
        </w:rPr>
        <w:t>С этой целью 3-я Исследовательская комиссия, в частности,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</w:t>
      </w:r>
      <w:r w:rsidRPr="00E35B50">
        <w:rPr>
          <w:szCs w:val="22"/>
          <w:lang w:val="ru-RU"/>
        </w:rPr>
        <w:t>"</w:t>
      </w:r>
      <w:r w:rsidRPr="00E35B50">
        <w:rPr>
          <w:i/>
          <w:iCs/>
          <w:szCs w:val="22"/>
          <w:lang w:val="ru-RU"/>
        </w:rPr>
        <w:t>.</w:t>
      </w:r>
      <w:r w:rsidRPr="00E35B50">
        <w:rPr>
          <w:szCs w:val="22"/>
          <w:lang w:val="ru-RU"/>
        </w:rPr>
        <w:t> </w:t>
      </w:r>
    </w:p>
    <w:p w14:paraId="38269CBC" w14:textId="0A00BDE9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Учитывая первостепенное значение приемлемого в ценовом отношении интернета, особую важность приобретает изучение различных аспектов, связанных с определением затрат на передачу данных, которые могут включать различные стороны деятельности, например, политические, экономические и социальные. Принципы, принимаемые для методик определения затрат, должны соответствовать стремительным темпам роста и трансформации электросвязи/ИКТ. Также крайне необходимо уравновешивать коммерческие интересы и интересы населения. Эти аспекты следует учитывать на этапе определения затрат. Существенную роль играют такие факторы, как конкуренция, спрос, технология, оптимизация затрат, стратегии ценообразования, модели выставления счетов, раздельный учет, механизмы расчетов и соответствие нормативно-правовым требованиям. Поэтому требуется провести количественный анализ затрат на предоставление международных интернет</w:t>
      </w:r>
      <w:r w:rsidR="000165B7" w:rsidRPr="00E35B50">
        <w:rPr>
          <w:szCs w:val="22"/>
          <w:lang w:val="ru-RU"/>
        </w:rPr>
        <w:noBreakHyphen/>
      </w:r>
      <w:r w:rsidRPr="00E35B50">
        <w:rPr>
          <w:szCs w:val="22"/>
          <w:lang w:val="ru-RU"/>
        </w:rPr>
        <w:t xml:space="preserve">соединений в рамках различных технических и бизнес-моделей, направленный на </w:t>
      </w:r>
      <w:r w:rsidRPr="00E35B50">
        <w:rPr>
          <w:szCs w:val="22"/>
          <w:lang w:val="ru-RU"/>
        </w:rPr>
        <w:lastRenderedPageBreak/>
        <w:t>повышение приемлемости услуг в ценовом отношении и расширение охвата цифровыми технологиями.</w:t>
      </w:r>
    </w:p>
    <w:p w14:paraId="3C57AA58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Разработка модели затрат является трудной задачей, что подтверждается медленным прогрессом в разработке моделей затрат на международные интернет-соединения. В связи с этим Оперативная группа предоставляет возможность изучить этот вопрос комплексно и совместно с другими важными заинтересованными сторонами.</w:t>
      </w:r>
    </w:p>
    <w:p w14:paraId="0A2EC7D7" w14:textId="77777777" w:rsidR="00C25B83" w:rsidRPr="00E35B50" w:rsidRDefault="00C25B83" w:rsidP="001672C7">
      <w:pPr>
        <w:pStyle w:val="Heading1"/>
        <w:rPr>
          <w:bCs w:val="0"/>
          <w:szCs w:val="22"/>
          <w:lang w:val="ru-RU"/>
        </w:rPr>
      </w:pPr>
      <w:r w:rsidRPr="00E35B50">
        <w:rPr>
          <w:szCs w:val="22"/>
          <w:lang w:val="ru-RU"/>
        </w:rPr>
        <w:t>2</w:t>
      </w:r>
      <w:r w:rsidRPr="00E35B50">
        <w:rPr>
          <w:szCs w:val="22"/>
          <w:lang w:val="ru-RU"/>
        </w:rPr>
        <w:tab/>
        <w:t>Задачи</w:t>
      </w:r>
    </w:p>
    <w:p w14:paraId="3FB53CBA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Ниже приведен возможный перечень ключевых задач Оперативной группы.</w:t>
      </w:r>
    </w:p>
    <w:p w14:paraId="26E77933" w14:textId="7B736D67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1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определение и понимание компонентов цепочки создания стоимости интернета, которые влияют на затраты, связанные с услугами передачи данных;</w:t>
      </w:r>
    </w:p>
    <w:p w14:paraId="192153E6" w14:textId="1030C154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2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проведение сравнения примеров передового опыта, что может помочь заинтересованным сторонам в разработке моделей определения затрат и ценообразования для эффективного и доступного в ценовом отношении предоставления рентабельных услуг передачи данных</w:t>
      </w:r>
      <w:r w:rsidR="000165B7" w:rsidRPr="00E35B50">
        <w:rPr>
          <w:szCs w:val="22"/>
          <w:lang w:val="ru-RU"/>
        </w:rPr>
        <w:t>;</w:t>
      </w:r>
    </w:p>
    <w:p w14:paraId="2E9C6523" w14:textId="54EED8B0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3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сотрудничество с заинтересованными сторонами в оценке преобладающих методов определения затрат и ценообразования и изучение возможностей определения инновационных способов обеспечения приемлемых в ценовом отношении и повсеместно распространенных услуг;</w:t>
      </w:r>
    </w:p>
    <w:p w14:paraId="40E0CD9A" w14:textId="76F15BB2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4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предоставление открытой глобальной платформы для объединения усилий и совместной работы отдельных экспертов и организаций по разработке стандартов (ОРС);</w:t>
      </w:r>
    </w:p>
    <w:p w14:paraId="0B3C5747" w14:textId="54422BCE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5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определение возможностей стандартизации, которые будут уравновешивать интересы соответствующих заинтересованных сторон в сфере услуг передачи данных;</w:t>
      </w:r>
    </w:p>
    <w:p w14:paraId="24ECF977" w14:textId="1194D0C9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6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объединение таких элементов, как конкуренция, спрос, технологии, оптимизация затрат, стратегии ценообразования, модели выставления счетов, раздельный учет, механизмы расчетов и соответствие нормативно-правовым требованиям для разработки моделей определения затрат на услуги передачи данных;</w:t>
      </w:r>
    </w:p>
    <w:p w14:paraId="322B0653" w14:textId="311EC9DA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7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содействие разработке стандартных экономических моделей предоставления международных интернет-соединений на основе различных технических и бизнес-моделей. Это необходимо для повышения приемлемости в ценовом отношении услуг интернета во всем мире в целях преодоления цифрового разрыва;</w:t>
      </w:r>
    </w:p>
    <w:p w14:paraId="379E6B8E" w14:textId="2A436E66" w:rsidR="00C25B83" w:rsidRPr="00E35B50" w:rsidRDefault="000165B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8</w:t>
      </w:r>
      <w:r w:rsidR="001672C7"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разработка одного или нескольких соответствующих отчетов о работе ОГ.</w:t>
      </w:r>
    </w:p>
    <w:p w14:paraId="5390F26A" w14:textId="77777777" w:rsidR="00C25B83" w:rsidRPr="00E35B50" w:rsidRDefault="00C25B83" w:rsidP="001672C7">
      <w:pPr>
        <w:pStyle w:val="Heading1"/>
        <w:rPr>
          <w:bCs w:val="0"/>
          <w:szCs w:val="22"/>
          <w:lang w:val="ru-RU"/>
        </w:rPr>
      </w:pPr>
      <w:r w:rsidRPr="00E35B50">
        <w:rPr>
          <w:szCs w:val="22"/>
          <w:lang w:val="ru-RU"/>
        </w:rPr>
        <w:t>3</w:t>
      </w:r>
      <w:r w:rsidRPr="00E35B50">
        <w:rPr>
          <w:szCs w:val="22"/>
          <w:lang w:val="ru-RU"/>
        </w:rPr>
        <w:tab/>
        <w:t>Структура</w:t>
      </w:r>
    </w:p>
    <w:p w14:paraId="7AB09F73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ОГ-CostingData может при необходимости создавать подгруппы.</w:t>
      </w:r>
    </w:p>
    <w:p w14:paraId="64E201E6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4</w:t>
      </w:r>
      <w:r w:rsidRPr="00E35B50">
        <w:rPr>
          <w:szCs w:val="22"/>
          <w:lang w:val="ru-RU"/>
        </w:rPr>
        <w:tab/>
        <w:t>Конкретные задачи и результаты работы</w:t>
      </w:r>
    </w:p>
    <w:p w14:paraId="4D6FCFF6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Ниже приведен возможный перечень задач и результатов работы ОГ-CostingData.</w:t>
      </w:r>
    </w:p>
    <w:p w14:paraId="5589F06D" w14:textId="77777777" w:rsidR="00C25B83" w:rsidRPr="00E35B50" w:rsidRDefault="00C25B83" w:rsidP="001672C7">
      <w:pPr>
        <w:pStyle w:val="Heading2"/>
        <w:rPr>
          <w:szCs w:val="22"/>
          <w:lang w:val="ru-RU"/>
        </w:rPr>
      </w:pPr>
      <w:r w:rsidRPr="00E35B50">
        <w:rPr>
          <w:szCs w:val="22"/>
          <w:lang w:val="ru-RU"/>
        </w:rPr>
        <w:t>4.1</w:t>
      </w:r>
      <w:r w:rsidRPr="00E35B50">
        <w:rPr>
          <w:szCs w:val="22"/>
          <w:lang w:val="ru-RU"/>
        </w:rPr>
        <w:tab/>
        <w:t>Конкретные задачи</w:t>
      </w:r>
    </w:p>
    <w:p w14:paraId="27D95A32" w14:textId="3359D0A8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•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Определение потребностей и анализ существующих политических и экономических мер:</w:t>
      </w:r>
    </w:p>
    <w:p w14:paraId="5865E669" w14:textId="716BB486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сбор и обобщение информации о текущих политических и экономических мерах, принимаемых различными заинтересованными сторонами для предоставления доступных в ценовом отношении услуг передачи данных;</w:t>
      </w:r>
    </w:p>
    <w:p w14:paraId="58453777" w14:textId="304DEC0A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определение затрат по элементам, задействованным на разных уровнях, включая методы определения затрат, которые используются для накопления затрат, и методы, используемые для оптимизации затрат;</w:t>
      </w:r>
    </w:p>
    <w:p w14:paraId="726DAA97" w14:textId="3865030A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представление рекомендаций по экономическим и налоговым стимулам для распространения приемлемых в ценовом отношении услуг передачи данных;</w:t>
      </w:r>
    </w:p>
    <w:p w14:paraId="7436654E" w14:textId="16327472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сбор информации о различных системах стандартов учета затрат, обоснования затрат и отчетности, относящихся к предоставлению услуг интернета.</w:t>
      </w:r>
    </w:p>
    <w:p w14:paraId="65D94450" w14:textId="5D2B89C9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lastRenderedPageBreak/>
        <w:t>•</w:t>
      </w:r>
      <w:r w:rsidRPr="00E35B50">
        <w:rPr>
          <w:szCs w:val="22"/>
          <w:lang w:val="ru-RU"/>
        </w:rPr>
        <w:tab/>
      </w:r>
      <w:r w:rsidR="00C25B83" w:rsidRPr="00E35B50">
        <w:rPr>
          <w:b/>
          <w:bCs/>
          <w:szCs w:val="22"/>
          <w:lang w:val="ru-RU"/>
        </w:rPr>
        <w:t>Политический и экономический анализ и анализ пробелов</w:t>
      </w:r>
    </w:p>
    <w:p w14:paraId="5B1EAF51" w14:textId="111367B1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анализ и выявление пробелов в политике, экономике, регулировании и стандартизации в отношении приемлемых в ценовом отношении услуг передачи данных, принимая во внимание текущую работу других групп МСЭ, различных ОРС и форумов;</w:t>
      </w:r>
    </w:p>
    <w:p w14:paraId="433892BD" w14:textId="5A445B4F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анализ и определение цепочки поставок инфраструктуры электросвязи/ИКТ, связанной с моделями затрат для приемлемых в ценовом отношении услуг передачи данных</w:t>
      </w:r>
      <w:r w:rsidR="00232640" w:rsidRPr="00E35B50">
        <w:rPr>
          <w:szCs w:val="22"/>
          <w:lang w:val="ru-RU"/>
        </w:rPr>
        <w:t>;</w:t>
      </w:r>
    </w:p>
    <w:p w14:paraId="6C622E1B" w14:textId="60356BCE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анализ элементов определения затрат по компонентам, задействованным на разных уровнях, которые обусловливают предоставление услуг передачи данных в интернете, и предложение возможных методик для обеспечения приемлемой в ценовом отношении возможности установления соединений в соответствии с целями МСЭ;</w:t>
      </w:r>
    </w:p>
    <w:p w14:paraId="0D8FACA9" w14:textId="7C75B9D7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анализ воздействия конвергенции в области электросвязи/ИКТ на определение затрат на услуги передачи данных;</w:t>
      </w:r>
    </w:p>
    <w:p w14:paraId="5BDF83C5" w14:textId="0B6FD978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разработка дорожной карты, касающейся моделей затрат на приемлемые в ценовом отношении услуги передачи данных, если это необходимо.</w:t>
      </w:r>
    </w:p>
    <w:p w14:paraId="28CEF522" w14:textId="6A51BAC9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•</w:t>
      </w:r>
      <w:r w:rsidRPr="00E35B50">
        <w:rPr>
          <w:szCs w:val="22"/>
          <w:lang w:val="ru-RU"/>
        </w:rPr>
        <w:tab/>
      </w:r>
      <w:r w:rsidR="00C25B83" w:rsidRPr="00E35B50">
        <w:rPr>
          <w:b/>
          <w:bCs/>
          <w:szCs w:val="22"/>
          <w:lang w:val="ru-RU"/>
        </w:rPr>
        <w:t>Анализ передового опыта и сценариев использования</w:t>
      </w:r>
    </w:p>
    <w:p w14:paraId="269EE7A7" w14:textId="6A11D30A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сбор информации об инициативах, проектах и сценариях использования, связанных с моделями затрат на приемлемые в ценовом отношении услуги передачи данных; определение существующих стандартов и передового опыта/извлеченных уроков, а также проблем, связанных с их реализацией.</w:t>
      </w:r>
    </w:p>
    <w:p w14:paraId="3929C464" w14:textId="5C7797E5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•</w:t>
      </w:r>
      <w:r w:rsidRPr="00E35B50">
        <w:rPr>
          <w:szCs w:val="22"/>
          <w:lang w:val="ru-RU"/>
        </w:rPr>
        <w:tab/>
      </w:r>
      <w:r w:rsidR="00C25B83" w:rsidRPr="00E35B50">
        <w:rPr>
          <w:b/>
          <w:bCs/>
          <w:szCs w:val="22"/>
          <w:lang w:val="ru-RU"/>
        </w:rPr>
        <w:t>Сотрудничество и партнерство</w:t>
      </w:r>
    </w:p>
    <w:p w14:paraId="125FF830" w14:textId="43C67B3A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выявление, приглашение к участию соответствующих заинтересованных сторон и взаимодействие с ними;</w:t>
      </w:r>
    </w:p>
    <w:p w14:paraId="06C10456" w14:textId="30723A83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установление контактов с соответствующими заинтересованными сторонами и содействие возможностям по налаживанию связей с экспертами в целях сотрудничества и содействия проведению всесторонних и обоснованных обсуждений;</w:t>
      </w:r>
    </w:p>
    <w:p w14:paraId="35D001E1" w14:textId="293B7049" w:rsidR="00C25B83" w:rsidRPr="00E35B50" w:rsidRDefault="00C43C36" w:rsidP="00C43C36">
      <w:pPr>
        <w:pStyle w:val="enumlev2"/>
        <w:rPr>
          <w:szCs w:val="22"/>
          <w:lang w:val="ru-RU"/>
        </w:rPr>
      </w:pPr>
      <w:r w:rsidRPr="00E35B50">
        <w:rPr>
          <w:szCs w:val="22"/>
          <w:lang w:val="ru-RU"/>
        </w:rPr>
        <w:t>−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организация тематических семинаров-практикумов и форумов по вопросам определения затрат на услуги передачи данных и ценообразования в этой сфере, в которых примут участие все заинтересованные стороны, для продвижения деятельности ОГ-CostingData и настоятельная рекомендация как Членам МСЭ, так и сторонам, не являющимся членами МСЭ, принять участие в этой работе.</w:t>
      </w:r>
    </w:p>
    <w:p w14:paraId="07E4D5C8" w14:textId="77777777" w:rsidR="00C25B83" w:rsidRPr="00E35B50" w:rsidRDefault="00C25B83" w:rsidP="001672C7">
      <w:pPr>
        <w:pStyle w:val="Heading2"/>
        <w:rPr>
          <w:szCs w:val="22"/>
          <w:lang w:val="ru-RU"/>
        </w:rPr>
      </w:pPr>
      <w:r w:rsidRPr="00E35B50">
        <w:rPr>
          <w:szCs w:val="22"/>
          <w:lang w:val="ru-RU"/>
        </w:rPr>
        <w:t>4.2</w:t>
      </w:r>
      <w:r w:rsidRPr="00E35B50">
        <w:rPr>
          <w:szCs w:val="22"/>
          <w:lang w:val="ru-RU"/>
        </w:rPr>
        <w:tab/>
        <w:t>Результаты работы</w:t>
      </w:r>
    </w:p>
    <w:p w14:paraId="70EA003E" w14:textId="0F55AF47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1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Проведение семинаров-практикумов с участием заинтересованных сторон и экспертов.</w:t>
      </w:r>
    </w:p>
    <w:p w14:paraId="5C183944" w14:textId="761BF064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2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Обобщение терминологии и таксономии цепочки поставок инфраструктуры электросвязи/ИКТ, связанных с моделями затрат для приемлемых в ценовом отношении услуг передачи данных, и предложение пояснений по связанным с ними терминам и концепциям, при необходимости</w:t>
      </w:r>
      <w:r w:rsidR="00232640" w:rsidRPr="00E35B50">
        <w:rPr>
          <w:szCs w:val="22"/>
          <w:lang w:val="ru-RU"/>
        </w:rPr>
        <w:t>.</w:t>
      </w:r>
    </w:p>
    <w:p w14:paraId="2859D187" w14:textId="08434A30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3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Подготовка технических отчетов по политическим, экономическим, нормативным аспектам и аспектам стандартизации, связанным с доступными в ценовом отношении услугами передачи данных, включая передовой опыт использования методик оценки затрат и экономических моделей. В отчетах также должны анализироваться существующие и новые бизнес-модели/модели ценообразования при предоставлении услуг передачи данных</w:t>
      </w:r>
      <w:r w:rsidR="00232640" w:rsidRPr="00E35B50">
        <w:rPr>
          <w:szCs w:val="22"/>
          <w:lang w:val="ru-RU"/>
        </w:rPr>
        <w:t>.</w:t>
      </w:r>
    </w:p>
    <w:p w14:paraId="18C7EA22" w14:textId="7D8E7967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4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Изучение возможности разработки веб-инструмента, который могли бы использовать директивные и регуляторные органы для определения затрат на услуги передачи данных.</w:t>
      </w:r>
    </w:p>
    <w:p w14:paraId="486DD5C5" w14:textId="3827D94E" w:rsidR="00C25B83" w:rsidRPr="00E35B50" w:rsidRDefault="001672C7" w:rsidP="001672C7">
      <w:pPr>
        <w:pStyle w:val="enumlev1"/>
        <w:rPr>
          <w:szCs w:val="22"/>
          <w:lang w:val="ru-RU"/>
        </w:rPr>
      </w:pPr>
      <w:r w:rsidRPr="00E35B50">
        <w:rPr>
          <w:szCs w:val="22"/>
          <w:lang w:val="ru-RU"/>
        </w:rPr>
        <w:t>5</w:t>
      </w:r>
      <w:r w:rsidRPr="00E35B50">
        <w:rPr>
          <w:szCs w:val="22"/>
          <w:lang w:val="ru-RU"/>
        </w:rPr>
        <w:tab/>
      </w:r>
      <w:r w:rsidR="00C25B83" w:rsidRPr="00E35B50">
        <w:rPr>
          <w:szCs w:val="22"/>
          <w:lang w:val="ru-RU"/>
        </w:rPr>
        <w:t>Составление – после выполнения ОГ-CostingData вышеуказанных задач – всеобъемлющего отчета, в котором кратко представлены достигнутые результаты и содержатся предложения по будущим направлениям работы.</w:t>
      </w:r>
    </w:p>
    <w:p w14:paraId="38AEC1FB" w14:textId="77777777" w:rsidR="00C25B83" w:rsidRPr="00E35B50" w:rsidRDefault="00C25B83" w:rsidP="001672C7">
      <w:pPr>
        <w:pStyle w:val="Heading1"/>
        <w:rPr>
          <w:szCs w:val="22"/>
          <w:lang w:val="ru-RU"/>
        </w:rPr>
      </w:pPr>
      <w:r w:rsidRPr="00E35B50">
        <w:rPr>
          <w:szCs w:val="22"/>
          <w:lang w:val="ru-RU"/>
        </w:rPr>
        <w:lastRenderedPageBreak/>
        <w:t>5</w:t>
      </w:r>
      <w:r w:rsidRPr="00E35B50">
        <w:rPr>
          <w:szCs w:val="22"/>
          <w:lang w:val="ru-RU"/>
        </w:rPr>
        <w:tab/>
        <w:t>Взаимодействие</w:t>
      </w:r>
    </w:p>
    <w:p w14:paraId="235484BD" w14:textId="21A07263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Оперативная группа будет тесно взаимодействовать с соответствующими исследовательскими комиссиями МСЭ (МСЭ-R, в частности с 1-й Исследовательской комиссией МСЭ-R, Рабочей</w:t>
      </w:r>
      <w:r w:rsidR="003A0E6F" w:rsidRPr="00E35B50">
        <w:rPr>
          <w:szCs w:val="22"/>
          <w:lang w:val="ru-RU"/>
        </w:rPr>
        <w:t> </w:t>
      </w:r>
      <w:r w:rsidRPr="00E35B50">
        <w:rPr>
          <w:szCs w:val="22"/>
          <w:lang w:val="ru-RU"/>
        </w:rPr>
        <w:t>группой</w:t>
      </w:r>
      <w:r w:rsidR="003A0E6F" w:rsidRPr="00E35B50">
        <w:rPr>
          <w:szCs w:val="22"/>
          <w:lang w:val="ru-RU"/>
        </w:rPr>
        <w:t> </w:t>
      </w:r>
      <w:r w:rsidRPr="00E35B50">
        <w:rPr>
          <w:szCs w:val="22"/>
          <w:lang w:val="ru-RU"/>
        </w:rPr>
        <w:t>1В; МСЭ-T, в частности со 2-й Исследовательской комиссией МСЭ-T (ведущая исследовательская комиссия по определению услуг электросвязи/ИКТ); и МСЭ-D, в особенности с Группой Докладчика по Вопросу 4/1 1-й Исследовательской комиссии МСЭ-D), включая, по возможности, проведение собраний максимально приближенно по времени и месту.</w:t>
      </w:r>
    </w:p>
    <w:p w14:paraId="7C75163B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Наряду с этим ОГ-CostingData будет сотрудничать (при необходимости) с другими соответствующими группами и структурами согласно Рекомендации МСЭ-Т A.7.</w:t>
      </w:r>
    </w:p>
    <w:p w14:paraId="32E2D1E4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К их числу относятся государственные органы, директивные и регуляторные органы, международные и региональные организации (НПО), неправительственные организации, эксперты по финансированию и учету, экономисты, поставщики услуг ИКТ, производители, OTT, компании в сфере финансовых технологий, организации потребителей, ОРС, отраслевые форумы и консорциумы, компании, академические учреждения, научно-исследовательские институты и другие соответствующие организации.</w:t>
      </w:r>
    </w:p>
    <w:p w14:paraId="429AE66E" w14:textId="77777777" w:rsidR="00C25B83" w:rsidRPr="00E35B50" w:rsidRDefault="00C25B83" w:rsidP="001672C7">
      <w:pPr>
        <w:pStyle w:val="Heading1"/>
        <w:rPr>
          <w:szCs w:val="22"/>
          <w:lang w:val="ru-RU"/>
        </w:rPr>
      </w:pPr>
      <w:r w:rsidRPr="00E35B50">
        <w:rPr>
          <w:szCs w:val="22"/>
          <w:lang w:val="ru-RU"/>
        </w:rPr>
        <w:t>6</w:t>
      </w:r>
      <w:r w:rsidRPr="00E35B50">
        <w:rPr>
          <w:szCs w:val="22"/>
          <w:lang w:val="ru-RU"/>
        </w:rPr>
        <w:tab/>
        <w:t>Основная исследовательская комиссия</w:t>
      </w:r>
    </w:p>
    <w:p w14:paraId="4B86D231" w14:textId="1881CD23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Основной исследовательской комиссией ОГ- CostingData является 3-я Исследовательская комиссия МСЭ-Т "Принципы тарификации и учета и экономические и стратегические вопросы международной электросвязи/ИКТ".</w:t>
      </w:r>
    </w:p>
    <w:p w14:paraId="0E3A7F8A" w14:textId="41B5AD5D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"3-я Исследовательская комиссия МСЭ-Т отвечает, среди прочего, за изучение относящихся к международной электросвязи/ИКТ стратегических и экономических вопросов, а также вопросов тарификации и учета (включая принципы и методики расчета затрат), с тем чтобы предоставлять информацию для разработки создающих благоприятные возможности регуляторных моделей и нормативных баз. С этой целью 3-я Исследовательская комиссия, в частности,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основе". Кроме того, 3</w:t>
      </w:r>
      <w:r w:rsidR="00232640" w:rsidRPr="00E35B50">
        <w:rPr>
          <w:szCs w:val="22"/>
          <w:lang w:val="ru-RU"/>
        </w:rPr>
        <w:noBreakHyphen/>
      </w:r>
      <w:r w:rsidRPr="00E35B50">
        <w:rPr>
          <w:szCs w:val="22"/>
          <w:lang w:val="ru-RU"/>
        </w:rPr>
        <w:t>я</w:t>
      </w:r>
      <w:r w:rsidR="00232640" w:rsidRPr="00E35B50">
        <w:rPr>
          <w:szCs w:val="22"/>
          <w:lang w:val="ru-RU"/>
        </w:rPr>
        <w:t> </w:t>
      </w:r>
      <w:r w:rsidRPr="00E35B50">
        <w:rPr>
          <w:szCs w:val="22"/>
          <w:lang w:val="ru-RU"/>
        </w:rPr>
        <w:t>Исследовательская комиссия будет исследовать экономическое и регуляторное воздействие интернета, новых и появляющихся технологий, конвергенции (услуг или инфраструктуры) и новых услуг, например, по технологии over-the-top (OTT), на услуги и сети международной электросвязи.</w:t>
      </w:r>
    </w:p>
    <w:p w14:paraId="753B8D86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7</w:t>
      </w:r>
      <w:r w:rsidRPr="00E35B50">
        <w:rPr>
          <w:szCs w:val="22"/>
          <w:lang w:val="ru-RU"/>
        </w:rPr>
        <w:tab/>
        <w:t>Руководство</w:t>
      </w:r>
    </w:p>
    <w:p w14:paraId="08B136F5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См. раздел 2.3 Рекомендации МСЭ-T A.7.</w:t>
      </w:r>
    </w:p>
    <w:p w14:paraId="1196106D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8</w:t>
      </w:r>
      <w:r w:rsidRPr="00E35B50">
        <w:rPr>
          <w:szCs w:val="22"/>
          <w:lang w:val="ru-RU"/>
        </w:rPr>
        <w:tab/>
        <w:t>Участие</w:t>
      </w:r>
    </w:p>
    <w:p w14:paraId="4500DAA6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См. раздел 3 Рекомендации МСЭ-T A.7. Для справочных целей предусмотрено ведение списка участников, который будет доводиться до сведения основной комиссии.</w:t>
      </w:r>
    </w:p>
    <w:p w14:paraId="4CD0DCDC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Важно отметить, что участие в этой Оперативной группе должно основываться на вкладах и активном участии в ее работе.</w:t>
      </w:r>
    </w:p>
    <w:p w14:paraId="03B5B380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9</w:t>
      </w:r>
      <w:r w:rsidRPr="00E35B50">
        <w:rPr>
          <w:szCs w:val="22"/>
          <w:lang w:val="ru-RU"/>
        </w:rPr>
        <w:tab/>
        <w:t>Административная поддержка</w:t>
      </w:r>
    </w:p>
    <w:p w14:paraId="6CB3E53A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См. раздел 5 Рекомендации МСЭ-T A.7.</w:t>
      </w:r>
    </w:p>
    <w:p w14:paraId="4C6DD6F5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10</w:t>
      </w:r>
      <w:r w:rsidRPr="00E35B50">
        <w:rPr>
          <w:szCs w:val="22"/>
          <w:lang w:val="ru-RU"/>
        </w:rPr>
        <w:tab/>
        <w:t>Общее финансирование</w:t>
      </w:r>
    </w:p>
    <w:p w14:paraId="2CDC5CA2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См. разделы 4 и 10.2 Рекомендации МСЭ-T A.7.</w:t>
      </w:r>
    </w:p>
    <w:p w14:paraId="1CDA6E59" w14:textId="77777777" w:rsidR="00C25B83" w:rsidRPr="00E35B50" w:rsidRDefault="00C25B83" w:rsidP="00C25B83">
      <w:pPr>
        <w:jc w:val="left"/>
        <w:rPr>
          <w:b/>
          <w:bCs/>
          <w:szCs w:val="22"/>
          <w:lang w:val="ru-RU"/>
        </w:rPr>
      </w:pPr>
      <w:r w:rsidRPr="00E35B50">
        <w:rPr>
          <w:b/>
          <w:bCs/>
          <w:szCs w:val="22"/>
          <w:lang w:val="ru-RU"/>
        </w:rPr>
        <w:t>11</w:t>
      </w:r>
      <w:r w:rsidRPr="00E35B50">
        <w:rPr>
          <w:szCs w:val="22"/>
          <w:lang w:val="ru-RU"/>
        </w:rPr>
        <w:tab/>
      </w:r>
      <w:r w:rsidRPr="00E35B50">
        <w:rPr>
          <w:b/>
          <w:bCs/>
          <w:szCs w:val="22"/>
          <w:lang w:val="ru-RU"/>
        </w:rPr>
        <w:t>Собрания</w:t>
      </w:r>
    </w:p>
    <w:p w14:paraId="02C8085B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Оперативная группа будет проводить собрания на регулярной основе. Периодичность и место проведения собраний определяет руководящий состав Оперативной группы. Общий план собраний будет объявлен после утверждения круга ведения.</w:t>
      </w:r>
    </w:p>
    <w:p w14:paraId="4EF52B21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lastRenderedPageBreak/>
        <w:t>Оперативная группа будет в максимальной степени использовать инструменты дистанционного сотрудничества; также рекомендуется проводить собрания, максимально приближенные по времени и месту к уже запланированным собраниям исследовательской(их) комиссии(й) МСЭ.</w:t>
      </w:r>
    </w:p>
    <w:p w14:paraId="2E8460F1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Даты проведения собрания будут объявляться с помощью электронных средств (например, по электронной почте, на веб-сайте и т. д.) не менее чем за четыре недели до начала собрания.</w:t>
      </w:r>
    </w:p>
    <w:p w14:paraId="2787C0C3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12</w:t>
      </w:r>
      <w:r w:rsidRPr="00E35B50">
        <w:rPr>
          <w:szCs w:val="22"/>
          <w:lang w:val="ru-RU"/>
        </w:rPr>
        <w:tab/>
        <w:t>Технические вклады</w:t>
      </w:r>
    </w:p>
    <w:p w14:paraId="1DFAD00F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См. раздел 8 Рекомендации МСЭ-T A.7.</w:t>
      </w:r>
    </w:p>
    <w:p w14:paraId="3A0C9369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13</w:t>
      </w:r>
      <w:r w:rsidRPr="00E35B50">
        <w:rPr>
          <w:szCs w:val="22"/>
          <w:lang w:val="ru-RU"/>
        </w:rPr>
        <w:tab/>
        <w:t>Рабочий язык</w:t>
      </w:r>
    </w:p>
    <w:p w14:paraId="0F7FF352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Рабочим языком является английский язык.</w:t>
      </w:r>
    </w:p>
    <w:p w14:paraId="3AA651E7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14</w:t>
      </w:r>
      <w:r w:rsidRPr="00E35B50">
        <w:rPr>
          <w:szCs w:val="22"/>
          <w:lang w:val="ru-RU"/>
        </w:rPr>
        <w:tab/>
        <w:t>Утверждение результатов работы</w:t>
      </w:r>
    </w:p>
    <w:p w14:paraId="19A0DED7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Результаты работы будут утверждаться на основе консенсуса.</w:t>
      </w:r>
    </w:p>
    <w:p w14:paraId="4B91A25D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15</w:t>
      </w:r>
      <w:r w:rsidRPr="00E35B50">
        <w:rPr>
          <w:szCs w:val="22"/>
          <w:lang w:val="ru-RU"/>
        </w:rPr>
        <w:tab/>
        <w:t>Руководящие указания по работе</w:t>
      </w:r>
    </w:p>
    <w:p w14:paraId="2D0EB5D5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Рабочие процедуры должны соответствовать процедурам собраний групп Докладчиков.</w:t>
      </w:r>
    </w:p>
    <w:p w14:paraId="2862835F" w14:textId="71C8A4DF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 xml:space="preserve">ОГ будет на регулярной основе представлять своей основной исследовательской комиссии проекты итоговых документов и других конечных результатов, с тем чтобы обеспечить эффективную передачу результатов работы для оптимизации будущей стандартизации (см. Дополнение I к </w:t>
      </w:r>
      <w:r w:rsidR="00232640" w:rsidRPr="00E35B50">
        <w:rPr>
          <w:szCs w:val="22"/>
          <w:lang w:val="ru-RU"/>
        </w:rPr>
        <w:br/>
      </w:r>
      <w:r w:rsidRPr="00E35B50">
        <w:rPr>
          <w:szCs w:val="22"/>
          <w:lang w:val="ru-RU"/>
        </w:rPr>
        <w:t>Рекомендации МСЭ-Т A.7).</w:t>
      </w:r>
    </w:p>
    <w:p w14:paraId="6656A8EE" w14:textId="2E0CC538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На данном этапе не предусматривается каких-либо дополнительных руководящих указаний по</w:t>
      </w:r>
      <w:r w:rsidR="00232640" w:rsidRPr="00E35B50">
        <w:rPr>
          <w:szCs w:val="22"/>
          <w:lang w:val="ru-RU"/>
        </w:rPr>
        <w:t> </w:t>
      </w:r>
      <w:r w:rsidRPr="00E35B50">
        <w:rPr>
          <w:szCs w:val="22"/>
          <w:lang w:val="ru-RU"/>
        </w:rPr>
        <w:t>работе.</w:t>
      </w:r>
    </w:p>
    <w:p w14:paraId="259B8F00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16</w:t>
      </w:r>
      <w:r w:rsidRPr="00E35B50">
        <w:rPr>
          <w:szCs w:val="22"/>
          <w:lang w:val="ru-RU"/>
        </w:rPr>
        <w:tab/>
        <w:t>Отчеты о ходе работы</w:t>
      </w:r>
    </w:p>
    <w:p w14:paraId="5BC9B2FD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См. раздел 11 Рекомендации МСЭ-T A.7.</w:t>
      </w:r>
    </w:p>
    <w:p w14:paraId="63E47265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17</w:t>
      </w:r>
      <w:r w:rsidRPr="00E35B50">
        <w:rPr>
          <w:szCs w:val="22"/>
          <w:lang w:val="ru-RU"/>
        </w:rPr>
        <w:tab/>
        <w:t>Объявление о создании Оперативной группы</w:t>
      </w:r>
    </w:p>
    <w:p w14:paraId="4E056867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О создании Оперативной группы будет объявлено в циркулярном письме БСЭ, адресованном всем членам МСЭ, на веб-странице новостей МСЭ-Т Newslog, в пресс-релизах и с помощью других средств, включая переписку с другими заинтересованными организациями.</w:t>
      </w:r>
    </w:p>
    <w:p w14:paraId="40831DD8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18</w:t>
      </w:r>
      <w:r w:rsidRPr="00E35B50">
        <w:rPr>
          <w:szCs w:val="22"/>
          <w:lang w:val="ru-RU"/>
        </w:rPr>
        <w:tab/>
        <w:t>Основные этапы и продолжительность работы Оперативной группы</w:t>
      </w:r>
    </w:p>
    <w:p w14:paraId="011CCCED" w14:textId="361B6E81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Продолжительность работы Оперативной группы составляет один год после проведения первого собрания, но при необходимости может быть продлена по решению основной комиссии (см.</w:t>
      </w:r>
      <w:r w:rsidR="00232640" w:rsidRPr="00E35B50">
        <w:rPr>
          <w:szCs w:val="22"/>
          <w:lang w:val="ru-RU"/>
        </w:rPr>
        <w:t> </w:t>
      </w:r>
      <w:r w:rsidRPr="00E35B50">
        <w:rPr>
          <w:szCs w:val="22"/>
          <w:lang w:val="ru-RU"/>
        </w:rPr>
        <w:t>раздел</w:t>
      </w:r>
      <w:r w:rsidR="00232640" w:rsidRPr="00E35B50">
        <w:rPr>
          <w:szCs w:val="22"/>
          <w:lang w:val="ru-RU"/>
        </w:rPr>
        <w:t> </w:t>
      </w:r>
      <w:r w:rsidRPr="00E35B50">
        <w:rPr>
          <w:szCs w:val="22"/>
          <w:lang w:val="ru-RU"/>
        </w:rPr>
        <w:t>2.2 Рекомендации МСЭ-T A.7).</w:t>
      </w:r>
    </w:p>
    <w:p w14:paraId="48EE5153" w14:textId="77777777" w:rsidR="00C25B83" w:rsidRPr="00E35B50" w:rsidRDefault="00C25B83" w:rsidP="001672C7">
      <w:pPr>
        <w:pStyle w:val="Heading1"/>
        <w:rPr>
          <w:b w:val="0"/>
          <w:bCs w:val="0"/>
          <w:szCs w:val="22"/>
          <w:lang w:val="ru-RU"/>
        </w:rPr>
      </w:pPr>
      <w:r w:rsidRPr="00E35B50">
        <w:rPr>
          <w:szCs w:val="22"/>
          <w:lang w:val="ru-RU"/>
        </w:rPr>
        <w:t>19</w:t>
      </w:r>
      <w:r w:rsidRPr="00E35B50">
        <w:rPr>
          <w:szCs w:val="22"/>
          <w:lang w:val="ru-RU"/>
        </w:rPr>
        <w:tab/>
        <w:t>Патентная политика</w:t>
      </w:r>
    </w:p>
    <w:p w14:paraId="79B2C3F4" w14:textId="77777777" w:rsidR="00C25B83" w:rsidRPr="00E35B50" w:rsidRDefault="00C25B83" w:rsidP="00C25B83">
      <w:pPr>
        <w:jc w:val="left"/>
        <w:rPr>
          <w:szCs w:val="22"/>
          <w:lang w:val="ru-RU"/>
        </w:rPr>
      </w:pPr>
      <w:r w:rsidRPr="00E35B50">
        <w:rPr>
          <w:szCs w:val="22"/>
          <w:lang w:val="ru-RU"/>
        </w:rPr>
        <w:t>См. раздел 9 Рекомендации МСЭ-T A.7.</w:t>
      </w:r>
    </w:p>
    <w:p w14:paraId="2BA887C3" w14:textId="77777777" w:rsidR="001672C7" w:rsidRPr="00E35B50" w:rsidRDefault="001672C7" w:rsidP="001672C7">
      <w:pPr>
        <w:spacing w:before="720"/>
        <w:jc w:val="center"/>
        <w:rPr>
          <w:szCs w:val="22"/>
          <w:lang w:val="ru-RU"/>
        </w:rPr>
      </w:pPr>
      <w:r w:rsidRPr="00E35B50">
        <w:rPr>
          <w:szCs w:val="22"/>
          <w:lang w:val="ru-RU"/>
        </w:rPr>
        <w:t>______________</w:t>
      </w:r>
    </w:p>
    <w:sectPr w:rsidR="001672C7" w:rsidRPr="00E35B50" w:rsidSect="00E35B5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1134" w:bottom="1134" w:left="1134" w:header="567" w:footer="567" w:gutter="0"/>
      <w:pgNumType w:fmt="numberInDash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7C75" w14:textId="77777777" w:rsidR="005A74F7" w:rsidRDefault="005A74F7">
      <w:r>
        <w:separator/>
      </w:r>
    </w:p>
  </w:endnote>
  <w:endnote w:type="continuationSeparator" w:id="0">
    <w:p w14:paraId="03D81D14" w14:textId="77777777" w:rsidR="005A74F7" w:rsidRDefault="005A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7269" w14:textId="77777777" w:rsidR="00E35B50" w:rsidRDefault="00E35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80DE" w14:textId="77777777" w:rsidR="00E35B50" w:rsidRDefault="00E35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0C24" w14:textId="77777777" w:rsidR="007652F9" w:rsidRPr="00671514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2CA4" w14:textId="77777777" w:rsidR="005A74F7" w:rsidRDefault="005A74F7">
      <w:r>
        <w:separator/>
      </w:r>
    </w:p>
  </w:footnote>
  <w:footnote w:type="continuationSeparator" w:id="0">
    <w:p w14:paraId="5D211528" w14:textId="77777777" w:rsidR="005A74F7" w:rsidRDefault="005A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F205" w14:textId="77777777" w:rsidR="00E35B50" w:rsidRDefault="00E35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AE80" w14:textId="5F04CAA7" w:rsidR="00B54B88" w:rsidRDefault="008C351D">
    <w:pPr>
      <w:pStyle w:val="Header"/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54B88">
          <w:fldChar w:fldCharType="begin"/>
        </w:r>
        <w:r w:rsidR="00B54B88">
          <w:instrText xml:space="preserve"> PAGE   \* MERGEFORMAT </w:instrText>
        </w:r>
        <w:r w:rsidR="00B54B88">
          <w:fldChar w:fldCharType="separate"/>
        </w:r>
        <w:r w:rsidR="00DD68CA">
          <w:rPr>
            <w:noProof/>
          </w:rPr>
          <w:t>2</w:t>
        </w:r>
        <w:r w:rsidR="00B54B88">
          <w:rPr>
            <w:noProof/>
          </w:rPr>
          <w:fldChar w:fldCharType="end"/>
        </w:r>
      </w:sdtContent>
    </w:sdt>
    <w:r w:rsidR="004F39A1">
      <w:rPr>
        <w:noProof/>
      </w:rPr>
      <w:br/>
    </w:r>
    <w:r w:rsidR="004F39A1">
      <w:rPr>
        <w:noProof/>
        <w:lang w:val="ru-RU"/>
      </w:rPr>
      <w:t>Циркуляр 11</w:t>
    </w:r>
    <w:r w:rsidR="004F39A1">
      <w:rPr>
        <w:noProof/>
        <w:lang w:val="en-GB"/>
      </w:rPr>
      <w:t>5</w:t>
    </w:r>
    <w:r w:rsidR="004F39A1">
      <w:rPr>
        <w:noProof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324E" w14:textId="77777777" w:rsidR="00E35B50" w:rsidRDefault="00E35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232"/>
    <w:multiLevelType w:val="multilevel"/>
    <w:tmpl w:val="67B88C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E913D6"/>
    <w:multiLevelType w:val="multilevel"/>
    <w:tmpl w:val="37FAE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83E7C"/>
    <w:multiLevelType w:val="multilevel"/>
    <w:tmpl w:val="96CA7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A27213"/>
    <w:multiLevelType w:val="multilevel"/>
    <w:tmpl w:val="46467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373FB"/>
    <w:multiLevelType w:val="multilevel"/>
    <w:tmpl w:val="626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00291"/>
    <w:multiLevelType w:val="multilevel"/>
    <w:tmpl w:val="43903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812C8"/>
    <w:multiLevelType w:val="multilevel"/>
    <w:tmpl w:val="8384C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94393"/>
    <w:multiLevelType w:val="multilevel"/>
    <w:tmpl w:val="60B4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D6887"/>
    <w:multiLevelType w:val="multilevel"/>
    <w:tmpl w:val="A44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137C95"/>
    <w:multiLevelType w:val="multilevel"/>
    <w:tmpl w:val="70281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CFE2CC7"/>
    <w:multiLevelType w:val="multilevel"/>
    <w:tmpl w:val="02FA9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2560DAD"/>
    <w:multiLevelType w:val="multilevel"/>
    <w:tmpl w:val="AC26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8C3C8E"/>
    <w:multiLevelType w:val="multilevel"/>
    <w:tmpl w:val="BA1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8E1929"/>
    <w:multiLevelType w:val="multilevel"/>
    <w:tmpl w:val="D3143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471F8"/>
    <w:multiLevelType w:val="multilevel"/>
    <w:tmpl w:val="ECDC4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5724E"/>
    <w:multiLevelType w:val="multilevel"/>
    <w:tmpl w:val="D5C81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58850C4"/>
    <w:multiLevelType w:val="multilevel"/>
    <w:tmpl w:val="65D2A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E92BDF"/>
    <w:multiLevelType w:val="multilevel"/>
    <w:tmpl w:val="B0BE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1481F"/>
    <w:multiLevelType w:val="multilevel"/>
    <w:tmpl w:val="1F160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D4E93"/>
    <w:multiLevelType w:val="multilevel"/>
    <w:tmpl w:val="5F5E0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CA0340"/>
    <w:multiLevelType w:val="multilevel"/>
    <w:tmpl w:val="D81C4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5F6D89"/>
    <w:multiLevelType w:val="multilevel"/>
    <w:tmpl w:val="F314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37A55"/>
    <w:multiLevelType w:val="multilevel"/>
    <w:tmpl w:val="C25A9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53413196">
    <w:abstractNumId w:val="21"/>
  </w:num>
  <w:num w:numId="2" w16cid:durableId="1641957388">
    <w:abstractNumId w:val="3"/>
  </w:num>
  <w:num w:numId="3" w16cid:durableId="1247612179">
    <w:abstractNumId w:val="6"/>
  </w:num>
  <w:num w:numId="4" w16cid:durableId="957571003">
    <w:abstractNumId w:val="14"/>
  </w:num>
  <w:num w:numId="5" w16cid:durableId="1253586376">
    <w:abstractNumId w:val="13"/>
  </w:num>
  <w:num w:numId="6" w16cid:durableId="119108897">
    <w:abstractNumId w:val="19"/>
  </w:num>
  <w:num w:numId="7" w16cid:durableId="1315718971">
    <w:abstractNumId w:val="18"/>
  </w:num>
  <w:num w:numId="8" w16cid:durableId="1598363747">
    <w:abstractNumId w:val="16"/>
  </w:num>
  <w:num w:numId="9" w16cid:durableId="1021132100">
    <w:abstractNumId w:val="8"/>
  </w:num>
  <w:num w:numId="10" w16cid:durableId="254939368">
    <w:abstractNumId w:val="10"/>
  </w:num>
  <w:num w:numId="11" w16cid:durableId="964307715">
    <w:abstractNumId w:val="9"/>
  </w:num>
  <w:num w:numId="12" w16cid:durableId="1554848562">
    <w:abstractNumId w:val="11"/>
  </w:num>
  <w:num w:numId="13" w16cid:durableId="136918982">
    <w:abstractNumId w:val="15"/>
  </w:num>
  <w:num w:numId="14" w16cid:durableId="1805810344">
    <w:abstractNumId w:val="0"/>
  </w:num>
  <w:num w:numId="15" w16cid:durableId="1628967042">
    <w:abstractNumId w:val="12"/>
  </w:num>
  <w:num w:numId="16" w16cid:durableId="254705325">
    <w:abstractNumId w:val="2"/>
  </w:num>
  <w:num w:numId="17" w16cid:durableId="1985697256">
    <w:abstractNumId w:val="4"/>
  </w:num>
  <w:num w:numId="18" w16cid:durableId="2047487363">
    <w:abstractNumId w:val="22"/>
  </w:num>
  <w:num w:numId="19" w16cid:durableId="728187406">
    <w:abstractNumId w:val="17"/>
  </w:num>
  <w:num w:numId="20" w16cid:durableId="1730768477">
    <w:abstractNumId w:val="7"/>
  </w:num>
  <w:num w:numId="21" w16cid:durableId="1140155176">
    <w:abstractNumId w:val="5"/>
  </w:num>
  <w:num w:numId="22" w16cid:durableId="1064328153">
    <w:abstractNumId w:val="1"/>
  </w:num>
  <w:num w:numId="23" w16cid:durableId="173527293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83"/>
    <w:rsid w:val="00012C4F"/>
    <w:rsid w:val="000165B7"/>
    <w:rsid w:val="00022027"/>
    <w:rsid w:val="00024565"/>
    <w:rsid w:val="0003235D"/>
    <w:rsid w:val="00082B7B"/>
    <w:rsid w:val="00095EA0"/>
    <w:rsid w:val="000C2147"/>
    <w:rsid w:val="000C7D98"/>
    <w:rsid w:val="000E2E76"/>
    <w:rsid w:val="00103310"/>
    <w:rsid w:val="00115B49"/>
    <w:rsid w:val="001626BA"/>
    <w:rsid w:val="001629DC"/>
    <w:rsid w:val="001672C7"/>
    <w:rsid w:val="001B4A74"/>
    <w:rsid w:val="001D261C"/>
    <w:rsid w:val="00207341"/>
    <w:rsid w:val="00232640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A0E6F"/>
    <w:rsid w:val="003F5B77"/>
    <w:rsid w:val="00415128"/>
    <w:rsid w:val="004167E6"/>
    <w:rsid w:val="0041688E"/>
    <w:rsid w:val="00444B73"/>
    <w:rsid w:val="00455EFA"/>
    <w:rsid w:val="00460150"/>
    <w:rsid w:val="004650C7"/>
    <w:rsid w:val="00475A27"/>
    <w:rsid w:val="00495F13"/>
    <w:rsid w:val="004A0D07"/>
    <w:rsid w:val="004C5268"/>
    <w:rsid w:val="004E01AE"/>
    <w:rsid w:val="004F39A1"/>
    <w:rsid w:val="004F48F0"/>
    <w:rsid w:val="00514426"/>
    <w:rsid w:val="005A74F7"/>
    <w:rsid w:val="005D044D"/>
    <w:rsid w:val="005D271B"/>
    <w:rsid w:val="005E616E"/>
    <w:rsid w:val="005F761F"/>
    <w:rsid w:val="006139B2"/>
    <w:rsid w:val="00625BAF"/>
    <w:rsid w:val="00636D90"/>
    <w:rsid w:val="00671514"/>
    <w:rsid w:val="006777D5"/>
    <w:rsid w:val="006E5691"/>
    <w:rsid w:val="006F1984"/>
    <w:rsid w:val="00701561"/>
    <w:rsid w:val="0071361F"/>
    <w:rsid w:val="00717255"/>
    <w:rsid w:val="0072783D"/>
    <w:rsid w:val="0073537C"/>
    <w:rsid w:val="00741C5B"/>
    <w:rsid w:val="0074299E"/>
    <w:rsid w:val="00753F18"/>
    <w:rsid w:val="00763FF3"/>
    <w:rsid w:val="007652F9"/>
    <w:rsid w:val="007752C4"/>
    <w:rsid w:val="0079397B"/>
    <w:rsid w:val="007D0BFA"/>
    <w:rsid w:val="00803BC4"/>
    <w:rsid w:val="00826CB4"/>
    <w:rsid w:val="00831FDC"/>
    <w:rsid w:val="00832A5A"/>
    <w:rsid w:val="00847FBC"/>
    <w:rsid w:val="00867192"/>
    <w:rsid w:val="00871131"/>
    <w:rsid w:val="008863B5"/>
    <w:rsid w:val="008C351D"/>
    <w:rsid w:val="008C5C0E"/>
    <w:rsid w:val="008C7044"/>
    <w:rsid w:val="008E0925"/>
    <w:rsid w:val="00904120"/>
    <w:rsid w:val="009166E1"/>
    <w:rsid w:val="009344BF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7045E"/>
    <w:rsid w:val="00A815B6"/>
    <w:rsid w:val="00A8170F"/>
    <w:rsid w:val="00A91EB5"/>
    <w:rsid w:val="00AC4AD7"/>
    <w:rsid w:val="00AD3D11"/>
    <w:rsid w:val="00AF19CE"/>
    <w:rsid w:val="00AF2B53"/>
    <w:rsid w:val="00B217D0"/>
    <w:rsid w:val="00B34D84"/>
    <w:rsid w:val="00B54B88"/>
    <w:rsid w:val="00BC33B4"/>
    <w:rsid w:val="00C22D6C"/>
    <w:rsid w:val="00C25B83"/>
    <w:rsid w:val="00C43C36"/>
    <w:rsid w:val="00C60E38"/>
    <w:rsid w:val="00C623F1"/>
    <w:rsid w:val="00C70D96"/>
    <w:rsid w:val="00CA7B14"/>
    <w:rsid w:val="00CC2255"/>
    <w:rsid w:val="00D040F2"/>
    <w:rsid w:val="00D407BA"/>
    <w:rsid w:val="00D47122"/>
    <w:rsid w:val="00D83022"/>
    <w:rsid w:val="00D911F5"/>
    <w:rsid w:val="00DA1127"/>
    <w:rsid w:val="00DC6716"/>
    <w:rsid w:val="00DD2CE8"/>
    <w:rsid w:val="00DD68CA"/>
    <w:rsid w:val="00DE5455"/>
    <w:rsid w:val="00DF012B"/>
    <w:rsid w:val="00DF109B"/>
    <w:rsid w:val="00E03468"/>
    <w:rsid w:val="00E07386"/>
    <w:rsid w:val="00E14A1A"/>
    <w:rsid w:val="00E17F1A"/>
    <w:rsid w:val="00E35B50"/>
    <w:rsid w:val="00E45C46"/>
    <w:rsid w:val="00E645B4"/>
    <w:rsid w:val="00EC5E44"/>
    <w:rsid w:val="00EF1CDA"/>
    <w:rsid w:val="00EF273F"/>
    <w:rsid w:val="00F1219B"/>
    <w:rsid w:val="00F15118"/>
    <w:rsid w:val="00F205F5"/>
    <w:rsid w:val="00F547E0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02726"/>
  <w15:docId w15:val="{A768CBFC-11F0-4965-A07A-DFF4B0A9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9A1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672C7"/>
    <w:pPr>
      <w:keepNext/>
      <w:jc w:val="left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1672C7"/>
    <w:pPr>
      <w:keepNext/>
      <w:widowControl w:val="0"/>
      <w:autoSpaceDE w:val="0"/>
      <w:autoSpaceDN w:val="0"/>
      <w:adjustRightInd w:val="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F39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Tabletext0">
    <w:name w:val="Table_text"/>
    <w:basedOn w:val="Normal"/>
    <w:rsid w:val="00C25B8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SimSun" w:hAnsi="Calibri"/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B217D0"/>
    <w:pPr>
      <w:tabs>
        <w:tab w:val="clear" w:pos="1191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eastAsia="SimSun" w:hAnsi="Calibri"/>
      <w:szCs w:val="20"/>
      <w:lang w:val="en-GB"/>
    </w:rPr>
  </w:style>
  <w:style w:type="table" w:styleId="TableGrid">
    <w:name w:val="Table Grid"/>
    <w:basedOn w:val="TableNormal"/>
    <w:uiPriority w:val="59"/>
    <w:rsid w:val="00C25B83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5B83"/>
    <w:pPr>
      <w:tabs>
        <w:tab w:val="clear" w:pos="794"/>
        <w:tab w:val="clear" w:pos="1191"/>
        <w:tab w:val="clear" w:pos="1588"/>
        <w:tab w:val="clear" w:pos="1985"/>
      </w:tabs>
      <w:ind w:leftChars="400" w:left="840"/>
    </w:pPr>
    <w:rPr>
      <w:rFonts w:ascii="Times New Roman" w:eastAsiaTheme="minorEastAsia" w:hAnsi="Times New Roman"/>
      <w:sz w:val="24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5B83"/>
    <w:rPr>
      <w:rFonts w:eastAsiaTheme="minorEastAsia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B217D0"/>
    <w:rPr>
      <w:rFonts w:ascii="Calibri" w:eastAsia="SimSun" w:hAnsi="Calibri"/>
      <w:sz w:val="22"/>
      <w:lang w:val="en-GB" w:eastAsia="en-US"/>
    </w:rPr>
  </w:style>
  <w:style w:type="paragraph" w:customStyle="1" w:styleId="AnnexNotitle">
    <w:name w:val="Annex_No &amp; title"/>
    <w:basedOn w:val="Normal"/>
    <w:next w:val="Normal"/>
    <w:rsid w:val="00C25B8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672C7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1672C7"/>
    <w:pPr>
      <w:keepLines/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160" w:line="259" w:lineRule="auto"/>
      <w:jc w:val="left"/>
      <w:outlineLvl w:val="9"/>
    </w:pPr>
    <w:rPr>
      <w:rFonts w:ascii="Calibri" w:eastAsiaTheme="minorHAnsi" w:hAnsi="Calibri" w:cstheme="minorBidi"/>
      <w:bCs w:val="0"/>
      <w:kern w:val="2"/>
      <w:sz w:val="22"/>
      <w:szCs w:val="22"/>
      <w:lang w:val="ru-RU"/>
      <w14:ligatures w14:val="standardContextual"/>
    </w:rPr>
  </w:style>
  <w:style w:type="paragraph" w:customStyle="1" w:styleId="Reasons">
    <w:name w:val="Reasons"/>
    <w:basedOn w:val="Normal"/>
    <w:qFormat/>
    <w:rsid w:val="001672C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4"/>
      <w:szCs w:val="20"/>
    </w:rPr>
  </w:style>
  <w:style w:type="paragraph" w:customStyle="1" w:styleId="enumlev2">
    <w:name w:val="enumlev2"/>
    <w:basedOn w:val="enumlev1"/>
    <w:rsid w:val="00C43C36"/>
    <w:pPr>
      <w:tabs>
        <w:tab w:val="left" w:pos="2608"/>
        <w:tab w:val="left" w:pos="3345"/>
      </w:tabs>
      <w:ind w:left="1191" w:hanging="397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rec/T-REC-A.7" TargetMode="External"/><Relationship Id="rId18" Type="http://schemas.openxmlformats.org/officeDocument/2006/relationships/hyperlink" Target="http://www.itu.int/go/fgcd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tsbfgcd@itu.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cd/Pages/mailing-lists.aspx" TargetMode="External"/><Relationship Id="rId17" Type="http://schemas.openxmlformats.org/officeDocument/2006/relationships/hyperlink" Target="http://www.itu.int/go/fgcd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cd" TargetMode="External"/><Relationship Id="rId20" Type="http://schemas.openxmlformats.org/officeDocument/2006/relationships/hyperlink" Target="http://www.itu.int/go/fgcd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cd" TargetMode="Externa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sbfgmv@itu.int" TargetMode="External"/><Relationship Id="rId23" Type="http://schemas.openxmlformats.org/officeDocument/2006/relationships/hyperlink" Target="https://www.itu.int/net4/CRM/xreg/web/Registration.aspx?Event=C-00012894" TargetMode="External"/><Relationship Id="rId28" Type="http://schemas.openxmlformats.org/officeDocument/2006/relationships/footer" Target="footer2.xml"/><Relationship Id="rId10" Type="http://schemas.openxmlformats.org/officeDocument/2006/relationships/hyperlink" Target="mailto:tsbfgcd@itu.int" TargetMode="External"/><Relationship Id="rId19" Type="http://schemas.openxmlformats.org/officeDocument/2006/relationships/hyperlink" Target="http://www.itu.int/go/fgc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itu.int/go/WS_FGCD_01" TargetMode="External"/><Relationship Id="rId22" Type="http://schemas.openxmlformats.org/officeDocument/2006/relationships/hyperlink" Target="http://www.itu.int/go/fgcd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694D-5A4A-4CE3-A190-2CC96F6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46</TotalTime>
  <Pages>8</Pages>
  <Words>2560</Words>
  <Characters>19366</Characters>
  <Application>Microsoft Office Word</Application>
  <DocSecurity>0</DocSecurity>
  <Lines>161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21883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Sikacheva, Violetta</dc:creator>
  <cp:lastModifiedBy>Braud, Olivia</cp:lastModifiedBy>
  <cp:revision>17</cp:revision>
  <cp:lastPrinted>2023-07-27T13:01:00Z</cp:lastPrinted>
  <dcterms:created xsi:type="dcterms:W3CDTF">2023-07-25T07:52:00Z</dcterms:created>
  <dcterms:modified xsi:type="dcterms:W3CDTF">2023-07-27T13:02:00Z</dcterms:modified>
</cp:coreProperties>
</file>