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Ind w:w="8" w:type="dxa"/>
        <w:tblLayout w:type="fixed"/>
        <w:tblCellMar>
          <w:left w:w="0" w:type="dxa"/>
          <w:right w:w="0" w:type="dxa"/>
        </w:tblCellMar>
        <w:tblLook w:val="0000" w:firstRow="0" w:lastRow="0" w:firstColumn="0" w:lastColumn="0" w:noHBand="0" w:noVBand="0"/>
      </w:tblPr>
      <w:tblGrid>
        <w:gridCol w:w="993"/>
        <w:gridCol w:w="417"/>
        <w:gridCol w:w="3467"/>
        <w:gridCol w:w="5038"/>
      </w:tblGrid>
      <w:tr w:rsidR="007B6316" w14:paraId="6E293DEB" w14:textId="77777777" w:rsidTr="00B52F0F">
        <w:trPr>
          <w:cantSplit/>
          <w:trHeight w:val="340"/>
        </w:trPr>
        <w:tc>
          <w:tcPr>
            <w:tcW w:w="1410" w:type="dxa"/>
            <w:gridSpan w:val="2"/>
          </w:tcPr>
          <w:p w14:paraId="700EDD4D" w14:textId="77777777" w:rsidR="007B6316" w:rsidRDefault="007B6316" w:rsidP="00303D62">
            <w:pPr>
              <w:tabs>
                <w:tab w:val="left" w:pos="4111"/>
              </w:tabs>
              <w:spacing w:before="10"/>
              <w:ind w:left="57"/>
              <w:rPr>
                <w:sz w:val="22"/>
              </w:rPr>
            </w:pPr>
            <w:r w:rsidRPr="00F1238A">
              <w:rPr>
                <w:noProof/>
                <w:lang w:val="en-US"/>
              </w:rPr>
              <w:drawing>
                <wp:inline distT="0" distB="0" distL="0" distR="0" wp14:anchorId="7ABFBB18" wp14:editId="28797D8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505" w:type="dxa"/>
            <w:gridSpan w:val="2"/>
            <w:vAlign w:val="center"/>
          </w:tcPr>
          <w:p w14:paraId="054CBA87"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B9C81B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355886" w14:paraId="0649D4F0" w14:textId="77777777" w:rsidTr="00B52F0F">
        <w:trPr>
          <w:cantSplit/>
          <w:trHeight w:val="340"/>
        </w:trPr>
        <w:tc>
          <w:tcPr>
            <w:tcW w:w="993" w:type="dxa"/>
          </w:tcPr>
          <w:p w14:paraId="3F3944B3" w14:textId="77777777" w:rsidR="007B6316" w:rsidRPr="00355886" w:rsidRDefault="007B6316" w:rsidP="00303D62">
            <w:pPr>
              <w:tabs>
                <w:tab w:val="left" w:pos="4111"/>
              </w:tabs>
              <w:spacing w:before="10"/>
              <w:ind w:left="57"/>
              <w:rPr>
                <w:b/>
                <w:bCs/>
                <w:sz w:val="22"/>
                <w:szCs w:val="22"/>
              </w:rPr>
            </w:pPr>
          </w:p>
        </w:tc>
        <w:tc>
          <w:tcPr>
            <w:tcW w:w="3884" w:type="dxa"/>
            <w:gridSpan w:val="2"/>
          </w:tcPr>
          <w:p w14:paraId="130D6943" w14:textId="77777777" w:rsidR="007B6316" w:rsidRPr="00355886" w:rsidRDefault="007B6316" w:rsidP="00303D62">
            <w:pPr>
              <w:tabs>
                <w:tab w:val="left" w:pos="4111"/>
              </w:tabs>
              <w:spacing w:before="0"/>
              <w:ind w:left="57"/>
              <w:rPr>
                <w:b/>
                <w:sz w:val="22"/>
                <w:szCs w:val="22"/>
              </w:rPr>
            </w:pPr>
          </w:p>
        </w:tc>
        <w:tc>
          <w:tcPr>
            <w:tcW w:w="5038" w:type="dxa"/>
          </w:tcPr>
          <w:p w14:paraId="048BE7D7" w14:textId="32215E4D" w:rsidR="007B6316" w:rsidRPr="00355886" w:rsidRDefault="007B6316" w:rsidP="007B6316">
            <w:pPr>
              <w:tabs>
                <w:tab w:val="clear" w:pos="794"/>
                <w:tab w:val="clear" w:pos="1191"/>
                <w:tab w:val="clear" w:pos="1588"/>
                <w:tab w:val="clear" w:pos="1985"/>
                <w:tab w:val="left" w:pos="284"/>
              </w:tabs>
              <w:spacing w:after="120"/>
              <w:ind w:left="284" w:hanging="227"/>
              <w:rPr>
                <w:sz w:val="22"/>
                <w:szCs w:val="22"/>
              </w:rPr>
            </w:pPr>
            <w:r w:rsidRPr="00355886">
              <w:rPr>
                <w:sz w:val="22"/>
                <w:szCs w:val="22"/>
              </w:rPr>
              <w:t>Ginebra,</w:t>
            </w:r>
            <w:r w:rsidR="007D6E44" w:rsidRPr="00355886">
              <w:rPr>
                <w:sz w:val="22"/>
                <w:szCs w:val="22"/>
              </w:rPr>
              <w:t xml:space="preserve"> 28 de junio de 2023</w:t>
            </w:r>
          </w:p>
        </w:tc>
      </w:tr>
      <w:tr w:rsidR="001350B9" w:rsidRPr="00355886" w14:paraId="40942F1D" w14:textId="77777777" w:rsidTr="00B52F0F">
        <w:trPr>
          <w:cantSplit/>
          <w:trHeight w:val="340"/>
        </w:trPr>
        <w:tc>
          <w:tcPr>
            <w:tcW w:w="993" w:type="dxa"/>
          </w:tcPr>
          <w:p w14:paraId="597AA6A5" w14:textId="77777777" w:rsidR="001350B9" w:rsidRPr="00355886" w:rsidRDefault="001350B9" w:rsidP="00303D62">
            <w:pPr>
              <w:tabs>
                <w:tab w:val="left" w:pos="4111"/>
              </w:tabs>
              <w:spacing w:before="10"/>
              <w:ind w:left="57"/>
              <w:rPr>
                <w:sz w:val="22"/>
                <w:szCs w:val="22"/>
              </w:rPr>
            </w:pPr>
            <w:r w:rsidRPr="00355886">
              <w:rPr>
                <w:sz w:val="22"/>
                <w:szCs w:val="22"/>
              </w:rPr>
              <w:t>Ref.:</w:t>
            </w:r>
          </w:p>
          <w:p w14:paraId="5157EF44" w14:textId="77777777" w:rsidR="001350B9" w:rsidRPr="00355886" w:rsidRDefault="001350B9" w:rsidP="007B6316">
            <w:pPr>
              <w:tabs>
                <w:tab w:val="left" w:pos="4111"/>
              </w:tabs>
              <w:spacing w:before="10"/>
              <w:ind w:left="57"/>
              <w:rPr>
                <w:sz w:val="22"/>
                <w:szCs w:val="22"/>
              </w:rPr>
            </w:pPr>
          </w:p>
        </w:tc>
        <w:tc>
          <w:tcPr>
            <w:tcW w:w="3884" w:type="dxa"/>
            <w:gridSpan w:val="2"/>
          </w:tcPr>
          <w:p w14:paraId="7B3FEF39" w14:textId="6242DD1A" w:rsidR="001350B9" w:rsidRPr="00355886" w:rsidRDefault="001350B9" w:rsidP="00303D62">
            <w:pPr>
              <w:tabs>
                <w:tab w:val="left" w:pos="4111"/>
              </w:tabs>
              <w:spacing w:before="0"/>
              <w:ind w:left="57"/>
              <w:rPr>
                <w:b/>
                <w:sz w:val="22"/>
                <w:szCs w:val="22"/>
              </w:rPr>
            </w:pPr>
            <w:r w:rsidRPr="00355886">
              <w:rPr>
                <w:b/>
                <w:sz w:val="22"/>
                <w:szCs w:val="22"/>
              </w:rPr>
              <w:t xml:space="preserve">Circular TSB </w:t>
            </w:r>
            <w:r w:rsidR="007D6E44" w:rsidRPr="00355886">
              <w:rPr>
                <w:b/>
                <w:sz w:val="22"/>
                <w:szCs w:val="22"/>
              </w:rPr>
              <w:t>114</w:t>
            </w:r>
          </w:p>
          <w:p w14:paraId="55FB69FD" w14:textId="77777777" w:rsidR="007D6E44" w:rsidRPr="00355886" w:rsidRDefault="007D6E44" w:rsidP="00303D62">
            <w:pPr>
              <w:tabs>
                <w:tab w:val="left" w:pos="4111"/>
              </w:tabs>
              <w:spacing w:before="0"/>
              <w:ind w:left="57"/>
              <w:rPr>
                <w:bCs/>
                <w:sz w:val="22"/>
                <w:szCs w:val="22"/>
              </w:rPr>
            </w:pPr>
          </w:p>
          <w:p w14:paraId="23C871D1" w14:textId="77777777" w:rsidR="007D6E44" w:rsidRPr="00355886" w:rsidRDefault="007D6E44" w:rsidP="00303D62">
            <w:pPr>
              <w:tabs>
                <w:tab w:val="left" w:pos="4111"/>
              </w:tabs>
              <w:spacing w:before="0"/>
              <w:ind w:left="57"/>
              <w:rPr>
                <w:bCs/>
                <w:sz w:val="22"/>
                <w:szCs w:val="22"/>
              </w:rPr>
            </w:pPr>
          </w:p>
          <w:p w14:paraId="5EC94901" w14:textId="77777777" w:rsidR="001350B9" w:rsidRPr="00355886" w:rsidRDefault="001350B9" w:rsidP="007B6316">
            <w:pPr>
              <w:tabs>
                <w:tab w:val="left" w:pos="4111"/>
              </w:tabs>
              <w:spacing w:before="0"/>
              <w:ind w:left="57"/>
              <w:rPr>
                <w:sz w:val="22"/>
                <w:szCs w:val="22"/>
              </w:rPr>
            </w:pPr>
          </w:p>
        </w:tc>
        <w:tc>
          <w:tcPr>
            <w:tcW w:w="5038" w:type="dxa"/>
            <w:vMerge w:val="restart"/>
          </w:tcPr>
          <w:p w14:paraId="209B9466" w14:textId="77777777" w:rsidR="007D6E44" w:rsidRPr="00355886" w:rsidRDefault="007D6E44"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355886">
              <w:rPr>
                <w:sz w:val="22"/>
                <w:szCs w:val="22"/>
              </w:rPr>
              <w:t>A:</w:t>
            </w:r>
          </w:p>
          <w:p w14:paraId="6B028965" w14:textId="048A0D4A" w:rsidR="001350B9" w:rsidRPr="00355886" w:rsidRDefault="007D6E44" w:rsidP="00303D62">
            <w:pPr>
              <w:tabs>
                <w:tab w:val="clear" w:pos="794"/>
                <w:tab w:val="clear" w:pos="1191"/>
                <w:tab w:val="clear" w:pos="1588"/>
                <w:tab w:val="clear" w:pos="1985"/>
                <w:tab w:val="left" w:pos="284"/>
              </w:tabs>
              <w:spacing w:before="0"/>
              <w:ind w:left="284" w:hanging="227"/>
              <w:rPr>
                <w:sz w:val="22"/>
                <w:szCs w:val="22"/>
              </w:rPr>
            </w:pPr>
            <w:r w:rsidRPr="00355886">
              <w:rPr>
                <w:sz w:val="22"/>
                <w:szCs w:val="22"/>
              </w:rPr>
              <w:t>–</w:t>
            </w:r>
            <w:r w:rsidR="001350B9" w:rsidRPr="00355886">
              <w:rPr>
                <w:sz w:val="22"/>
                <w:szCs w:val="22"/>
              </w:rPr>
              <w:tab/>
              <w:t>las Administraciones de los Estados Miembros de la Unión</w:t>
            </w:r>
          </w:p>
          <w:p w14:paraId="3C59B0BB" w14:textId="54DCD05E" w:rsidR="001350B9" w:rsidRPr="00355886" w:rsidRDefault="007D6E44" w:rsidP="00303D62">
            <w:pPr>
              <w:tabs>
                <w:tab w:val="clear" w:pos="794"/>
                <w:tab w:val="left" w:pos="226"/>
                <w:tab w:val="left" w:pos="4111"/>
              </w:tabs>
              <w:spacing w:before="0"/>
              <w:rPr>
                <w:sz w:val="22"/>
                <w:szCs w:val="22"/>
              </w:rPr>
            </w:pPr>
            <w:r w:rsidRPr="00355886">
              <w:rPr>
                <w:sz w:val="22"/>
                <w:szCs w:val="22"/>
              </w:rPr>
              <w:t>–</w:t>
            </w:r>
            <w:r w:rsidRPr="00355886">
              <w:rPr>
                <w:sz w:val="22"/>
                <w:szCs w:val="22"/>
              </w:rPr>
              <w:tab/>
            </w:r>
            <w:r w:rsidR="001350B9" w:rsidRPr="00355886">
              <w:rPr>
                <w:sz w:val="22"/>
                <w:szCs w:val="22"/>
              </w:rPr>
              <w:t>los Miembros del Sector UIT</w:t>
            </w:r>
            <w:r w:rsidR="001350B9" w:rsidRPr="00355886">
              <w:rPr>
                <w:sz w:val="22"/>
                <w:szCs w:val="22"/>
              </w:rPr>
              <w:noBreakHyphen/>
              <w:t>T;</w:t>
            </w:r>
          </w:p>
          <w:p w14:paraId="57DDC0B6" w14:textId="70E491C1" w:rsidR="001350B9" w:rsidRPr="00355886" w:rsidRDefault="007D6E44" w:rsidP="00303D62">
            <w:pPr>
              <w:tabs>
                <w:tab w:val="clear" w:pos="794"/>
                <w:tab w:val="left" w:pos="226"/>
                <w:tab w:val="left" w:pos="4111"/>
              </w:tabs>
              <w:spacing w:before="0"/>
              <w:rPr>
                <w:sz w:val="22"/>
                <w:szCs w:val="22"/>
              </w:rPr>
            </w:pPr>
            <w:r w:rsidRPr="00355886">
              <w:rPr>
                <w:sz w:val="22"/>
                <w:szCs w:val="22"/>
              </w:rPr>
              <w:t>–</w:t>
            </w:r>
            <w:r w:rsidRPr="00355886">
              <w:rPr>
                <w:sz w:val="22"/>
                <w:szCs w:val="22"/>
              </w:rPr>
              <w:tab/>
            </w:r>
            <w:r w:rsidR="001350B9" w:rsidRPr="00355886">
              <w:rPr>
                <w:sz w:val="22"/>
                <w:szCs w:val="22"/>
              </w:rPr>
              <w:t>los Asociados del UIT</w:t>
            </w:r>
            <w:r w:rsidR="001350B9" w:rsidRPr="00355886">
              <w:rPr>
                <w:sz w:val="22"/>
                <w:szCs w:val="22"/>
              </w:rPr>
              <w:noBreakHyphen/>
              <w:t>T;</w:t>
            </w:r>
          </w:p>
          <w:p w14:paraId="7136EA98" w14:textId="3C0E7CDB" w:rsidR="001350B9" w:rsidRPr="00355886" w:rsidRDefault="007D6E44" w:rsidP="00303D62">
            <w:pPr>
              <w:tabs>
                <w:tab w:val="clear" w:pos="794"/>
                <w:tab w:val="left" w:pos="226"/>
                <w:tab w:val="left" w:pos="4111"/>
              </w:tabs>
              <w:spacing w:before="0"/>
              <w:rPr>
                <w:sz w:val="22"/>
                <w:szCs w:val="22"/>
              </w:rPr>
            </w:pPr>
            <w:r w:rsidRPr="00355886">
              <w:rPr>
                <w:sz w:val="22"/>
                <w:szCs w:val="22"/>
              </w:rPr>
              <w:t>–</w:t>
            </w:r>
            <w:r w:rsidRPr="00355886">
              <w:rPr>
                <w:sz w:val="22"/>
                <w:szCs w:val="22"/>
              </w:rPr>
              <w:tab/>
            </w:r>
            <w:r w:rsidR="001350B9" w:rsidRPr="00355886">
              <w:rPr>
                <w:sz w:val="22"/>
                <w:szCs w:val="22"/>
              </w:rPr>
              <w:t>las Instituciones Académicas del UIT-T;</w:t>
            </w:r>
          </w:p>
          <w:p w14:paraId="036250E2" w14:textId="0121F73F" w:rsidR="007D6E44" w:rsidRPr="00355886" w:rsidRDefault="007D6E44" w:rsidP="00303D62">
            <w:pPr>
              <w:tabs>
                <w:tab w:val="left" w:pos="226"/>
                <w:tab w:val="left" w:pos="4111"/>
              </w:tabs>
              <w:spacing w:before="0"/>
              <w:ind w:left="226" w:hanging="226"/>
              <w:rPr>
                <w:b/>
                <w:bCs/>
                <w:sz w:val="22"/>
                <w:szCs w:val="22"/>
              </w:rPr>
            </w:pPr>
            <w:r w:rsidRPr="00355886">
              <w:rPr>
                <w:b/>
                <w:bCs/>
                <w:sz w:val="22"/>
                <w:szCs w:val="22"/>
              </w:rPr>
              <w:t>Copia a:</w:t>
            </w:r>
          </w:p>
          <w:p w14:paraId="62D2B94F" w14:textId="7CD318DA" w:rsidR="001350B9" w:rsidRPr="00355886" w:rsidRDefault="007D6E44" w:rsidP="00303D62">
            <w:pPr>
              <w:tabs>
                <w:tab w:val="left" w:pos="226"/>
                <w:tab w:val="left" w:pos="4111"/>
              </w:tabs>
              <w:spacing w:before="0"/>
              <w:ind w:left="226" w:hanging="226"/>
              <w:rPr>
                <w:sz w:val="22"/>
                <w:szCs w:val="22"/>
              </w:rPr>
            </w:pPr>
            <w:r w:rsidRPr="00355886">
              <w:rPr>
                <w:sz w:val="22"/>
                <w:szCs w:val="22"/>
              </w:rPr>
              <w:t>–</w:t>
            </w:r>
            <w:r w:rsidRPr="00355886">
              <w:rPr>
                <w:sz w:val="22"/>
                <w:szCs w:val="22"/>
              </w:rPr>
              <w:tab/>
            </w:r>
            <w:proofErr w:type="gramStart"/>
            <w:r w:rsidR="001350B9" w:rsidRPr="00355886">
              <w:rPr>
                <w:sz w:val="22"/>
                <w:szCs w:val="22"/>
              </w:rPr>
              <w:t>Presidente</w:t>
            </w:r>
            <w:proofErr w:type="gramEnd"/>
            <w:r w:rsidR="001350B9" w:rsidRPr="00355886">
              <w:rPr>
                <w:sz w:val="22"/>
                <w:szCs w:val="22"/>
              </w:rPr>
              <w:t xml:space="preserve"> y a los Vicepresidentes de la</w:t>
            </w:r>
            <w:r w:rsidR="001350B9" w:rsidRPr="00355886">
              <w:rPr>
                <w:sz w:val="22"/>
                <w:szCs w:val="22"/>
              </w:rPr>
              <w:br/>
              <w:t>Comisión de Estudio;</w:t>
            </w:r>
          </w:p>
          <w:p w14:paraId="491C01B6" w14:textId="6A4A9EAC" w:rsidR="001350B9" w:rsidRPr="00355886" w:rsidRDefault="007D6E44" w:rsidP="007D6E44">
            <w:pPr>
              <w:tabs>
                <w:tab w:val="clear" w:pos="794"/>
                <w:tab w:val="clear" w:pos="1191"/>
                <w:tab w:val="clear" w:pos="1588"/>
                <w:tab w:val="clear" w:pos="1985"/>
                <w:tab w:val="left" w:pos="226"/>
                <w:tab w:val="left" w:pos="510"/>
              </w:tabs>
              <w:spacing w:before="0"/>
              <w:ind w:left="226" w:hanging="226"/>
              <w:rPr>
                <w:sz w:val="22"/>
                <w:szCs w:val="22"/>
              </w:rPr>
            </w:pPr>
            <w:r w:rsidRPr="00355886">
              <w:rPr>
                <w:sz w:val="22"/>
                <w:szCs w:val="22"/>
              </w:rPr>
              <w:t>–</w:t>
            </w:r>
            <w:r w:rsidRPr="00355886">
              <w:rPr>
                <w:sz w:val="22"/>
                <w:szCs w:val="22"/>
              </w:rPr>
              <w:tab/>
            </w:r>
            <w:proofErr w:type="gramStart"/>
            <w:r w:rsidR="001350B9" w:rsidRPr="00355886">
              <w:rPr>
                <w:sz w:val="22"/>
                <w:szCs w:val="22"/>
              </w:rPr>
              <w:t>Director</w:t>
            </w:r>
            <w:proofErr w:type="gramEnd"/>
            <w:r w:rsidR="001350B9" w:rsidRPr="00355886">
              <w:rPr>
                <w:sz w:val="22"/>
                <w:szCs w:val="22"/>
              </w:rPr>
              <w:t xml:space="preserve"> de la Oficina de Desarrollo de las Telecomunicaciones;</w:t>
            </w:r>
          </w:p>
          <w:p w14:paraId="527A802D" w14:textId="233417C6" w:rsidR="001350B9" w:rsidRPr="00355886" w:rsidRDefault="007D6E44" w:rsidP="007D6E44">
            <w:pPr>
              <w:tabs>
                <w:tab w:val="left" w:pos="226"/>
                <w:tab w:val="left" w:pos="510"/>
              </w:tabs>
              <w:spacing w:before="0"/>
              <w:ind w:left="226" w:hanging="226"/>
              <w:rPr>
                <w:sz w:val="22"/>
                <w:szCs w:val="22"/>
              </w:rPr>
            </w:pPr>
            <w:r w:rsidRPr="00355886">
              <w:rPr>
                <w:sz w:val="22"/>
                <w:szCs w:val="22"/>
              </w:rPr>
              <w:t>–</w:t>
            </w:r>
            <w:r w:rsidRPr="00355886">
              <w:rPr>
                <w:sz w:val="22"/>
                <w:szCs w:val="22"/>
              </w:rPr>
              <w:tab/>
            </w:r>
            <w:proofErr w:type="gramStart"/>
            <w:r w:rsidR="001350B9" w:rsidRPr="00355886">
              <w:rPr>
                <w:sz w:val="22"/>
                <w:szCs w:val="22"/>
              </w:rPr>
              <w:t>Director</w:t>
            </w:r>
            <w:proofErr w:type="gramEnd"/>
            <w:r w:rsidR="001350B9" w:rsidRPr="00355886">
              <w:rPr>
                <w:sz w:val="22"/>
                <w:szCs w:val="22"/>
              </w:rPr>
              <w:t xml:space="preserve"> de la Oficina de Radiocomunicaciones</w:t>
            </w:r>
          </w:p>
        </w:tc>
      </w:tr>
      <w:tr w:rsidR="001350B9" w:rsidRPr="00355886" w14:paraId="7938CCCB" w14:textId="77777777" w:rsidTr="00B52F0F">
        <w:trPr>
          <w:cantSplit/>
        </w:trPr>
        <w:tc>
          <w:tcPr>
            <w:tcW w:w="993" w:type="dxa"/>
          </w:tcPr>
          <w:p w14:paraId="0FE0538A" w14:textId="77777777" w:rsidR="001350B9" w:rsidRPr="00355886" w:rsidRDefault="001350B9" w:rsidP="00303D62">
            <w:pPr>
              <w:tabs>
                <w:tab w:val="left" w:pos="4111"/>
              </w:tabs>
              <w:spacing w:before="10"/>
              <w:ind w:left="57"/>
              <w:rPr>
                <w:sz w:val="22"/>
                <w:szCs w:val="22"/>
              </w:rPr>
            </w:pPr>
            <w:r w:rsidRPr="00355886">
              <w:rPr>
                <w:sz w:val="22"/>
                <w:szCs w:val="22"/>
              </w:rPr>
              <w:t>Tel.:</w:t>
            </w:r>
          </w:p>
        </w:tc>
        <w:tc>
          <w:tcPr>
            <w:tcW w:w="3884" w:type="dxa"/>
            <w:gridSpan w:val="2"/>
          </w:tcPr>
          <w:p w14:paraId="2BF18D1B" w14:textId="0BF8C6A5" w:rsidR="001350B9" w:rsidRPr="00355886" w:rsidRDefault="001350B9" w:rsidP="00303D62">
            <w:pPr>
              <w:tabs>
                <w:tab w:val="left" w:pos="4111"/>
              </w:tabs>
              <w:spacing w:before="0"/>
              <w:ind w:left="57"/>
              <w:rPr>
                <w:rStyle w:val="Hyperlink"/>
                <w:sz w:val="22"/>
                <w:szCs w:val="22"/>
              </w:rPr>
            </w:pPr>
            <w:r w:rsidRPr="00355886">
              <w:rPr>
                <w:sz w:val="22"/>
                <w:szCs w:val="22"/>
              </w:rPr>
              <w:t>+41 22 730</w:t>
            </w:r>
            <w:r w:rsidR="007D6E44" w:rsidRPr="00355886">
              <w:rPr>
                <w:sz w:val="22"/>
                <w:szCs w:val="22"/>
              </w:rPr>
              <w:t xml:space="preserve"> 5356</w:t>
            </w:r>
          </w:p>
        </w:tc>
        <w:tc>
          <w:tcPr>
            <w:tcW w:w="5038" w:type="dxa"/>
            <w:vMerge/>
          </w:tcPr>
          <w:p w14:paraId="6CBF1295" w14:textId="77777777" w:rsidR="001350B9" w:rsidRPr="00355886" w:rsidRDefault="001350B9" w:rsidP="00303D62">
            <w:pPr>
              <w:tabs>
                <w:tab w:val="left" w:pos="226"/>
                <w:tab w:val="left" w:pos="510"/>
              </w:tabs>
              <w:spacing w:before="0"/>
              <w:ind w:left="226" w:hanging="169"/>
              <w:rPr>
                <w:b/>
                <w:sz w:val="22"/>
                <w:szCs w:val="22"/>
              </w:rPr>
            </w:pPr>
          </w:p>
        </w:tc>
      </w:tr>
      <w:tr w:rsidR="001350B9" w:rsidRPr="00355886" w14:paraId="48E3E2D7" w14:textId="77777777" w:rsidTr="00B52F0F">
        <w:trPr>
          <w:cantSplit/>
        </w:trPr>
        <w:tc>
          <w:tcPr>
            <w:tcW w:w="993" w:type="dxa"/>
          </w:tcPr>
          <w:p w14:paraId="131592E4" w14:textId="77777777" w:rsidR="001350B9" w:rsidRPr="00355886" w:rsidRDefault="001350B9" w:rsidP="00303D62">
            <w:pPr>
              <w:tabs>
                <w:tab w:val="left" w:pos="4111"/>
              </w:tabs>
              <w:spacing w:before="10"/>
              <w:ind w:left="57"/>
              <w:rPr>
                <w:sz w:val="22"/>
                <w:szCs w:val="22"/>
              </w:rPr>
            </w:pPr>
            <w:r w:rsidRPr="00355886">
              <w:rPr>
                <w:sz w:val="22"/>
                <w:szCs w:val="22"/>
              </w:rPr>
              <w:t>Fax:</w:t>
            </w:r>
          </w:p>
        </w:tc>
        <w:tc>
          <w:tcPr>
            <w:tcW w:w="3884" w:type="dxa"/>
            <w:gridSpan w:val="2"/>
          </w:tcPr>
          <w:p w14:paraId="3DB0F425" w14:textId="77777777" w:rsidR="001350B9" w:rsidRPr="00355886" w:rsidRDefault="001350B9" w:rsidP="00303D62">
            <w:pPr>
              <w:tabs>
                <w:tab w:val="left" w:pos="4111"/>
              </w:tabs>
              <w:spacing w:before="0"/>
              <w:ind w:left="57"/>
              <w:rPr>
                <w:rStyle w:val="Hyperlink"/>
                <w:sz w:val="22"/>
                <w:szCs w:val="22"/>
              </w:rPr>
            </w:pPr>
            <w:r w:rsidRPr="00355886">
              <w:rPr>
                <w:sz w:val="22"/>
                <w:szCs w:val="22"/>
              </w:rPr>
              <w:t>+41 22 730 5853</w:t>
            </w:r>
          </w:p>
        </w:tc>
        <w:tc>
          <w:tcPr>
            <w:tcW w:w="5038" w:type="dxa"/>
            <w:vMerge/>
          </w:tcPr>
          <w:p w14:paraId="4892F593" w14:textId="77777777" w:rsidR="001350B9" w:rsidRPr="00355886" w:rsidRDefault="001350B9" w:rsidP="00303D62">
            <w:pPr>
              <w:tabs>
                <w:tab w:val="left" w:pos="226"/>
                <w:tab w:val="left" w:pos="510"/>
              </w:tabs>
              <w:spacing w:before="0"/>
              <w:ind w:left="226" w:hanging="169"/>
              <w:rPr>
                <w:b/>
                <w:sz w:val="22"/>
                <w:szCs w:val="22"/>
              </w:rPr>
            </w:pPr>
          </w:p>
        </w:tc>
      </w:tr>
      <w:tr w:rsidR="001350B9" w:rsidRPr="00355886" w14:paraId="3E2DB044" w14:textId="77777777" w:rsidTr="00B52F0F">
        <w:trPr>
          <w:cantSplit/>
          <w:trHeight w:val="1947"/>
        </w:trPr>
        <w:tc>
          <w:tcPr>
            <w:tcW w:w="993" w:type="dxa"/>
          </w:tcPr>
          <w:p w14:paraId="69823529" w14:textId="77777777" w:rsidR="001350B9" w:rsidRPr="00355886" w:rsidRDefault="001350B9" w:rsidP="00303D62">
            <w:pPr>
              <w:tabs>
                <w:tab w:val="left" w:pos="4111"/>
              </w:tabs>
              <w:spacing w:before="10"/>
              <w:ind w:left="57"/>
              <w:rPr>
                <w:sz w:val="22"/>
                <w:szCs w:val="22"/>
              </w:rPr>
            </w:pPr>
            <w:r w:rsidRPr="00355886">
              <w:rPr>
                <w:sz w:val="22"/>
                <w:szCs w:val="22"/>
              </w:rPr>
              <w:t>Correo-e:</w:t>
            </w:r>
          </w:p>
        </w:tc>
        <w:tc>
          <w:tcPr>
            <w:tcW w:w="3884" w:type="dxa"/>
            <w:gridSpan w:val="2"/>
          </w:tcPr>
          <w:p w14:paraId="433E44AE" w14:textId="4153BC68" w:rsidR="001350B9" w:rsidRPr="00355886" w:rsidRDefault="003A4B2A" w:rsidP="00303D62">
            <w:pPr>
              <w:tabs>
                <w:tab w:val="left" w:pos="4111"/>
              </w:tabs>
              <w:spacing w:before="0"/>
              <w:ind w:left="57"/>
              <w:rPr>
                <w:sz w:val="22"/>
                <w:szCs w:val="22"/>
              </w:rPr>
            </w:pPr>
            <w:hyperlink r:id="rId9" w:history="1">
              <w:r w:rsidR="007D6E44" w:rsidRPr="00355886">
                <w:rPr>
                  <w:rStyle w:val="Hyperlink"/>
                  <w:sz w:val="22"/>
                  <w:szCs w:val="22"/>
                </w:rPr>
                <w:t>tsbevents@itu.int</w:t>
              </w:r>
            </w:hyperlink>
            <w:r w:rsidR="001350B9" w:rsidRPr="00355886">
              <w:rPr>
                <w:sz w:val="22"/>
                <w:szCs w:val="22"/>
              </w:rPr>
              <w:t xml:space="preserve"> </w:t>
            </w:r>
          </w:p>
        </w:tc>
        <w:tc>
          <w:tcPr>
            <w:tcW w:w="5038" w:type="dxa"/>
            <w:vMerge/>
          </w:tcPr>
          <w:p w14:paraId="46DD986F" w14:textId="77777777" w:rsidR="001350B9" w:rsidRPr="00355886"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355886" w14:paraId="75930897" w14:textId="77777777" w:rsidTr="00B52F0F">
        <w:trPr>
          <w:cantSplit/>
        </w:trPr>
        <w:tc>
          <w:tcPr>
            <w:tcW w:w="993" w:type="dxa"/>
          </w:tcPr>
          <w:p w14:paraId="78B86BAB" w14:textId="77777777" w:rsidR="007B6316" w:rsidRPr="00355886" w:rsidRDefault="007B6316" w:rsidP="00303D62">
            <w:pPr>
              <w:tabs>
                <w:tab w:val="left" w:pos="4111"/>
              </w:tabs>
              <w:spacing w:before="10"/>
              <w:ind w:left="57"/>
              <w:rPr>
                <w:sz w:val="22"/>
                <w:szCs w:val="22"/>
              </w:rPr>
            </w:pPr>
            <w:r w:rsidRPr="00B52F0F">
              <w:rPr>
                <w:b/>
                <w:bCs/>
                <w:sz w:val="22"/>
                <w:szCs w:val="22"/>
              </w:rPr>
              <w:t>Asunto</w:t>
            </w:r>
            <w:r w:rsidRPr="00355886">
              <w:rPr>
                <w:sz w:val="22"/>
                <w:szCs w:val="22"/>
              </w:rPr>
              <w:t>:</w:t>
            </w:r>
          </w:p>
        </w:tc>
        <w:tc>
          <w:tcPr>
            <w:tcW w:w="8922" w:type="dxa"/>
            <w:gridSpan w:val="3"/>
          </w:tcPr>
          <w:p w14:paraId="56076AA4" w14:textId="04A1890C" w:rsidR="007B6316" w:rsidRPr="00355886" w:rsidRDefault="007D6E44" w:rsidP="00303D62">
            <w:pPr>
              <w:tabs>
                <w:tab w:val="left" w:pos="4111"/>
              </w:tabs>
              <w:spacing w:before="0"/>
              <w:rPr>
                <w:b/>
                <w:sz w:val="22"/>
                <w:szCs w:val="22"/>
              </w:rPr>
            </w:pPr>
            <w:r w:rsidRPr="00355886">
              <w:rPr>
                <w:b/>
                <w:sz w:val="22"/>
                <w:szCs w:val="22"/>
              </w:rPr>
              <w:t>Taller de la UIT sobre "Reducción de la huella de carbono – Guía para la información sobre GEI Scope 3 para operadores de telecomunicaciones</w:t>
            </w:r>
            <w:r w:rsidR="00101B2A" w:rsidRPr="00355886">
              <w:rPr>
                <w:b/>
                <w:sz w:val="22"/>
                <w:szCs w:val="22"/>
              </w:rPr>
              <w:t>"</w:t>
            </w:r>
            <w:r w:rsidRPr="00355886">
              <w:rPr>
                <w:b/>
                <w:sz w:val="22"/>
                <w:szCs w:val="22"/>
              </w:rPr>
              <w:t xml:space="preserve"> (totalmente virtual, 11 de julio de 2023</w:t>
            </w:r>
          </w:p>
        </w:tc>
      </w:tr>
    </w:tbl>
    <w:p w14:paraId="24BD8217" w14:textId="77777777" w:rsidR="00C34772" w:rsidRPr="00355886" w:rsidRDefault="00C34772" w:rsidP="007B6316">
      <w:pPr>
        <w:spacing w:before="320"/>
        <w:rPr>
          <w:sz w:val="22"/>
          <w:szCs w:val="22"/>
        </w:rPr>
      </w:pPr>
      <w:bookmarkStart w:id="1" w:name="StartTyping_S"/>
      <w:bookmarkStart w:id="2" w:name="suitetext"/>
      <w:bookmarkStart w:id="3" w:name="text"/>
      <w:bookmarkEnd w:id="1"/>
      <w:bookmarkEnd w:id="2"/>
      <w:bookmarkEnd w:id="3"/>
      <w:r w:rsidRPr="00355886">
        <w:rPr>
          <w:sz w:val="22"/>
          <w:szCs w:val="22"/>
        </w:rPr>
        <w:t>Muy Señora mía/Muy Señor mío:</w:t>
      </w:r>
    </w:p>
    <w:p w14:paraId="78847A80" w14:textId="78DF0A71" w:rsidR="007D6E44" w:rsidRPr="00355886" w:rsidRDefault="007D6E44" w:rsidP="007D6E44">
      <w:pPr>
        <w:rPr>
          <w:sz w:val="22"/>
          <w:szCs w:val="22"/>
        </w:rPr>
      </w:pPr>
      <w:r w:rsidRPr="00355886">
        <w:rPr>
          <w:sz w:val="22"/>
          <w:szCs w:val="22"/>
        </w:rPr>
        <w:t>1</w:t>
      </w:r>
      <w:r w:rsidRPr="00355886">
        <w:rPr>
          <w:sz w:val="22"/>
          <w:szCs w:val="22"/>
        </w:rPr>
        <w:tab/>
      </w:r>
      <w:proofErr w:type="gramStart"/>
      <w:r w:rsidRPr="00355886">
        <w:rPr>
          <w:sz w:val="22"/>
          <w:szCs w:val="22"/>
        </w:rPr>
        <w:t>La</w:t>
      </w:r>
      <w:proofErr w:type="gramEnd"/>
      <w:r w:rsidRPr="00355886">
        <w:rPr>
          <w:sz w:val="22"/>
          <w:szCs w:val="22"/>
        </w:rPr>
        <w:t xml:space="preserve"> Unión Internacional de Telecomunicaciones (UIT), en colaboración con GSMA y GeSI, está organizando un taller sobre </w:t>
      </w:r>
      <w:r w:rsidR="00101B2A" w:rsidRPr="00355886">
        <w:rPr>
          <w:b/>
          <w:bCs/>
          <w:sz w:val="22"/>
          <w:szCs w:val="22"/>
        </w:rPr>
        <w:t>"</w:t>
      </w:r>
      <w:r w:rsidRPr="00355886">
        <w:rPr>
          <w:b/>
          <w:bCs/>
          <w:sz w:val="22"/>
          <w:szCs w:val="22"/>
        </w:rPr>
        <w:t>Reducción de la huella de carbono – Guía para la información sobre GEI Scope 3 para operadores de telecomunicaciones</w:t>
      </w:r>
      <w:r w:rsidR="00101B2A" w:rsidRPr="00355886">
        <w:rPr>
          <w:b/>
          <w:bCs/>
          <w:sz w:val="22"/>
          <w:szCs w:val="22"/>
        </w:rPr>
        <w:t>"</w:t>
      </w:r>
      <w:r w:rsidRPr="00355886">
        <w:rPr>
          <w:sz w:val="22"/>
          <w:szCs w:val="22"/>
        </w:rPr>
        <w:t xml:space="preserve">, que se celebrará en formato virtual el </w:t>
      </w:r>
      <w:r w:rsidRPr="00355886">
        <w:rPr>
          <w:b/>
          <w:bCs/>
          <w:sz w:val="22"/>
          <w:szCs w:val="22"/>
        </w:rPr>
        <w:t>11 de julio de 2023 de las 15.00 a las 16.30 horas CEST</w:t>
      </w:r>
      <w:r w:rsidRPr="00355886">
        <w:rPr>
          <w:sz w:val="22"/>
          <w:szCs w:val="22"/>
        </w:rPr>
        <w:t>.</w:t>
      </w:r>
    </w:p>
    <w:p w14:paraId="0D5C6B5A" w14:textId="77777777" w:rsidR="007D6E44" w:rsidRPr="00355886" w:rsidRDefault="007D6E44" w:rsidP="007D6E44">
      <w:pPr>
        <w:rPr>
          <w:sz w:val="22"/>
          <w:szCs w:val="22"/>
        </w:rPr>
      </w:pPr>
      <w:r w:rsidRPr="00355886">
        <w:rPr>
          <w:sz w:val="22"/>
          <w:szCs w:val="22"/>
        </w:rPr>
        <w:t>2</w:t>
      </w:r>
      <w:r w:rsidRPr="00355886">
        <w:rPr>
          <w:sz w:val="22"/>
          <w:szCs w:val="22"/>
        </w:rPr>
        <w:tab/>
      </w:r>
      <w:proofErr w:type="gramStart"/>
      <w:r w:rsidRPr="00355886">
        <w:rPr>
          <w:sz w:val="22"/>
          <w:szCs w:val="22"/>
        </w:rPr>
        <w:t>La</w:t>
      </w:r>
      <w:proofErr w:type="gramEnd"/>
      <w:r w:rsidRPr="00355886">
        <w:rPr>
          <w:sz w:val="22"/>
          <w:szCs w:val="22"/>
        </w:rPr>
        <w:t xml:space="preserve"> industria de las telecomunicaciones desempeña un papel fundamental a la hora de conectar a las personas y propiciar la transformación digital. Sin embargo, esta misma industria emite también gases de efecto invernadero (GEI), no sólo procedentes de su funcionamiento, sino también de la cadena de producción y de la utilización de los productos. Las emisiones de GEI Scope 3, que son emisiones indirectas producidas por la cadena de producción, están ganando importancia para las empresas en el marco de sus esfuerzos en pro de la sostenibilidad. Próximamente se celebrará la COP28, por lo que ahora más que nunca la industria de las telecomunicaciones debe aplicarse para reducir sus emisiones de gases de efecto invernadero. </w:t>
      </w:r>
    </w:p>
    <w:p w14:paraId="2D8F1012" w14:textId="77777777" w:rsidR="007D6E44" w:rsidRPr="00355886" w:rsidRDefault="007D6E44" w:rsidP="007D6E44">
      <w:pPr>
        <w:rPr>
          <w:sz w:val="22"/>
          <w:szCs w:val="22"/>
        </w:rPr>
      </w:pPr>
      <w:r w:rsidRPr="00355886">
        <w:rPr>
          <w:sz w:val="22"/>
          <w:szCs w:val="22"/>
        </w:rPr>
        <w:t>Para ayudar a la industria en este ámbito, la Unión Internacional de Telecomunicaciones (UIT), la GSMA (asociación de la industria móvil) y la Global Enabling Sustainability Initiative (GeSI) organizan este evento a fin de presentar su nueva guía sobre Scope 3 para operadores de telecomunicaciones.</w:t>
      </w:r>
    </w:p>
    <w:p w14:paraId="64685B1A" w14:textId="1556A448" w:rsidR="007D6E44" w:rsidRPr="00355886" w:rsidRDefault="007D6E44" w:rsidP="007D6E44">
      <w:pPr>
        <w:rPr>
          <w:sz w:val="22"/>
          <w:szCs w:val="22"/>
        </w:rPr>
      </w:pPr>
      <w:r w:rsidRPr="00355886">
        <w:rPr>
          <w:sz w:val="22"/>
          <w:szCs w:val="22"/>
        </w:rPr>
        <w:t>3</w:t>
      </w:r>
      <w:r w:rsidRPr="00355886">
        <w:rPr>
          <w:sz w:val="22"/>
          <w:szCs w:val="22"/>
        </w:rPr>
        <w:tab/>
      </w:r>
      <w:proofErr w:type="gramStart"/>
      <w:r w:rsidRPr="00355886">
        <w:rPr>
          <w:sz w:val="22"/>
          <w:szCs w:val="22"/>
        </w:rPr>
        <w:t>Este</w:t>
      </w:r>
      <w:proofErr w:type="gramEnd"/>
      <w:r w:rsidRPr="00355886">
        <w:rPr>
          <w:sz w:val="22"/>
          <w:szCs w:val="22"/>
        </w:rPr>
        <w:t xml:space="preserve"> evento reunirá a expertos en la materia a fin de abordar los retos y oportunidades que tienen ante sí las empresas de telecomunicaciones a la hora de calcular y reducir sus emisiones del Scope 3.</w:t>
      </w:r>
    </w:p>
    <w:p w14:paraId="127BE91D" w14:textId="37E923C4" w:rsidR="007D6E44" w:rsidRPr="00355886" w:rsidRDefault="007D6E44" w:rsidP="007D6E44">
      <w:pPr>
        <w:rPr>
          <w:sz w:val="22"/>
          <w:szCs w:val="22"/>
        </w:rPr>
      </w:pPr>
      <w:r w:rsidRPr="00355886">
        <w:rPr>
          <w:sz w:val="22"/>
          <w:szCs w:val="22"/>
        </w:rPr>
        <w:t>En el evento se presentará detalladamente la recién publicada Guía del Scope 3 para operadores de telecomunicaciones, que armoniza los métodos que utilizan los operadores de telecomunicaciones para atribuir, calcular y dar cuenta de sus emisiones de gases de efecto invernadero (GEI) del Scope 3 a fin de aumentar la precisión, la cobertura y la transparencia. Esta guía debe considerarse un suplemento, y no un sustituto, de las normas existentes.</w:t>
      </w:r>
    </w:p>
    <w:p w14:paraId="1534824D" w14:textId="060DE63B" w:rsidR="007B6316" w:rsidRPr="00355886" w:rsidRDefault="007D6E44" w:rsidP="007D6E44">
      <w:pPr>
        <w:rPr>
          <w:sz w:val="22"/>
          <w:szCs w:val="22"/>
        </w:rPr>
      </w:pPr>
      <w:r w:rsidRPr="00355886">
        <w:rPr>
          <w:sz w:val="22"/>
          <w:szCs w:val="22"/>
        </w:rPr>
        <w:t>4</w:t>
      </w:r>
      <w:r w:rsidRPr="00355886">
        <w:rPr>
          <w:sz w:val="22"/>
          <w:szCs w:val="22"/>
        </w:rPr>
        <w:tab/>
      </w:r>
      <w:proofErr w:type="gramStart"/>
      <w:r w:rsidRPr="00355886">
        <w:rPr>
          <w:sz w:val="22"/>
          <w:szCs w:val="22"/>
        </w:rPr>
        <w:t>Se</w:t>
      </w:r>
      <w:proofErr w:type="gramEnd"/>
      <w:r w:rsidRPr="00355886">
        <w:rPr>
          <w:sz w:val="22"/>
          <w:szCs w:val="22"/>
        </w:rPr>
        <w:t xml:space="preserve"> prevé que al evento asistan representantes de todo el mundo, entre ellos, políticos de alto nivel, actores del sector privado, organismos de las Naciones Unidas, instituciones académicas, miembros de la sociedad civil, de otras organizaciones regionales, de ONG y demás partes interesadas pertinentes.</w:t>
      </w:r>
    </w:p>
    <w:p w14:paraId="1597CD3C" w14:textId="77777777" w:rsidR="007D6E44" w:rsidRPr="00355886" w:rsidRDefault="007D6E44" w:rsidP="007D6E44">
      <w:pPr>
        <w:rPr>
          <w:sz w:val="22"/>
          <w:szCs w:val="22"/>
        </w:rPr>
      </w:pPr>
      <w:r w:rsidRPr="00355886">
        <w:rPr>
          <w:sz w:val="22"/>
          <w:szCs w:val="22"/>
        </w:rPr>
        <w:t>5</w:t>
      </w:r>
      <w:r w:rsidRPr="00355886">
        <w:rPr>
          <w:sz w:val="22"/>
          <w:szCs w:val="22"/>
        </w:rPr>
        <w:tab/>
      </w:r>
      <w:proofErr w:type="gramStart"/>
      <w:r w:rsidRPr="00355886">
        <w:rPr>
          <w:sz w:val="22"/>
          <w:szCs w:val="22"/>
        </w:rPr>
        <w:t>La</w:t>
      </w:r>
      <w:proofErr w:type="gramEnd"/>
      <w:r w:rsidRPr="00355886">
        <w:rPr>
          <w:sz w:val="22"/>
          <w:szCs w:val="22"/>
        </w:rPr>
        <w:t xml:space="preserve"> participación en el taller es gratuita y está abierta al público en general.</w:t>
      </w:r>
    </w:p>
    <w:p w14:paraId="7BA93249" w14:textId="5A69E1D6" w:rsidR="007D6E44" w:rsidRPr="00355886" w:rsidRDefault="007D6E44" w:rsidP="007D6E44">
      <w:pPr>
        <w:rPr>
          <w:sz w:val="22"/>
          <w:szCs w:val="22"/>
        </w:rPr>
      </w:pPr>
      <w:r w:rsidRPr="00355886">
        <w:rPr>
          <w:sz w:val="22"/>
          <w:szCs w:val="22"/>
        </w:rPr>
        <w:lastRenderedPageBreak/>
        <w:t>6</w:t>
      </w:r>
      <w:r w:rsidRPr="00355886">
        <w:rPr>
          <w:sz w:val="22"/>
          <w:szCs w:val="22"/>
        </w:rPr>
        <w:tab/>
      </w:r>
      <w:proofErr w:type="gramStart"/>
      <w:r w:rsidRPr="00355886">
        <w:rPr>
          <w:sz w:val="22"/>
          <w:szCs w:val="22"/>
        </w:rPr>
        <w:t>Toda</w:t>
      </w:r>
      <w:proofErr w:type="gramEnd"/>
      <w:r w:rsidRPr="00355886">
        <w:rPr>
          <w:sz w:val="22"/>
          <w:szCs w:val="22"/>
        </w:rPr>
        <w:t xml:space="preserve"> la información correspondiente al taller, incluido el proyecto de programa, se publicará en el sitio web del evento: </w:t>
      </w:r>
      <w:hyperlink r:id="rId10" w:history="1">
        <w:r w:rsidR="00101B2A" w:rsidRPr="00355886">
          <w:rPr>
            <w:rStyle w:val="Hyperlink"/>
            <w:sz w:val="22"/>
            <w:szCs w:val="22"/>
          </w:rPr>
          <w:t>https://www.itu.int/en/ITU-T/Workshops-and-Seminars/2023/0711/Pages/default.aspx</w:t>
        </w:r>
      </w:hyperlink>
      <w:r w:rsidRPr="00355886">
        <w:rPr>
          <w:sz w:val="22"/>
          <w:szCs w:val="22"/>
        </w:rPr>
        <w:t>. Esta página se actualizará periódicamente a medida que haya disponible más información. Se anima a los participantes a consultar periódicamente la página para estar al día de las últimas novedades.</w:t>
      </w:r>
    </w:p>
    <w:p w14:paraId="1A778490" w14:textId="04FF7942" w:rsidR="007B6316" w:rsidRPr="00355886" w:rsidRDefault="007D6E44" w:rsidP="007D6E44">
      <w:pPr>
        <w:rPr>
          <w:sz w:val="22"/>
          <w:szCs w:val="22"/>
        </w:rPr>
      </w:pPr>
      <w:r w:rsidRPr="00355886">
        <w:rPr>
          <w:sz w:val="22"/>
          <w:szCs w:val="22"/>
        </w:rPr>
        <w:t>7</w:t>
      </w:r>
      <w:r w:rsidRPr="00355886">
        <w:rPr>
          <w:sz w:val="22"/>
          <w:szCs w:val="22"/>
        </w:rPr>
        <w:tab/>
      </w:r>
      <w:proofErr w:type="gramStart"/>
      <w:r w:rsidRPr="00355886">
        <w:rPr>
          <w:sz w:val="22"/>
          <w:szCs w:val="22"/>
        </w:rPr>
        <w:t>A</w:t>
      </w:r>
      <w:proofErr w:type="gramEnd"/>
      <w:r w:rsidRPr="00355886">
        <w:rPr>
          <w:sz w:val="22"/>
          <w:szCs w:val="22"/>
        </w:rPr>
        <w:t xml:space="preserve"> fin de que la TSB pueda tomar las medidas necesarias en relación con la organización del taller, le agradecería que se inscribiese a la mayor brevedad haciendo uso del </w:t>
      </w:r>
      <w:hyperlink r:id="rId11" w:history="1">
        <w:r w:rsidRPr="00355886">
          <w:rPr>
            <w:rStyle w:val="Hyperlink"/>
            <w:sz w:val="22"/>
            <w:szCs w:val="22"/>
          </w:rPr>
          <w:t>formulario en línea</w:t>
        </w:r>
      </w:hyperlink>
      <w:r w:rsidRPr="00355886">
        <w:rPr>
          <w:sz w:val="22"/>
          <w:szCs w:val="22"/>
        </w:rPr>
        <w:t xml:space="preserve"> disponible en el sitio web. </w:t>
      </w:r>
      <w:r w:rsidRPr="00355886">
        <w:rPr>
          <w:b/>
          <w:bCs/>
          <w:sz w:val="22"/>
          <w:szCs w:val="22"/>
        </w:rPr>
        <w:t xml:space="preserve">Tenga en cuenta que la </w:t>
      </w:r>
      <w:r w:rsidR="00E72F52" w:rsidRPr="00355886">
        <w:rPr>
          <w:b/>
          <w:bCs/>
          <w:sz w:val="22"/>
          <w:szCs w:val="22"/>
        </w:rPr>
        <w:t>preinscripción</w:t>
      </w:r>
      <w:r w:rsidRPr="00355886">
        <w:rPr>
          <w:b/>
          <w:bCs/>
          <w:sz w:val="22"/>
          <w:szCs w:val="22"/>
        </w:rPr>
        <w:t xml:space="preserve"> de los participantes en el taller es obligatoria y se lleva a cabo en línea</w:t>
      </w:r>
      <w:r w:rsidRPr="00355886">
        <w:rPr>
          <w:sz w:val="22"/>
          <w:szCs w:val="22"/>
        </w:rPr>
        <w:t>.</w:t>
      </w:r>
    </w:p>
    <w:p w14:paraId="762551D0" w14:textId="77777777" w:rsidR="007B6316" w:rsidRPr="00355886" w:rsidRDefault="007B6316" w:rsidP="007B6316">
      <w:pPr>
        <w:rPr>
          <w:sz w:val="22"/>
          <w:szCs w:val="22"/>
        </w:rPr>
      </w:pPr>
      <w:r w:rsidRPr="00355886">
        <w:rPr>
          <w:sz w:val="22"/>
          <w:szCs w:val="22"/>
        </w:rPr>
        <w:t>Atentamente,</w:t>
      </w:r>
    </w:p>
    <w:p w14:paraId="48C83C55" w14:textId="78A59EC3" w:rsidR="007B6316" w:rsidRPr="00355886" w:rsidRDefault="003A4B2A" w:rsidP="00B52F0F">
      <w:pPr>
        <w:spacing w:before="960"/>
        <w:rPr>
          <w:sz w:val="22"/>
          <w:szCs w:val="22"/>
        </w:rPr>
      </w:pPr>
      <w:r>
        <w:rPr>
          <w:rFonts w:cstheme="minorHAnsi"/>
          <w:noProof/>
          <w:sz w:val="22"/>
          <w:szCs w:val="22"/>
          <w:lang w:val="es-ES"/>
        </w:rPr>
        <w:drawing>
          <wp:anchor distT="0" distB="0" distL="114300" distR="114300" simplePos="0" relativeHeight="251658240" behindDoc="1" locked="0" layoutInCell="1" allowOverlap="1" wp14:anchorId="04C89C93" wp14:editId="471A4875">
            <wp:simplePos x="0" y="0"/>
            <wp:positionH relativeFrom="column">
              <wp:posOffset>3810</wp:posOffset>
            </wp:positionH>
            <wp:positionV relativeFrom="paragraph">
              <wp:posOffset>174625</wp:posOffset>
            </wp:positionV>
            <wp:extent cx="782503" cy="352425"/>
            <wp:effectExtent l="0" t="0" r="0"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1350B9" w:rsidRPr="00355886">
        <w:rPr>
          <w:rFonts w:cstheme="minorHAnsi"/>
          <w:sz w:val="22"/>
          <w:szCs w:val="22"/>
          <w:lang w:val="es-ES"/>
        </w:rPr>
        <w:t>Seizo Onoe</w:t>
      </w:r>
      <w:r w:rsidR="007B6316" w:rsidRPr="00355886">
        <w:rPr>
          <w:sz w:val="22"/>
          <w:szCs w:val="22"/>
        </w:rPr>
        <w:br/>
      </w:r>
      <w:proofErr w:type="gramStart"/>
      <w:r w:rsidR="007B6316" w:rsidRPr="00355886">
        <w:rPr>
          <w:sz w:val="22"/>
          <w:szCs w:val="22"/>
        </w:rPr>
        <w:t>Director</w:t>
      </w:r>
      <w:proofErr w:type="gramEnd"/>
      <w:r w:rsidR="007B6316" w:rsidRPr="00355886">
        <w:rPr>
          <w:sz w:val="22"/>
          <w:szCs w:val="22"/>
        </w:rPr>
        <w:t xml:space="preserve"> de la Oficina de </w:t>
      </w:r>
      <w:r w:rsidR="007B6316" w:rsidRPr="00355886">
        <w:rPr>
          <w:sz w:val="22"/>
          <w:szCs w:val="22"/>
        </w:rPr>
        <w:br/>
        <w:t>Normalización de las Telecomunicaciones</w:t>
      </w:r>
    </w:p>
    <w:p w14:paraId="44BF5229" w14:textId="77777777" w:rsidR="00401C20" w:rsidRPr="00355886" w:rsidRDefault="00401C20" w:rsidP="007B6316">
      <w:pPr>
        <w:ind w:right="92"/>
        <w:rPr>
          <w:sz w:val="22"/>
          <w:szCs w:val="22"/>
        </w:rPr>
      </w:pPr>
    </w:p>
    <w:sectPr w:rsidR="00401C20" w:rsidRPr="00355886" w:rsidSect="00355886">
      <w:headerReference w:type="default" r:id="rId13"/>
      <w:footerReference w:type="first" r:id="rId14"/>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5D89" w14:textId="77777777" w:rsidR="001858CB" w:rsidRDefault="001858CB">
      <w:r>
        <w:separator/>
      </w:r>
    </w:p>
  </w:endnote>
  <w:endnote w:type="continuationSeparator" w:id="0">
    <w:p w14:paraId="43A93C7A" w14:textId="77777777" w:rsidR="001858CB" w:rsidRDefault="0018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56EE"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0C4D" w14:textId="77777777" w:rsidR="001858CB" w:rsidRDefault="001858CB">
      <w:r>
        <w:t>____________________</w:t>
      </w:r>
    </w:p>
  </w:footnote>
  <w:footnote w:type="continuationSeparator" w:id="0">
    <w:p w14:paraId="6843C9FD" w14:textId="77777777" w:rsidR="001858CB" w:rsidRDefault="0018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6DE2" w14:textId="57612377" w:rsidR="006969B4" w:rsidRDefault="00B87E9E">
    <w:pPr>
      <w:pStyle w:val="Header"/>
      <w:rPr>
        <w:rStyle w:val="PageNumber"/>
        <w:sz w:val="18"/>
        <w:szCs w:val="18"/>
      </w:rPr>
    </w:pPr>
    <w:r w:rsidRPr="00303D62">
      <w:rPr>
        <w:rStyle w:val="PageNumber"/>
        <w:sz w:val="18"/>
        <w:szCs w:val="18"/>
      </w:rPr>
      <w:fldChar w:fldCharType="begin"/>
    </w:r>
    <w:r w:rsidR="006969B4" w:rsidRPr="00303D62">
      <w:rPr>
        <w:rStyle w:val="PageNumber"/>
        <w:sz w:val="18"/>
        <w:szCs w:val="18"/>
      </w:rPr>
      <w:instrText xml:space="preserve"> PAGE </w:instrText>
    </w:r>
    <w:r w:rsidRPr="00303D62">
      <w:rPr>
        <w:rStyle w:val="PageNumber"/>
        <w:sz w:val="18"/>
        <w:szCs w:val="18"/>
      </w:rPr>
      <w:fldChar w:fldCharType="separate"/>
    </w:r>
    <w:r w:rsidR="00355886">
      <w:rPr>
        <w:rStyle w:val="PageNumber"/>
        <w:noProof/>
        <w:sz w:val="18"/>
        <w:szCs w:val="18"/>
      </w:rPr>
      <w:t>- 2 -</w:t>
    </w:r>
    <w:r w:rsidRPr="00303D62">
      <w:rPr>
        <w:rStyle w:val="PageNumber"/>
        <w:sz w:val="18"/>
        <w:szCs w:val="18"/>
      </w:rPr>
      <w:fldChar w:fldCharType="end"/>
    </w:r>
  </w:p>
  <w:p w14:paraId="4F9BFDC6" w14:textId="4EF68500" w:rsidR="00355886" w:rsidRPr="00303D62" w:rsidRDefault="00355886">
    <w:pPr>
      <w:pStyle w:val="Header"/>
      <w:rPr>
        <w:sz w:val="18"/>
        <w:szCs w:val="18"/>
      </w:rPr>
    </w:pPr>
    <w:r>
      <w:rPr>
        <w:rStyle w:val="PageNumber"/>
        <w:sz w:val="18"/>
        <w:szCs w:val="18"/>
      </w:rPr>
      <w:t>TSB Circular 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33997776">
    <w:abstractNumId w:val="0"/>
  </w:num>
  <w:num w:numId="2" w16cid:durableId="45376355">
    <w:abstractNumId w:val="3"/>
  </w:num>
  <w:num w:numId="3" w16cid:durableId="1736277328">
    <w:abstractNumId w:val="2"/>
  </w:num>
  <w:num w:numId="4" w16cid:durableId="83256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44"/>
    <w:rsid w:val="00002529"/>
    <w:rsid w:val="00085662"/>
    <w:rsid w:val="000C382F"/>
    <w:rsid w:val="00101B2A"/>
    <w:rsid w:val="001173CC"/>
    <w:rsid w:val="001350B9"/>
    <w:rsid w:val="0014464D"/>
    <w:rsid w:val="001858CB"/>
    <w:rsid w:val="001A54CC"/>
    <w:rsid w:val="00257FB4"/>
    <w:rsid w:val="002E496E"/>
    <w:rsid w:val="00303D62"/>
    <w:rsid w:val="00335367"/>
    <w:rsid w:val="00355886"/>
    <w:rsid w:val="00370C2D"/>
    <w:rsid w:val="003A4B2A"/>
    <w:rsid w:val="003D1E8D"/>
    <w:rsid w:val="003D673B"/>
    <w:rsid w:val="003F2855"/>
    <w:rsid w:val="00401C20"/>
    <w:rsid w:val="004A7957"/>
    <w:rsid w:val="004C4144"/>
    <w:rsid w:val="0055719E"/>
    <w:rsid w:val="006969B4"/>
    <w:rsid w:val="006E4F7B"/>
    <w:rsid w:val="00781E2A"/>
    <w:rsid w:val="007933A2"/>
    <w:rsid w:val="007B6316"/>
    <w:rsid w:val="007D6E44"/>
    <w:rsid w:val="00814503"/>
    <w:rsid w:val="008258C2"/>
    <w:rsid w:val="008505BD"/>
    <w:rsid w:val="00850C78"/>
    <w:rsid w:val="00876165"/>
    <w:rsid w:val="00884D12"/>
    <w:rsid w:val="008C17AD"/>
    <w:rsid w:val="008C385A"/>
    <w:rsid w:val="008D02CD"/>
    <w:rsid w:val="0091370C"/>
    <w:rsid w:val="0095172A"/>
    <w:rsid w:val="009A0BA0"/>
    <w:rsid w:val="00A54E47"/>
    <w:rsid w:val="00AB6E3A"/>
    <w:rsid w:val="00AE7093"/>
    <w:rsid w:val="00B422BC"/>
    <w:rsid w:val="00B43F77"/>
    <w:rsid w:val="00B52F0F"/>
    <w:rsid w:val="00B55A3E"/>
    <w:rsid w:val="00B87E9E"/>
    <w:rsid w:val="00B95F0A"/>
    <w:rsid w:val="00B96180"/>
    <w:rsid w:val="00C116FE"/>
    <w:rsid w:val="00C17AC0"/>
    <w:rsid w:val="00C34772"/>
    <w:rsid w:val="00C5465A"/>
    <w:rsid w:val="00D54642"/>
    <w:rsid w:val="00D834E7"/>
    <w:rsid w:val="00DD77C9"/>
    <w:rsid w:val="00DF3538"/>
    <w:rsid w:val="00E72F52"/>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7416E"/>
  <w15:docId w15:val="{0745AC42-F3F0-448D-B5D1-2D133BDB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7D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28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3/07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62EC-73D8-4C21-B690-AECFF2E1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24</TotalTime>
  <Pages>2</Pages>
  <Words>626</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2023-07-12T10:50:00Z</cp:lastPrinted>
  <dcterms:created xsi:type="dcterms:W3CDTF">2023-07-03T08:43:00Z</dcterms:created>
  <dcterms:modified xsi:type="dcterms:W3CDTF">2023-07-12T10:51:00Z</dcterms:modified>
</cp:coreProperties>
</file>