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2" w:type="dxa"/>
        <w:tblCellMar>
          <w:left w:w="0" w:type="dxa"/>
          <w:right w:w="0" w:type="dxa"/>
        </w:tblCellMar>
        <w:tblLook w:val="0000" w:firstRow="0" w:lastRow="0" w:firstColumn="0" w:lastColumn="0" w:noHBand="0" w:noVBand="0"/>
      </w:tblPr>
      <w:tblGrid>
        <w:gridCol w:w="1279"/>
        <w:gridCol w:w="3966"/>
        <w:gridCol w:w="2838"/>
        <w:gridCol w:w="1649"/>
      </w:tblGrid>
      <w:tr w:rsidR="00036F4F" w:rsidRPr="00EA2507" w14:paraId="7BF7A5EF" w14:textId="77777777" w:rsidTr="00AF54B9">
        <w:trPr>
          <w:cantSplit/>
        </w:trPr>
        <w:tc>
          <w:tcPr>
            <w:tcW w:w="0" w:type="auto"/>
            <w:vAlign w:val="center"/>
          </w:tcPr>
          <w:p w14:paraId="788B78E3" w14:textId="77777777" w:rsidR="00036F4F" w:rsidRPr="00EA2507" w:rsidRDefault="00036F4F" w:rsidP="00D14F31">
            <w:pPr>
              <w:tabs>
                <w:tab w:val="right" w:pos="8732"/>
              </w:tabs>
              <w:spacing w:before="0"/>
              <w:rPr>
                <w:b/>
                <w:bCs/>
                <w:iCs/>
                <w:color w:val="FFFFFF"/>
                <w:sz w:val="30"/>
                <w:szCs w:val="30"/>
              </w:rPr>
            </w:pPr>
            <w:r w:rsidRPr="00EA2507">
              <w:rPr>
                <w:noProof/>
                <w:lang w:val="en-US"/>
              </w:rPr>
              <w:drawing>
                <wp:inline distT="0" distB="0" distL="0" distR="0" wp14:anchorId="3AAEE390" wp14:editId="625CCFDF">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804" w:type="dxa"/>
            <w:gridSpan w:val="2"/>
            <w:vAlign w:val="center"/>
          </w:tcPr>
          <w:p w14:paraId="19A99A1F" w14:textId="77777777" w:rsidR="00036F4F" w:rsidRPr="00EA2507" w:rsidRDefault="00036F4F" w:rsidP="00D14F31">
            <w:pPr>
              <w:spacing w:before="0"/>
              <w:rPr>
                <w:rFonts w:cs="Times New Roman Bold"/>
                <w:b/>
                <w:bCs/>
                <w:iCs/>
                <w:smallCaps/>
                <w:sz w:val="34"/>
                <w:szCs w:val="34"/>
              </w:rPr>
            </w:pPr>
            <w:r w:rsidRPr="00EA2507">
              <w:rPr>
                <w:rFonts w:cs="Times New Roman Bold"/>
                <w:b/>
                <w:bCs/>
                <w:iCs/>
                <w:smallCaps/>
                <w:sz w:val="34"/>
                <w:szCs w:val="34"/>
              </w:rPr>
              <w:t>Union internationale des télécommunications</w:t>
            </w:r>
          </w:p>
          <w:p w14:paraId="1A8A6244" w14:textId="77777777" w:rsidR="00036F4F" w:rsidRPr="00EA2507" w:rsidRDefault="00036F4F" w:rsidP="00D14F31">
            <w:pPr>
              <w:tabs>
                <w:tab w:val="right" w:pos="8732"/>
              </w:tabs>
              <w:spacing w:before="0"/>
              <w:rPr>
                <w:b/>
                <w:bCs/>
                <w:iCs/>
                <w:color w:val="FFFFFF"/>
                <w:sz w:val="30"/>
                <w:szCs w:val="30"/>
              </w:rPr>
            </w:pPr>
            <w:r w:rsidRPr="00EA2507">
              <w:rPr>
                <w:rFonts w:cs="Times New Roman Bold"/>
                <w:b/>
                <w:bCs/>
                <w:iCs/>
                <w:smallCaps/>
                <w:sz w:val="28"/>
                <w:szCs w:val="28"/>
              </w:rPr>
              <w:t>B</w:t>
            </w:r>
            <w:r w:rsidRPr="00EA2507">
              <w:rPr>
                <w:b/>
                <w:bCs/>
                <w:iCs/>
                <w:smallCaps/>
                <w:sz w:val="28"/>
                <w:szCs w:val="28"/>
              </w:rPr>
              <w:t>ureau de la Normalisation des Télécommunications</w:t>
            </w:r>
          </w:p>
        </w:tc>
        <w:tc>
          <w:tcPr>
            <w:tcW w:w="1649" w:type="dxa"/>
            <w:vAlign w:val="center"/>
          </w:tcPr>
          <w:p w14:paraId="49E89DB9" w14:textId="77777777" w:rsidR="00036F4F" w:rsidRPr="00EA2507" w:rsidRDefault="00036F4F" w:rsidP="00D14F31">
            <w:pPr>
              <w:spacing w:before="0"/>
              <w:jc w:val="right"/>
              <w:rPr>
                <w:color w:val="FFFFFF"/>
                <w:sz w:val="26"/>
                <w:szCs w:val="26"/>
              </w:rPr>
            </w:pPr>
          </w:p>
        </w:tc>
      </w:tr>
      <w:tr w:rsidR="00036F4F" w:rsidRPr="001F1570" w14:paraId="643F6922" w14:textId="77777777" w:rsidTr="00AF54B9">
        <w:trPr>
          <w:cantSplit/>
        </w:trPr>
        <w:tc>
          <w:tcPr>
            <w:tcW w:w="0" w:type="auto"/>
          </w:tcPr>
          <w:p w14:paraId="66A5B8F5" w14:textId="77777777" w:rsidR="00036F4F" w:rsidRPr="001F1570" w:rsidRDefault="00036F4F" w:rsidP="00A5280F">
            <w:pPr>
              <w:tabs>
                <w:tab w:val="left" w:pos="4111"/>
              </w:tabs>
              <w:spacing w:before="10"/>
              <w:ind w:left="57"/>
              <w:rPr>
                <w:sz w:val="22"/>
                <w:szCs w:val="22"/>
              </w:rPr>
            </w:pPr>
          </w:p>
        </w:tc>
        <w:tc>
          <w:tcPr>
            <w:tcW w:w="3966" w:type="dxa"/>
          </w:tcPr>
          <w:p w14:paraId="7EB58802" w14:textId="77777777" w:rsidR="00036F4F" w:rsidRPr="001F1570" w:rsidRDefault="00036F4F" w:rsidP="00A5280F">
            <w:pPr>
              <w:tabs>
                <w:tab w:val="left" w:pos="4111"/>
              </w:tabs>
              <w:spacing w:before="10"/>
              <w:ind w:left="57"/>
              <w:rPr>
                <w:b/>
                <w:sz w:val="22"/>
                <w:szCs w:val="22"/>
              </w:rPr>
            </w:pPr>
          </w:p>
        </w:tc>
        <w:tc>
          <w:tcPr>
            <w:tcW w:w="4487" w:type="dxa"/>
            <w:gridSpan w:val="2"/>
          </w:tcPr>
          <w:p w14:paraId="152FC258" w14:textId="4DFC8253" w:rsidR="00036F4F" w:rsidRPr="001F1570" w:rsidRDefault="00036F4F" w:rsidP="00A5645A">
            <w:pPr>
              <w:tabs>
                <w:tab w:val="clear" w:pos="794"/>
                <w:tab w:val="clear" w:pos="1191"/>
                <w:tab w:val="clear" w:pos="1588"/>
                <w:tab w:val="clear" w:pos="1985"/>
                <w:tab w:val="left" w:pos="284"/>
              </w:tabs>
              <w:spacing w:after="120"/>
              <w:ind w:left="284" w:hanging="227"/>
              <w:rPr>
                <w:sz w:val="22"/>
                <w:szCs w:val="22"/>
              </w:rPr>
            </w:pPr>
            <w:r w:rsidRPr="001F1570">
              <w:rPr>
                <w:sz w:val="22"/>
                <w:szCs w:val="22"/>
              </w:rPr>
              <w:t>Genève, le</w:t>
            </w:r>
            <w:r w:rsidR="00AF54B9" w:rsidRPr="001F1570">
              <w:rPr>
                <w:sz w:val="22"/>
                <w:szCs w:val="22"/>
              </w:rPr>
              <w:t xml:space="preserve"> 6 juin 2023</w:t>
            </w:r>
          </w:p>
        </w:tc>
      </w:tr>
      <w:tr w:rsidR="00AF54B9" w:rsidRPr="001F1570" w14:paraId="742A35B1" w14:textId="77777777" w:rsidTr="00AF54B9">
        <w:trPr>
          <w:cantSplit/>
          <w:trHeight w:val="340"/>
        </w:trPr>
        <w:tc>
          <w:tcPr>
            <w:tcW w:w="0" w:type="auto"/>
          </w:tcPr>
          <w:p w14:paraId="6FB11BE9" w14:textId="77777777" w:rsidR="00AF54B9" w:rsidRPr="001F1570" w:rsidRDefault="00AF54B9" w:rsidP="00A5280F">
            <w:pPr>
              <w:tabs>
                <w:tab w:val="left" w:pos="4111"/>
              </w:tabs>
              <w:spacing w:before="10"/>
              <w:ind w:left="57"/>
              <w:rPr>
                <w:sz w:val="22"/>
                <w:szCs w:val="22"/>
              </w:rPr>
            </w:pPr>
            <w:proofErr w:type="gramStart"/>
            <w:r w:rsidRPr="001F1570">
              <w:rPr>
                <w:sz w:val="22"/>
                <w:szCs w:val="22"/>
              </w:rPr>
              <w:t>Réf.:</w:t>
            </w:r>
            <w:proofErr w:type="gramEnd"/>
          </w:p>
          <w:p w14:paraId="78889C52" w14:textId="77777777" w:rsidR="00AF54B9" w:rsidRPr="001F1570" w:rsidRDefault="00AF54B9" w:rsidP="00036F4F">
            <w:pPr>
              <w:tabs>
                <w:tab w:val="left" w:pos="4111"/>
              </w:tabs>
              <w:spacing w:before="10"/>
              <w:ind w:left="57"/>
              <w:rPr>
                <w:sz w:val="22"/>
                <w:szCs w:val="22"/>
              </w:rPr>
            </w:pPr>
          </w:p>
        </w:tc>
        <w:tc>
          <w:tcPr>
            <w:tcW w:w="3966" w:type="dxa"/>
          </w:tcPr>
          <w:p w14:paraId="2BE1FE89" w14:textId="152BE275" w:rsidR="00AF54B9" w:rsidRPr="001F1570" w:rsidRDefault="00AF54B9" w:rsidP="00A5280F">
            <w:pPr>
              <w:tabs>
                <w:tab w:val="left" w:pos="4111"/>
              </w:tabs>
              <w:spacing w:before="10"/>
              <w:ind w:left="57"/>
              <w:rPr>
                <w:b/>
                <w:sz w:val="22"/>
                <w:szCs w:val="22"/>
              </w:rPr>
            </w:pPr>
            <w:r w:rsidRPr="001F1570">
              <w:rPr>
                <w:b/>
                <w:sz w:val="22"/>
                <w:szCs w:val="22"/>
              </w:rPr>
              <w:t>Circulaire TSB 109</w:t>
            </w:r>
          </w:p>
          <w:p w14:paraId="17EE9448" w14:textId="4F9B7047" w:rsidR="00AF54B9" w:rsidRPr="001F1570" w:rsidRDefault="00AF54B9" w:rsidP="00036F4F">
            <w:pPr>
              <w:tabs>
                <w:tab w:val="left" w:pos="4111"/>
              </w:tabs>
              <w:spacing w:before="10"/>
              <w:ind w:left="57"/>
              <w:rPr>
                <w:b/>
                <w:sz w:val="22"/>
                <w:szCs w:val="22"/>
              </w:rPr>
            </w:pPr>
          </w:p>
        </w:tc>
        <w:tc>
          <w:tcPr>
            <w:tcW w:w="4487" w:type="dxa"/>
            <w:gridSpan w:val="2"/>
            <w:vMerge w:val="restart"/>
          </w:tcPr>
          <w:p w14:paraId="388122D0" w14:textId="218527CA" w:rsidR="00AF54B9" w:rsidRPr="001F1570" w:rsidRDefault="00AF54B9" w:rsidP="00AF54B9">
            <w:pPr>
              <w:tabs>
                <w:tab w:val="clear" w:pos="794"/>
                <w:tab w:val="clear" w:pos="1191"/>
                <w:tab w:val="clear" w:pos="1588"/>
                <w:tab w:val="clear" w:pos="1985"/>
              </w:tabs>
              <w:spacing w:before="0"/>
              <w:ind w:left="444" w:hanging="387"/>
              <w:rPr>
                <w:sz w:val="22"/>
                <w:szCs w:val="22"/>
              </w:rPr>
            </w:pPr>
            <w:bookmarkStart w:id="0" w:name="Addressee_F"/>
            <w:bookmarkEnd w:id="0"/>
            <w:r w:rsidRPr="001F1570">
              <w:rPr>
                <w:sz w:val="22"/>
                <w:szCs w:val="22"/>
              </w:rPr>
              <w:t>–</w:t>
            </w:r>
            <w:r w:rsidRPr="001F1570">
              <w:rPr>
                <w:sz w:val="22"/>
                <w:szCs w:val="22"/>
              </w:rPr>
              <w:tab/>
              <w:t xml:space="preserve">Aux Administrations des États Membres de </w:t>
            </w:r>
            <w:proofErr w:type="gramStart"/>
            <w:r w:rsidRPr="001F1570">
              <w:rPr>
                <w:sz w:val="22"/>
                <w:szCs w:val="22"/>
              </w:rPr>
              <w:t>l'Union;</w:t>
            </w:r>
            <w:proofErr w:type="gramEnd"/>
          </w:p>
          <w:p w14:paraId="4D214F24" w14:textId="3883BEC0" w:rsidR="00AF54B9" w:rsidRPr="001F1570" w:rsidRDefault="00AF54B9" w:rsidP="00AF54B9">
            <w:pPr>
              <w:tabs>
                <w:tab w:val="clear" w:pos="794"/>
                <w:tab w:val="clear" w:pos="1191"/>
                <w:tab w:val="clear" w:pos="1588"/>
                <w:tab w:val="clear" w:pos="1985"/>
              </w:tabs>
              <w:spacing w:before="0"/>
              <w:ind w:left="444" w:hanging="387"/>
              <w:rPr>
                <w:sz w:val="22"/>
                <w:szCs w:val="22"/>
              </w:rPr>
            </w:pPr>
            <w:r w:rsidRPr="001F1570">
              <w:rPr>
                <w:sz w:val="22"/>
                <w:szCs w:val="22"/>
              </w:rPr>
              <w:t>–</w:t>
            </w:r>
            <w:r w:rsidRPr="001F1570">
              <w:rPr>
                <w:sz w:val="22"/>
                <w:szCs w:val="22"/>
              </w:rPr>
              <w:tab/>
              <w:t>Aux Membres du Secteur UIT-</w:t>
            </w:r>
            <w:proofErr w:type="gramStart"/>
            <w:r w:rsidRPr="001F1570">
              <w:rPr>
                <w:sz w:val="22"/>
                <w:szCs w:val="22"/>
              </w:rPr>
              <w:t>T;</w:t>
            </w:r>
            <w:proofErr w:type="gramEnd"/>
          </w:p>
          <w:p w14:paraId="7B25E184" w14:textId="77777777" w:rsidR="00AF54B9" w:rsidRPr="001F1570" w:rsidRDefault="00AF54B9" w:rsidP="00AF54B9">
            <w:pPr>
              <w:tabs>
                <w:tab w:val="clear" w:pos="794"/>
                <w:tab w:val="clear" w:pos="1191"/>
                <w:tab w:val="clear" w:pos="1588"/>
                <w:tab w:val="clear" w:pos="1985"/>
              </w:tabs>
              <w:spacing w:before="0"/>
              <w:ind w:left="444" w:hanging="387"/>
              <w:rPr>
                <w:sz w:val="22"/>
                <w:szCs w:val="22"/>
              </w:rPr>
            </w:pPr>
            <w:r w:rsidRPr="001F1570">
              <w:rPr>
                <w:sz w:val="22"/>
                <w:szCs w:val="22"/>
              </w:rPr>
              <w:t>–</w:t>
            </w:r>
            <w:r w:rsidRPr="001F1570">
              <w:rPr>
                <w:sz w:val="22"/>
                <w:szCs w:val="22"/>
              </w:rPr>
              <w:tab/>
              <w:t>Aux Associés de l'UIT-</w:t>
            </w:r>
            <w:proofErr w:type="gramStart"/>
            <w:r w:rsidRPr="001F1570">
              <w:rPr>
                <w:sz w:val="22"/>
                <w:szCs w:val="22"/>
              </w:rPr>
              <w:t>T;</w:t>
            </w:r>
            <w:proofErr w:type="gramEnd"/>
          </w:p>
          <w:p w14:paraId="1A70CB0B" w14:textId="2292F74C" w:rsidR="00AF54B9" w:rsidRPr="001F1570" w:rsidRDefault="00AF54B9" w:rsidP="00AF54B9">
            <w:pPr>
              <w:tabs>
                <w:tab w:val="clear" w:pos="794"/>
                <w:tab w:val="clear" w:pos="1191"/>
                <w:tab w:val="clear" w:pos="1588"/>
                <w:tab w:val="clear" w:pos="1985"/>
              </w:tabs>
              <w:spacing w:before="0"/>
              <w:ind w:left="444" w:hanging="387"/>
              <w:rPr>
                <w:sz w:val="22"/>
                <w:szCs w:val="22"/>
              </w:rPr>
            </w:pPr>
            <w:r w:rsidRPr="001F1570">
              <w:rPr>
                <w:sz w:val="22"/>
                <w:szCs w:val="22"/>
              </w:rPr>
              <w:t>–</w:t>
            </w:r>
            <w:r w:rsidRPr="001F1570">
              <w:rPr>
                <w:sz w:val="22"/>
                <w:szCs w:val="22"/>
              </w:rPr>
              <w:tab/>
              <w:t>Aux établissements universitaires participant aux travaux de l'UIT</w:t>
            </w:r>
          </w:p>
        </w:tc>
      </w:tr>
      <w:tr w:rsidR="00AF54B9" w:rsidRPr="001F1570" w14:paraId="23331265" w14:textId="77777777" w:rsidTr="00A23107">
        <w:trPr>
          <w:cantSplit/>
          <w:trHeight w:val="416"/>
        </w:trPr>
        <w:tc>
          <w:tcPr>
            <w:tcW w:w="0" w:type="auto"/>
          </w:tcPr>
          <w:p w14:paraId="125AB932" w14:textId="77777777" w:rsidR="00AF54B9" w:rsidRPr="001F1570" w:rsidRDefault="00AF54B9" w:rsidP="00A5280F">
            <w:pPr>
              <w:tabs>
                <w:tab w:val="left" w:pos="4111"/>
              </w:tabs>
              <w:spacing w:before="10"/>
              <w:ind w:left="57"/>
              <w:rPr>
                <w:sz w:val="22"/>
                <w:szCs w:val="22"/>
              </w:rPr>
            </w:pPr>
            <w:proofErr w:type="gramStart"/>
            <w:r w:rsidRPr="001F1570">
              <w:rPr>
                <w:sz w:val="22"/>
                <w:szCs w:val="22"/>
              </w:rPr>
              <w:t>Tél.:</w:t>
            </w:r>
            <w:proofErr w:type="gramEnd"/>
          </w:p>
        </w:tc>
        <w:tc>
          <w:tcPr>
            <w:tcW w:w="3966" w:type="dxa"/>
          </w:tcPr>
          <w:p w14:paraId="3D7F6A3D" w14:textId="41B70301" w:rsidR="00AF54B9" w:rsidRPr="001F1570" w:rsidRDefault="00AF54B9" w:rsidP="00A5280F">
            <w:pPr>
              <w:tabs>
                <w:tab w:val="left" w:pos="4111"/>
              </w:tabs>
              <w:spacing w:before="0"/>
              <w:ind w:left="57"/>
              <w:rPr>
                <w:sz w:val="22"/>
                <w:szCs w:val="22"/>
              </w:rPr>
            </w:pPr>
            <w:r w:rsidRPr="001F1570">
              <w:rPr>
                <w:sz w:val="22"/>
                <w:szCs w:val="22"/>
              </w:rPr>
              <w:t>+41 22 730</w:t>
            </w:r>
            <w:r w:rsidR="00AE358B" w:rsidRPr="001F1570">
              <w:rPr>
                <w:sz w:val="22"/>
                <w:szCs w:val="22"/>
              </w:rPr>
              <w:t xml:space="preserve"> </w:t>
            </w:r>
            <w:r w:rsidRPr="001F1570">
              <w:rPr>
                <w:sz w:val="22"/>
                <w:szCs w:val="22"/>
              </w:rPr>
              <w:t>5356</w:t>
            </w:r>
          </w:p>
        </w:tc>
        <w:tc>
          <w:tcPr>
            <w:tcW w:w="4487" w:type="dxa"/>
            <w:gridSpan w:val="2"/>
            <w:vMerge/>
          </w:tcPr>
          <w:p w14:paraId="5C1B6D0A" w14:textId="77777777" w:rsidR="00AF54B9" w:rsidRPr="001F1570" w:rsidRDefault="00AF54B9" w:rsidP="00A5280F">
            <w:pPr>
              <w:tabs>
                <w:tab w:val="left" w:pos="226"/>
                <w:tab w:val="left" w:pos="4111"/>
              </w:tabs>
              <w:spacing w:before="0"/>
              <w:ind w:left="226" w:hanging="226"/>
              <w:rPr>
                <w:b/>
                <w:sz w:val="22"/>
                <w:szCs w:val="22"/>
              </w:rPr>
            </w:pPr>
          </w:p>
        </w:tc>
      </w:tr>
      <w:tr w:rsidR="00AF54B9" w:rsidRPr="001F1570" w14:paraId="60FF3831" w14:textId="77777777" w:rsidTr="00AF54B9">
        <w:trPr>
          <w:cantSplit/>
        </w:trPr>
        <w:tc>
          <w:tcPr>
            <w:tcW w:w="0" w:type="auto"/>
          </w:tcPr>
          <w:p w14:paraId="5DEEFC50" w14:textId="7FAE9AA0" w:rsidR="00AF54B9" w:rsidRPr="001F1570" w:rsidRDefault="00AF54B9" w:rsidP="00AF54B9">
            <w:pPr>
              <w:tabs>
                <w:tab w:val="left" w:pos="4111"/>
              </w:tabs>
              <w:spacing w:before="10"/>
              <w:ind w:left="57"/>
              <w:rPr>
                <w:sz w:val="22"/>
                <w:szCs w:val="22"/>
              </w:rPr>
            </w:pPr>
            <w:proofErr w:type="gramStart"/>
            <w:r w:rsidRPr="001F1570">
              <w:rPr>
                <w:sz w:val="22"/>
                <w:szCs w:val="22"/>
              </w:rPr>
              <w:t>Télécopie:</w:t>
            </w:r>
            <w:proofErr w:type="gramEnd"/>
          </w:p>
        </w:tc>
        <w:tc>
          <w:tcPr>
            <w:tcW w:w="3966" w:type="dxa"/>
          </w:tcPr>
          <w:p w14:paraId="3452782F" w14:textId="686EF7CA" w:rsidR="00AF54B9" w:rsidRPr="001F1570" w:rsidRDefault="00AF54B9" w:rsidP="00AF54B9">
            <w:pPr>
              <w:tabs>
                <w:tab w:val="left" w:pos="4111"/>
              </w:tabs>
              <w:spacing w:before="0"/>
              <w:ind w:left="57"/>
              <w:rPr>
                <w:sz w:val="22"/>
                <w:szCs w:val="22"/>
              </w:rPr>
            </w:pPr>
            <w:r w:rsidRPr="001F1570">
              <w:rPr>
                <w:sz w:val="22"/>
                <w:szCs w:val="22"/>
              </w:rPr>
              <w:t>+41 22 730 5853</w:t>
            </w:r>
          </w:p>
        </w:tc>
        <w:tc>
          <w:tcPr>
            <w:tcW w:w="4487" w:type="dxa"/>
            <w:gridSpan w:val="2"/>
            <w:vMerge/>
          </w:tcPr>
          <w:p w14:paraId="5AD964DC" w14:textId="77777777" w:rsidR="00AF54B9" w:rsidRPr="001F1570" w:rsidRDefault="00AF54B9" w:rsidP="00AF54B9">
            <w:pPr>
              <w:tabs>
                <w:tab w:val="left" w:pos="226"/>
                <w:tab w:val="left" w:pos="4111"/>
              </w:tabs>
              <w:spacing w:before="0"/>
              <w:ind w:left="226" w:hanging="226"/>
              <w:rPr>
                <w:b/>
                <w:sz w:val="22"/>
                <w:szCs w:val="22"/>
              </w:rPr>
            </w:pPr>
          </w:p>
        </w:tc>
      </w:tr>
      <w:tr w:rsidR="00AF54B9" w:rsidRPr="001F1570" w14:paraId="53B9034D" w14:textId="77777777" w:rsidTr="00AF54B9">
        <w:trPr>
          <w:cantSplit/>
        </w:trPr>
        <w:tc>
          <w:tcPr>
            <w:tcW w:w="0" w:type="auto"/>
          </w:tcPr>
          <w:p w14:paraId="4D470B0F" w14:textId="77777777" w:rsidR="00AF54B9" w:rsidRPr="001F1570" w:rsidRDefault="00AF54B9" w:rsidP="00AF54B9">
            <w:pPr>
              <w:tabs>
                <w:tab w:val="left" w:pos="4111"/>
              </w:tabs>
              <w:spacing w:before="10"/>
              <w:ind w:left="57"/>
              <w:rPr>
                <w:sz w:val="22"/>
                <w:szCs w:val="22"/>
              </w:rPr>
            </w:pPr>
            <w:proofErr w:type="gramStart"/>
            <w:r w:rsidRPr="001F1570">
              <w:rPr>
                <w:sz w:val="22"/>
                <w:szCs w:val="22"/>
              </w:rPr>
              <w:t>Courriel:</w:t>
            </w:r>
            <w:proofErr w:type="gramEnd"/>
          </w:p>
        </w:tc>
        <w:tc>
          <w:tcPr>
            <w:tcW w:w="3966" w:type="dxa"/>
          </w:tcPr>
          <w:p w14:paraId="39801810" w14:textId="4920740C" w:rsidR="00AF54B9" w:rsidRPr="001F1570" w:rsidRDefault="00C80ABD" w:rsidP="00AF54B9">
            <w:pPr>
              <w:tabs>
                <w:tab w:val="left" w:pos="4111"/>
              </w:tabs>
              <w:spacing w:before="0"/>
              <w:ind w:left="57"/>
              <w:rPr>
                <w:sz w:val="22"/>
                <w:szCs w:val="22"/>
              </w:rPr>
            </w:pPr>
            <w:hyperlink r:id="rId9" w:history="1">
              <w:r w:rsidR="00AF54B9" w:rsidRPr="001F1570">
                <w:rPr>
                  <w:rStyle w:val="Hyperlink"/>
                  <w:sz w:val="22"/>
                  <w:szCs w:val="22"/>
                </w:rPr>
                <w:t>tsbevents@itu.int</w:t>
              </w:r>
            </w:hyperlink>
          </w:p>
        </w:tc>
        <w:tc>
          <w:tcPr>
            <w:tcW w:w="4487" w:type="dxa"/>
            <w:gridSpan w:val="2"/>
          </w:tcPr>
          <w:p w14:paraId="3C54E0DC" w14:textId="77777777" w:rsidR="00AF54B9" w:rsidRPr="001F1570" w:rsidRDefault="00AF54B9" w:rsidP="00AF54B9">
            <w:pPr>
              <w:tabs>
                <w:tab w:val="clear" w:pos="794"/>
                <w:tab w:val="left" w:pos="226"/>
                <w:tab w:val="left" w:pos="4111"/>
              </w:tabs>
              <w:spacing w:before="0"/>
              <w:ind w:left="226" w:hanging="226"/>
              <w:rPr>
                <w:b/>
                <w:bCs/>
                <w:sz w:val="22"/>
                <w:szCs w:val="22"/>
              </w:rPr>
            </w:pPr>
            <w:proofErr w:type="gramStart"/>
            <w:r w:rsidRPr="001F1570">
              <w:rPr>
                <w:b/>
                <w:bCs/>
                <w:sz w:val="22"/>
                <w:szCs w:val="22"/>
              </w:rPr>
              <w:t>Copie:</w:t>
            </w:r>
            <w:proofErr w:type="gramEnd"/>
          </w:p>
          <w:p w14:paraId="1F4336A2" w14:textId="4547087F" w:rsidR="00AF54B9" w:rsidRPr="001F1570" w:rsidRDefault="00AF54B9" w:rsidP="00AF54B9">
            <w:pPr>
              <w:tabs>
                <w:tab w:val="clear" w:pos="794"/>
                <w:tab w:val="left" w:pos="4111"/>
              </w:tabs>
              <w:spacing w:before="0"/>
              <w:ind w:left="444" w:hanging="423"/>
              <w:rPr>
                <w:sz w:val="22"/>
                <w:szCs w:val="22"/>
              </w:rPr>
            </w:pPr>
            <w:r w:rsidRPr="001F1570">
              <w:rPr>
                <w:sz w:val="22"/>
                <w:szCs w:val="22"/>
              </w:rPr>
              <w:t>–</w:t>
            </w:r>
            <w:r w:rsidRPr="001F1570">
              <w:rPr>
                <w:sz w:val="22"/>
                <w:szCs w:val="22"/>
              </w:rPr>
              <w:tab/>
              <w:t xml:space="preserve">Aux Présidents et Vice-Présidents des commissions </w:t>
            </w:r>
            <w:proofErr w:type="gramStart"/>
            <w:r w:rsidRPr="001F1570">
              <w:rPr>
                <w:sz w:val="22"/>
                <w:szCs w:val="22"/>
              </w:rPr>
              <w:t>d'études;</w:t>
            </w:r>
            <w:proofErr w:type="gramEnd"/>
          </w:p>
          <w:p w14:paraId="7093AF1A" w14:textId="7D649E4D" w:rsidR="00AF54B9" w:rsidRPr="001F1570" w:rsidRDefault="00AF54B9" w:rsidP="00AF54B9">
            <w:pPr>
              <w:tabs>
                <w:tab w:val="clear" w:pos="794"/>
                <w:tab w:val="left" w:pos="4111"/>
              </w:tabs>
              <w:spacing w:before="0"/>
              <w:ind w:left="444" w:hanging="423"/>
              <w:rPr>
                <w:sz w:val="22"/>
                <w:szCs w:val="22"/>
              </w:rPr>
            </w:pPr>
            <w:r w:rsidRPr="001F1570">
              <w:rPr>
                <w:sz w:val="22"/>
                <w:szCs w:val="22"/>
              </w:rPr>
              <w:t>–</w:t>
            </w:r>
            <w:r w:rsidRPr="001F1570">
              <w:rPr>
                <w:sz w:val="22"/>
                <w:szCs w:val="22"/>
              </w:rPr>
              <w:tab/>
              <w:t xml:space="preserve">Au Directeur du Bureau de développement des </w:t>
            </w:r>
            <w:proofErr w:type="gramStart"/>
            <w:r w:rsidRPr="001F1570">
              <w:rPr>
                <w:sz w:val="22"/>
                <w:szCs w:val="22"/>
              </w:rPr>
              <w:t>télécommunications;</w:t>
            </w:r>
            <w:proofErr w:type="gramEnd"/>
          </w:p>
          <w:p w14:paraId="022800F2" w14:textId="35DAC333" w:rsidR="00AF54B9" w:rsidRPr="001F1570" w:rsidRDefault="00AF54B9" w:rsidP="00AF54B9">
            <w:pPr>
              <w:tabs>
                <w:tab w:val="clear" w:pos="794"/>
                <w:tab w:val="left" w:pos="4111"/>
              </w:tabs>
              <w:spacing w:before="0"/>
              <w:ind w:left="444" w:hanging="423"/>
              <w:rPr>
                <w:sz w:val="22"/>
                <w:szCs w:val="22"/>
              </w:rPr>
            </w:pPr>
            <w:r w:rsidRPr="001F1570">
              <w:rPr>
                <w:sz w:val="22"/>
                <w:szCs w:val="22"/>
              </w:rPr>
              <w:t>–</w:t>
            </w:r>
            <w:r w:rsidRPr="001F1570">
              <w:rPr>
                <w:sz w:val="22"/>
                <w:szCs w:val="22"/>
              </w:rPr>
              <w:tab/>
              <w:t>Au Directeur du Bureau des radiocommunications</w:t>
            </w:r>
          </w:p>
        </w:tc>
      </w:tr>
      <w:tr w:rsidR="00AF54B9" w:rsidRPr="001F1570" w14:paraId="40EA600E" w14:textId="77777777" w:rsidTr="00AF54B9">
        <w:trPr>
          <w:cantSplit/>
          <w:trHeight w:val="397"/>
        </w:trPr>
        <w:tc>
          <w:tcPr>
            <w:tcW w:w="0" w:type="auto"/>
          </w:tcPr>
          <w:p w14:paraId="40B92350" w14:textId="77777777" w:rsidR="00AF54B9" w:rsidRPr="001F1570" w:rsidRDefault="00AF54B9" w:rsidP="00AE358B">
            <w:pPr>
              <w:tabs>
                <w:tab w:val="left" w:pos="4111"/>
              </w:tabs>
              <w:ind w:left="57"/>
              <w:rPr>
                <w:b/>
                <w:bCs/>
                <w:sz w:val="22"/>
                <w:szCs w:val="22"/>
              </w:rPr>
            </w:pPr>
            <w:proofErr w:type="gramStart"/>
            <w:r w:rsidRPr="001F1570">
              <w:rPr>
                <w:b/>
                <w:bCs/>
                <w:sz w:val="22"/>
                <w:szCs w:val="22"/>
              </w:rPr>
              <w:t>Objet:</w:t>
            </w:r>
            <w:proofErr w:type="gramEnd"/>
          </w:p>
        </w:tc>
        <w:tc>
          <w:tcPr>
            <w:tcW w:w="8453" w:type="dxa"/>
            <w:gridSpan w:val="3"/>
          </w:tcPr>
          <w:p w14:paraId="198C92D9" w14:textId="509BED37" w:rsidR="00AF54B9" w:rsidRPr="001F1570" w:rsidRDefault="00AF54B9" w:rsidP="00AE358B">
            <w:pPr>
              <w:tabs>
                <w:tab w:val="left" w:pos="4111"/>
              </w:tabs>
              <w:ind w:left="57"/>
              <w:rPr>
                <w:b/>
                <w:bCs/>
                <w:sz w:val="22"/>
                <w:szCs w:val="22"/>
              </w:rPr>
            </w:pPr>
            <w:r w:rsidRPr="001F1570">
              <w:rPr>
                <w:b/>
                <w:bCs/>
                <w:sz w:val="22"/>
                <w:szCs w:val="22"/>
              </w:rPr>
              <w:t>Atelier de l'UIT sur le thème "Façonner un avenir durable et numérique – Préparatifs en vue de la Semaine "Normes vertes"" (atelier entièrement virtuel,</w:t>
            </w:r>
            <w:r w:rsidR="00AE358B" w:rsidRPr="001F1570">
              <w:rPr>
                <w:b/>
                <w:bCs/>
                <w:sz w:val="22"/>
                <w:szCs w:val="22"/>
              </w:rPr>
              <w:t xml:space="preserve"> </w:t>
            </w:r>
            <w:r w:rsidRPr="001F1570">
              <w:rPr>
                <w:b/>
                <w:bCs/>
                <w:sz w:val="22"/>
                <w:szCs w:val="22"/>
              </w:rPr>
              <w:t>15 juin 2023)</w:t>
            </w:r>
          </w:p>
        </w:tc>
      </w:tr>
    </w:tbl>
    <w:p w14:paraId="39F9205F" w14:textId="77777777" w:rsidR="00AF54B9" w:rsidRPr="001F1570" w:rsidRDefault="00AF54B9" w:rsidP="00AF54B9">
      <w:pPr>
        <w:rPr>
          <w:sz w:val="22"/>
          <w:szCs w:val="22"/>
        </w:rPr>
      </w:pPr>
      <w:bookmarkStart w:id="1" w:name="StartTyping_F"/>
      <w:bookmarkEnd w:id="1"/>
      <w:r w:rsidRPr="001F1570">
        <w:rPr>
          <w:sz w:val="22"/>
          <w:szCs w:val="22"/>
        </w:rPr>
        <w:t>Madame, Monsieur,</w:t>
      </w:r>
    </w:p>
    <w:p w14:paraId="255BA498" w14:textId="52897BDB" w:rsidR="00AF54B9" w:rsidRPr="001F1570" w:rsidRDefault="00AF54B9" w:rsidP="00AF54B9">
      <w:pPr>
        <w:rPr>
          <w:sz w:val="22"/>
          <w:szCs w:val="22"/>
        </w:rPr>
      </w:pPr>
      <w:r w:rsidRPr="001F1570">
        <w:rPr>
          <w:sz w:val="22"/>
          <w:szCs w:val="22"/>
        </w:rPr>
        <w:t>1</w:t>
      </w:r>
      <w:r w:rsidRPr="001F1570">
        <w:rPr>
          <w:sz w:val="22"/>
          <w:szCs w:val="22"/>
        </w:rPr>
        <w:tab/>
        <w:t>L'Union internationale des télécommunications (UIT), en collaboration avec le Centre régional de la Convention de Bâle pour l'Amérique du Sud, organise un atelier sur le thème "</w:t>
      </w:r>
      <w:r w:rsidRPr="001F1570">
        <w:rPr>
          <w:b/>
          <w:bCs/>
          <w:sz w:val="22"/>
          <w:szCs w:val="22"/>
        </w:rPr>
        <w:t xml:space="preserve">Façonner un avenir durable et numérique – Préparatifs en vue de la Semaine </w:t>
      </w:r>
      <w:r w:rsidR="00A23107" w:rsidRPr="001F1570">
        <w:rPr>
          <w:b/>
          <w:bCs/>
          <w:sz w:val="22"/>
          <w:szCs w:val="22"/>
        </w:rPr>
        <w:t>"</w:t>
      </w:r>
      <w:r w:rsidRPr="001F1570">
        <w:rPr>
          <w:b/>
          <w:bCs/>
          <w:sz w:val="22"/>
          <w:szCs w:val="22"/>
        </w:rPr>
        <w:t>Normes vertes</w:t>
      </w:r>
      <w:r w:rsidR="00A23107" w:rsidRPr="001F1570">
        <w:rPr>
          <w:b/>
          <w:bCs/>
          <w:sz w:val="22"/>
          <w:szCs w:val="22"/>
        </w:rPr>
        <w:t>"</w:t>
      </w:r>
      <w:r w:rsidRPr="001F1570">
        <w:rPr>
          <w:sz w:val="22"/>
          <w:szCs w:val="22"/>
        </w:rPr>
        <w:t xml:space="preserve">", qui aura lieu de manière virtuelle le </w:t>
      </w:r>
      <w:r w:rsidRPr="001F1570">
        <w:rPr>
          <w:b/>
          <w:bCs/>
          <w:sz w:val="22"/>
          <w:szCs w:val="22"/>
        </w:rPr>
        <w:t>15 juin 2023 de 19 h</w:t>
      </w:r>
      <w:r w:rsidR="00AE358B" w:rsidRPr="001F1570">
        <w:rPr>
          <w:b/>
          <w:bCs/>
          <w:sz w:val="22"/>
          <w:szCs w:val="22"/>
        </w:rPr>
        <w:t xml:space="preserve"> 00</w:t>
      </w:r>
      <w:r w:rsidRPr="001F1570">
        <w:rPr>
          <w:b/>
          <w:bCs/>
          <w:sz w:val="22"/>
          <w:szCs w:val="22"/>
        </w:rPr>
        <w:t xml:space="preserve"> à 21 h</w:t>
      </w:r>
      <w:r w:rsidR="00AE358B" w:rsidRPr="001F1570">
        <w:rPr>
          <w:b/>
          <w:bCs/>
          <w:sz w:val="22"/>
          <w:szCs w:val="22"/>
        </w:rPr>
        <w:t xml:space="preserve"> 00</w:t>
      </w:r>
      <w:r w:rsidRPr="001F1570">
        <w:rPr>
          <w:b/>
          <w:bCs/>
          <w:sz w:val="22"/>
          <w:szCs w:val="22"/>
        </w:rPr>
        <w:t xml:space="preserve"> CEST/14 h</w:t>
      </w:r>
      <w:r w:rsidR="00AE358B" w:rsidRPr="001F1570">
        <w:rPr>
          <w:b/>
          <w:bCs/>
          <w:sz w:val="22"/>
          <w:szCs w:val="22"/>
        </w:rPr>
        <w:t xml:space="preserve"> 00</w:t>
      </w:r>
      <w:r w:rsidRPr="001F1570">
        <w:rPr>
          <w:b/>
          <w:bCs/>
          <w:sz w:val="22"/>
          <w:szCs w:val="22"/>
        </w:rPr>
        <w:t xml:space="preserve"> à</w:t>
      </w:r>
      <w:r w:rsidR="00A23107" w:rsidRPr="001F1570">
        <w:rPr>
          <w:b/>
          <w:bCs/>
          <w:sz w:val="22"/>
          <w:szCs w:val="22"/>
        </w:rPr>
        <w:t> </w:t>
      </w:r>
      <w:r w:rsidRPr="001F1570">
        <w:rPr>
          <w:b/>
          <w:bCs/>
          <w:sz w:val="22"/>
          <w:szCs w:val="22"/>
        </w:rPr>
        <w:t>17</w:t>
      </w:r>
      <w:r w:rsidR="00A23107" w:rsidRPr="001F1570">
        <w:rPr>
          <w:b/>
          <w:bCs/>
          <w:sz w:val="22"/>
          <w:szCs w:val="22"/>
        </w:rPr>
        <w:t> </w:t>
      </w:r>
      <w:r w:rsidRPr="001F1570">
        <w:rPr>
          <w:b/>
          <w:bCs/>
          <w:sz w:val="22"/>
          <w:szCs w:val="22"/>
        </w:rPr>
        <w:t>h</w:t>
      </w:r>
      <w:r w:rsidR="00AE358B" w:rsidRPr="001F1570">
        <w:rPr>
          <w:b/>
          <w:bCs/>
          <w:sz w:val="22"/>
          <w:szCs w:val="22"/>
        </w:rPr>
        <w:t xml:space="preserve"> 00</w:t>
      </w:r>
      <w:r w:rsidRPr="001F1570">
        <w:rPr>
          <w:b/>
          <w:bCs/>
          <w:sz w:val="22"/>
          <w:szCs w:val="22"/>
        </w:rPr>
        <w:t xml:space="preserve"> ARS</w:t>
      </w:r>
      <w:r w:rsidRPr="001F1570">
        <w:rPr>
          <w:sz w:val="22"/>
          <w:szCs w:val="22"/>
        </w:rPr>
        <w:t>. L'atelier se tiendra en espagnol et un service d'interprétation sera assuré en anglais.</w:t>
      </w:r>
    </w:p>
    <w:p w14:paraId="47C62B04" w14:textId="5CEF0546" w:rsidR="00AF54B9" w:rsidRPr="001F1570" w:rsidRDefault="00AF54B9" w:rsidP="00AF54B9">
      <w:pPr>
        <w:rPr>
          <w:sz w:val="22"/>
          <w:szCs w:val="22"/>
        </w:rPr>
      </w:pPr>
      <w:r w:rsidRPr="001F1570">
        <w:rPr>
          <w:sz w:val="22"/>
          <w:szCs w:val="22"/>
        </w:rPr>
        <w:t>2</w:t>
      </w:r>
      <w:r w:rsidRPr="001F1570">
        <w:rPr>
          <w:sz w:val="22"/>
          <w:szCs w:val="22"/>
        </w:rPr>
        <w:tab/>
        <w:t>Au cours des dernières années, la transformation numérique est devenue une réalité essentielle, mais on considère souvent que la généralisation du numérique et la durabilité ne sont pas compatibles. Toutefois, alors que le monde reste en proie à la crise climatique, il devient de plus en plus évident que durabilité et transformation numérique peuvent être mutuellement avantageux. Ce constat est particulièrement vrai pour la région Amérique latine. Pour opérer une transformation numérique durable, il convient d'intégrer des éléments aussi essentiels qu</w:t>
      </w:r>
      <w:r w:rsidR="00A23107" w:rsidRPr="001F1570">
        <w:rPr>
          <w:sz w:val="22"/>
          <w:szCs w:val="22"/>
        </w:rPr>
        <w:t>'</w:t>
      </w:r>
      <w:r w:rsidRPr="001F1570">
        <w:rPr>
          <w:sz w:val="22"/>
          <w:szCs w:val="22"/>
        </w:rPr>
        <w:t>une gestion efficace des déchets d'équipements électriques et électroniques et l'adoption des principes de l'économie circulaire. Intégrer ces éléments nous permettra d'accélérer les progrès sur la voie de la réalisation des Objectifs de développement durable (ODD) et de réduire les émissions de gaz à effet de serre.</w:t>
      </w:r>
    </w:p>
    <w:p w14:paraId="186D2374" w14:textId="72B9420F" w:rsidR="00AF54B9" w:rsidRPr="001F1570" w:rsidRDefault="00AF54B9" w:rsidP="00AF54B9">
      <w:pPr>
        <w:rPr>
          <w:sz w:val="22"/>
          <w:szCs w:val="22"/>
        </w:rPr>
      </w:pPr>
      <w:r w:rsidRPr="001F1570">
        <w:rPr>
          <w:sz w:val="22"/>
          <w:szCs w:val="22"/>
        </w:rPr>
        <w:t>3</w:t>
      </w:r>
      <w:r w:rsidRPr="001F1570">
        <w:rPr>
          <w:sz w:val="22"/>
          <w:szCs w:val="22"/>
        </w:rPr>
        <w:tab/>
        <w:t>Le principal objectif de cette manifestation est de fournir un cadre international dans lequel les parties prenantes peuvent se réunir pour échanger des données d'expérience, identifier des solutions communes et étudier des possibilités d'accélérer les progrès en matière de durabilité. En particulier, l'accent sera mis sur le rôle de la gestion des déchets d'équipements électriques et électroniques, de l'économie circulaire et de la chaîne de valeur en Amérique latine.</w:t>
      </w:r>
    </w:p>
    <w:p w14:paraId="2DF5DB4E" w14:textId="4FDF0730" w:rsidR="00AF54B9" w:rsidRPr="001F1570" w:rsidRDefault="00AF54B9" w:rsidP="00A23107">
      <w:pPr>
        <w:keepLines/>
        <w:rPr>
          <w:sz w:val="22"/>
          <w:szCs w:val="22"/>
        </w:rPr>
      </w:pPr>
      <w:r w:rsidRPr="001F1570">
        <w:rPr>
          <w:sz w:val="22"/>
          <w:szCs w:val="22"/>
        </w:rPr>
        <w:t>L</w:t>
      </w:r>
      <w:r w:rsidR="00A23107" w:rsidRPr="001F1570">
        <w:rPr>
          <w:sz w:val="22"/>
          <w:szCs w:val="22"/>
        </w:rPr>
        <w:t>'</w:t>
      </w:r>
      <w:r w:rsidRPr="001F1570">
        <w:rPr>
          <w:sz w:val="22"/>
          <w:szCs w:val="22"/>
        </w:rPr>
        <w:t>atelier sera l</w:t>
      </w:r>
      <w:r w:rsidR="00A23107" w:rsidRPr="001F1570">
        <w:rPr>
          <w:sz w:val="22"/>
          <w:szCs w:val="22"/>
        </w:rPr>
        <w:t>'</w:t>
      </w:r>
      <w:r w:rsidRPr="001F1570">
        <w:rPr>
          <w:sz w:val="22"/>
          <w:szCs w:val="22"/>
        </w:rPr>
        <w:t>occasion d</w:t>
      </w:r>
      <w:r w:rsidR="00A23107" w:rsidRPr="001F1570">
        <w:rPr>
          <w:sz w:val="22"/>
          <w:szCs w:val="22"/>
        </w:rPr>
        <w:t>'</w:t>
      </w:r>
      <w:r w:rsidRPr="001F1570">
        <w:rPr>
          <w:sz w:val="22"/>
          <w:szCs w:val="22"/>
        </w:rPr>
        <w:t>examiner de plus près le rôle que jouent les politiques générales et les normes internationales dans le processus et la façon dont elles pourront favoriser des changements positifs. Dans le cadre de tables rondes de haut niveau et de sessions interactives, la manifestation offrira de nouvelles possibilités de coopération et de collaboration.</w:t>
      </w:r>
    </w:p>
    <w:p w14:paraId="4BEB01B9" w14:textId="48282E56" w:rsidR="00AF54B9" w:rsidRPr="001F1570" w:rsidRDefault="00AF54B9" w:rsidP="00AF54B9">
      <w:pPr>
        <w:rPr>
          <w:sz w:val="22"/>
          <w:szCs w:val="22"/>
        </w:rPr>
      </w:pPr>
      <w:r w:rsidRPr="001F1570">
        <w:rPr>
          <w:sz w:val="22"/>
          <w:szCs w:val="22"/>
        </w:rPr>
        <w:t>4</w:t>
      </w:r>
      <w:r w:rsidRPr="001F1570">
        <w:rPr>
          <w:sz w:val="22"/>
          <w:szCs w:val="22"/>
        </w:rPr>
        <w:tab/>
        <w:t>Cette manifestation devrait permettre de procéder à des échanges de vues et d</w:t>
      </w:r>
      <w:r w:rsidR="00A23107" w:rsidRPr="001F1570">
        <w:rPr>
          <w:sz w:val="22"/>
          <w:szCs w:val="22"/>
        </w:rPr>
        <w:t>'</w:t>
      </w:r>
      <w:r w:rsidRPr="001F1570">
        <w:rPr>
          <w:sz w:val="22"/>
          <w:szCs w:val="22"/>
        </w:rPr>
        <w:t>échanger des connaissances sur les bonnes pratiques, les normes et les lignes directrices relatives à l'économie circulaire et à la chaîne de valeur, et d</w:t>
      </w:r>
      <w:r w:rsidR="00A23107" w:rsidRPr="001F1570">
        <w:rPr>
          <w:sz w:val="22"/>
          <w:szCs w:val="22"/>
        </w:rPr>
        <w:t>'</w:t>
      </w:r>
      <w:r w:rsidRPr="001F1570">
        <w:rPr>
          <w:sz w:val="22"/>
          <w:szCs w:val="22"/>
        </w:rPr>
        <w:t>en savoir plus sur des cas concrets d'application réussie des normes internationales en Amérique latine.</w:t>
      </w:r>
    </w:p>
    <w:p w14:paraId="11ADED80" w14:textId="14808DA4" w:rsidR="00AF54B9" w:rsidRPr="001F1570" w:rsidRDefault="00AF54B9" w:rsidP="00AF54B9">
      <w:pPr>
        <w:rPr>
          <w:sz w:val="22"/>
          <w:szCs w:val="22"/>
        </w:rPr>
      </w:pPr>
      <w:r w:rsidRPr="001F1570">
        <w:rPr>
          <w:sz w:val="22"/>
          <w:szCs w:val="22"/>
        </w:rPr>
        <w:lastRenderedPageBreak/>
        <w:t>5</w:t>
      </w:r>
      <w:r w:rsidRPr="001F1570">
        <w:rPr>
          <w:sz w:val="22"/>
          <w:szCs w:val="22"/>
        </w:rPr>
        <w:tab/>
        <w:t>L</w:t>
      </w:r>
      <w:r w:rsidR="00A23107" w:rsidRPr="001F1570">
        <w:rPr>
          <w:sz w:val="22"/>
          <w:szCs w:val="22"/>
        </w:rPr>
        <w:t>'</w:t>
      </w:r>
      <w:r w:rsidRPr="001F1570">
        <w:rPr>
          <w:sz w:val="22"/>
          <w:szCs w:val="22"/>
        </w:rPr>
        <w:t>atelier réunira des décideurs, des dirigeants d'entreprise et des spécialistes du secteur privé de haut rang, ainsi que des représentants d'autres organisations du système des Nations</w:t>
      </w:r>
      <w:r w:rsidR="00A23107" w:rsidRPr="001F1570">
        <w:rPr>
          <w:sz w:val="22"/>
          <w:szCs w:val="22"/>
        </w:rPr>
        <w:t> </w:t>
      </w:r>
      <w:r w:rsidRPr="001F1570">
        <w:rPr>
          <w:sz w:val="22"/>
          <w:szCs w:val="22"/>
        </w:rPr>
        <w:t>Unies, d'établissements universitaires, de la société civile, d'autres organisations régionales, d'organisations non gouvernementales, du secteur privé et d'autres acteurs concernés du monde entier</w:t>
      </w:r>
      <w:r w:rsidR="00A23107" w:rsidRPr="001F1570">
        <w:rPr>
          <w:sz w:val="22"/>
          <w:szCs w:val="22"/>
        </w:rPr>
        <w:t>.</w:t>
      </w:r>
    </w:p>
    <w:p w14:paraId="587D126D" w14:textId="77777777" w:rsidR="00AF54B9" w:rsidRPr="001F1570" w:rsidRDefault="00AF54B9" w:rsidP="00AF54B9">
      <w:pPr>
        <w:rPr>
          <w:sz w:val="22"/>
          <w:szCs w:val="22"/>
        </w:rPr>
      </w:pPr>
      <w:r w:rsidRPr="001F1570">
        <w:rPr>
          <w:sz w:val="22"/>
          <w:szCs w:val="22"/>
        </w:rPr>
        <w:t>6</w:t>
      </w:r>
      <w:r w:rsidRPr="001F1570">
        <w:rPr>
          <w:sz w:val="22"/>
          <w:szCs w:val="22"/>
        </w:rPr>
        <w:tab/>
        <w:t>La participation à l'atelier est ouverte aux États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à l'atelier est gratuite et ouverte à tous.</w:t>
      </w:r>
    </w:p>
    <w:p w14:paraId="5138D203" w14:textId="22C68873" w:rsidR="00AF54B9" w:rsidRPr="001F1570" w:rsidRDefault="00AF54B9" w:rsidP="00AF54B9">
      <w:pPr>
        <w:rPr>
          <w:sz w:val="22"/>
          <w:szCs w:val="22"/>
        </w:rPr>
      </w:pPr>
      <w:r w:rsidRPr="001F1570">
        <w:rPr>
          <w:sz w:val="22"/>
          <w:szCs w:val="22"/>
        </w:rPr>
        <w:t>7</w:t>
      </w:r>
      <w:r w:rsidRPr="001F1570">
        <w:rPr>
          <w:sz w:val="22"/>
          <w:szCs w:val="22"/>
        </w:rPr>
        <w:tab/>
        <w:t xml:space="preserve">Tous les renseignements utiles concernant la manifestation (c'est-à-dire le programme provisoire, la liste des intervenants, le lien pour les inscriptions et les informations concernant la connexion à distance) seront publiés sur les sites web </w:t>
      </w:r>
      <w:proofErr w:type="gramStart"/>
      <w:r w:rsidRPr="001F1570">
        <w:rPr>
          <w:sz w:val="22"/>
          <w:szCs w:val="22"/>
        </w:rPr>
        <w:t>suivants:</w:t>
      </w:r>
      <w:proofErr w:type="gramEnd"/>
    </w:p>
    <w:p w14:paraId="0BDDA4F2" w14:textId="4C4A39C6" w:rsidR="00AF54B9" w:rsidRPr="001F1570" w:rsidRDefault="00A23107" w:rsidP="00A23107">
      <w:pPr>
        <w:pStyle w:val="enumlev1"/>
        <w:tabs>
          <w:tab w:val="clear" w:pos="794"/>
          <w:tab w:val="clear" w:pos="1191"/>
          <w:tab w:val="clear" w:pos="1588"/>
        </w:tabs>
        <w:ind w:left="709" w:hanging="709"/>
        <w:rPr>
          <w:sz w:val="22"/>
          <w:szCs w:val="22"/>
        </w:rPr>
      </w:pPr>
      <w:r w:rsidRPr="001F1570">
        <w:rPr>
          <w:sz w:val="22"/>
          <w:szCs w:val="22"/>
        </w:rPr>
        <w:t>–</w:t>
      </w:r>
      <w:r w:rsidR="00AF54B9" w:rsidRPr="001F1570">
        <w:rPr>
          <w:sz w:val="22"/>
          <w:szCs w:val="22"/>
        </w:rPr>
        <w:tab/>
      </w:r>
      <w:proofErr w:type="gramStart"/>
      <w:r w:rsidR="00AF54B9" w:rsidRPr="001F1570">
        <w:rPr>
          <w:b/>
          <w:bCs/>
          <w:sz w:val="22"/>
          <w:szCs w:val="22"/>
        </w:rPr>
        <w:t>EN</w:t>
      </w:r>
      <w:r w:rsidR="00AF54B9" w:rsidRPr="001F1570">
        <w:rPr>
          <w:sz w:val="22"/>
          <w:szCs w:val="22"/>
        </w:rPr>
        <w:t>:</w:t>
      </w:r>
      <w:proofErr w:type="gramEnd"/>
      <w:r w:rsidR="00AF54B9" w:rsidRPr="001F1570">
        <w:rPr>
          <w:sz w:val="22"/>
          <w:szCs w:val="22"/>
        </w:rPr>
        <w:t xml:space="preserve"> </w:t>
      </w:r>
      <w:hyperlink r:id="rId10" w:history="1">
        <w:r w:rsidRPr="001F1570">
          <w:rPr>
            <w:rStyle w:val="Hyperlink"/>
            <w:sz w:val="22"/>
            <w:szCs w:val="22"/>
          </w:rPr>
          <w:t>https://www.itu.int/en/ITU-T/Workshops-and-Seminars/2023/0615/Pages/default.aspx</w:t>
        </w:r>
      </w:hyperlink>
    </w:p>
    <w:p w14:paraId="510D81F3" w14:textId="765302C9" w:rsidR="00AF54B9" w:rsidRPr="001F1570" w:rsidRDefault="00A23107" w:rsidP="00A23107">
      <w:pPr>
        <w:pStyle w:val="enumlev1"/>
        <w:tabs>
          <w:tab w:val="clear" w:pos="794"/>
          <w:tab w:val="clear" w:pos="1191"/>
          <w:tab w:val="clear" w:pos="1588"/>
        </w:tabs>
        <w:ind w:left="709" w:hanging="709"/>
        <w:rPr>
          <w:sz w:val="22"/>
          <w:szCs w:val="22"/>
        </w:rPr>
      </w:pPr>
      <w:r w:rsidRPr="001F1570">
        <w:rPr>
          <w:sz w:val="22"/>
          <w:szCs w:val="22"/>
        </w:rPr>
        <w:t>–</w:t>
      </w:r>
      <w:r w:rsidR="00AF54B9" w:rsidRPr="001F1570">
        <w:rPr>
          <w:sz w:val="22"/>
          <w:szCs w:val="22"/>
        </w:rPr>
        <w:tab/>
      </w:r>
      <w:proofErr w:type="gramStart"/>
      <w:r w:rsidR="00AF54B9" w:rsidRPr="001F1570">
        <w:rPr>
          <w:b/>
          <w:bCs/>
          <w:sz w:val="22"/>
          <w:szCs w:val="22"/>
        </w:rPr>
        <w:t>ES</w:t>
      </w:r>
      <w:r w:rsidR="00AF54B9" w:rsidRPr="001F1570">
        <w:rPr>
          <w:sz w:val="22"/>
          <w:szCs w:val="22"/>
        </w:rPr>
        <w:t>:</w:t>
      </w:r>
      <w:proofErr w:type="gramEnd"/>
      <w:r w:rsidR="00AF54B9" w:rsidRPr="001F1570">
        <w:rPr>
          <w:sz w:val="22"/>
          <w:szCs w:val="22"/>
        </w:rPr>
        <w:t xml:space="preserve"> </w:t>
      </w:r>
      <w:hyperlink r:id="rId11" w:history="1">
        <w:r w:rsidRPr="001F1570">
          <w:rPr>
            <w:rStyle w:val="Hyperlink"/>
            <w:sz w:val="22"/>
            <w:szCs w:val="22"/>
          </w:rPr>
          <w:t>https://www.itu.int/es/ITU-T/Workshops-and-Seminars/2023/0615/Pages/default.aspx</w:t>
        </w:r>
      </w:hyperlink>
    </w:p>
    <w:p w14:paraId="0E3F1D4C" w14:textId="77777777" w:rsidR="00AF54B9" w:rsidRPr="001F1570" w:rsidRDefault="00AF54B9" w:rsidP="00AF54B9">
      <w:pPr>
        <w:rPr>
          <w:sz w:val="22"/>
          <w:szCs w:val="22"/>
        </w:rPr>
      </w:pPr>
      <w:r w:rsidRPr="001F1570">
        <w:rPr>
          <w:sz w:val="22"/>
          <w:szCs w:val="22"/>
        </w:rPr>
        <w:t>Ce site web sera actualisé à mesure que parviendront des informations nouvelles ou modifiées. Les participants sont encouragés à consulter régulièrement le site web pour prendre connaissance des données les plus récentes.</w:t>
      </w:r>
    </w:p>
    <w:p w14:paraId="2653B42B" w14:textId="699EBEB2" w:rsidR="00AF54B9" w:rsidRPr="001F1570" w:rsidRDefault="00AF54B9" w:rsidP="00AF54B9">
      <w:pPr>
        <w:rPr>
          <w:sz w:val="22"/>
          <w:szCs w:val="22"/>
        </w:rPr>
      </w:pPr>
      <w:r w:rsidRPr="001F1570">
        <w:rPr>
          <w:sz w:val="22"/>
          <w:szCs w:val="22"/>
        </w:rPr>
        <w:t>Veuillez agréer, Madame, Monsieur, l'assurance de ma considération distinguée.</w:t>
      </w:r>
    </w:p>
    <w:p w14:paraId="7A73CF07" w14:textId="5BF0174E" w:rsidR="00517A03" w:rsidRPr="001F1570" w:rsidRDefault="00C80ABD" w:rsidP="00A71E93">
      <w:pPr>
        <w:spacing w:before="960"/>
        <w:rPr>
          <w:sz w:val="22"/>
          <w:szCs w:val="22"/>
        </w:rPr>
      </w:pPr>
      <w:r>
        <w:rPr>
          <w:noProof/>
          <w:sz w:val="22"/>
          <w:szCs w:val="22"/>
        </w:rPr>
        <w:drawing>
          <wp:anchor distT="0" distB="0" distL="114300" distR="114300" simplePos="0" relativeHeight="251658240" behindDoc="1" locked="0" layoutInCell="1" allowOverlap="1" wp14:anchorId="24BAF9DB" wp14:editId="035A6742">
            <wp:simplePos x="0" y="0"/>
            <wp:positionH relativeFrom="column">
              <wp:posOffset>3810</wp:posOffset>
            </wp:positionH>
            <wp:positionV relativeFrom="paragraph">
              <wp:posOffset>90170</wp:posOffset>
            </wp:positionV>
            <wp:extent cx="571499" cy="428625"/>
            <wp:effectExtent l="0" t="0" r="635" b="0"/>
            <wp:wrapNone/>
            <wp:docPr id="3" name="Picture 3" descr="A picture containing font, graphics,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graphics,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1499" cy="428625"/>
                    </a:xfrm>
                    <a:prstGeom prst="rect">
                      <a:avLst/>
                    </a:prstGeom>
                  </pic:spPr>
                </pic:pic>
              </a:graphicData>
            </a:graphic>
            <wp14:sizeRelH relativeFrom="margin">
              <wp14:pctWidth>0</wp14:pctWidth>
            </wp14:sizeRelH>
            <wp14:sizeRelV relativeFrom="margin">
              <wp14:pctHeight>0</wp14:pctHeight>
            </wp14:sizeRelV>
          </wp:anchor>
        </w:drawing>
      </w:r>
      <w:r w:rsidR="00AF54B9" w:rsidRPr="001F1570">
        <w:rPr>
          <w:sz w:val="22"/>
          <w:szCs w:val="22"/>
        </w:rPr>
        <w:t>Seizo Onoe</w:t>
      </w:r>
      <w:r w:rsidR="00A23107" w:rsidRPr="001F1570">
        <w:rPr>
          <w:sz w:val="22"/>
          <w:szCs w:val="22"/>
        </w:rPr>
        <w:br/>
      </w:r>
      <w:r w:rsidR="00AF54B9" w:rsidRPr="001F1570">
        <w:rPr>
          <w:sz w:val="22"/>
          <w:szCs w:val="22"/>
        </w:rPr>
        <w:t>Directeur du Bureau de la normalisation</w:t>
      </w:r>
      <w:r w:rsidR="00A23107" w:rsidRPr="001F1570">
        <w:rPr>
          <w:sz w:val="22"/>
          <w:szCs w:val="22"/>
        </w:rPr>
        <w:br/>
      </w:r>
      <w:r w:rsidR="00AF54B9" w:rsidRPr="001F1570">
        <w:rPr>
          <w:sz w:val="22"/>
          <w:szCs w:val="22"/>
        </w:rPr>
        <w:t>des télécommunications</w:t>
      </w:r>
    </w:p>
    <w:sectPr w:rsidR="00517A03" w:rsidRPr="001F1570" w:rsidSect="00EC7752">
      <w:headerReference w:type="default" r:id="rId13"/>
      <w:footerReference w:type="first" r:id="rId14"/>
      <w:pgSz w:w="11907" w:h="16840" w:code="9"/>
      <w:pgMar w:top="1134" w:right="1089" w:bottom="1134" w:left="1089" w:header="567" w:footer="510" w:gutter="0"/>
      <w:paperSrc w:first="15" w:other="15"/>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BA20" w14:textId="77777777" w:rsidR="00DA2828" w:rsidRDefault="00DA2828">
      <w:r>
        <w:separator/>
      </w:r>
    </w:p>
  </w:endnote>
  <w:endnote w:type="continuationSeparator" w:id="0">
    <w:p w14:paraId="2CB8FE19" w14:textId="77777777" w:rsidR="00DA2828" w:rsidRDefault="00DA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5B49"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3B34" w14:textId="77777777" w:rsidR="00DA2828" w:rsidRDefault="00DA2828">
      <w:r>
        <w:t>____________________</w:t>
      </w:r>
    </w:p>
  </w:footnote>
  <w:footnote w:type="continuationSeparator" w:id="0">
    <w:p w14:paraId="3F3A9327" w14:textId="77777777" w:rsidR="00DA2828" w:rsidRDefault="00DA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0841" w14:textId="0EC199EB" w:rsidR="00697BC1" w:rsidRDefault="00C80ABD"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EC7752">
          <w:rPr>
            <w:noProof/>
            <w:sz w:val="18"/>
            <w:szCs w:val="16"/>
          </w:rPr>
          <w:t>- 2 -</w:t>
        </w:r>
        <w:r w:rsidR="00697BC1" w:rsidRPr="00697BC1">
          <w:rPr>
            <w:noProof/>
            <w:sz w:val="18"/>
            <w:szCs w:val="16"/>
          </w:rPr>
          <w:fldChar w:fldCharType="end"/>
        </w:r>
      </w:sdtContent>
    </w:sdt>
    <w:r w:rsidR="00697BC1" w:rsidRPr="00697BC1">
      <w:rPr>
        <w:noProof/>
        <w:sz w:val="18"/>
        <w:szCs w:val="16"/>
      </w:rPr>
      <w:t xml:space="preserve"> </w:t>
    </w:r>
  </w:p>
  <w:p w14:paraId="3C7293EA" w14:textId="6CA6D355" w:rsidR="001F1570" w:rsidRPr="00697BC1" w:rsidRDefault="001F1570" w:rsidP="00697BC1">
    <w:pPr>
      <w:pStyle w:val="Header"/>
      <w:rPr>
        <w:sz w:val="18"/>
        <w:szCs w:val="16"/>
      </w:rPr>
    </w:pPr>
    <w:r>
      <w:rPr>
        <w:noProof/>
        <w:sz w:val="18"/>
        <w:szCs w:val="16"/>
      </w:rPr>
      <w:t>Circulaire TSB 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052937">
    <w:abstractNumId w:val="1"/>
  </w:num>
  <w:num w:numId="2" w16cid:durableId="2102604232">
    <w:abstractNumId w:val="3"/>
  </w:num>
  <w:num w:numId="3" w16cid:durableId="1869295414">
    <w:abstractNumId w:val="2"/>
  </w:num>
  <w:num w:numId="4" w16cid:durableId="49599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B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1F1570"/>
    <w:rsid w:val="002152A3"/>
    <w:rsid w:val="0023667A"/>
    <w:rsid w:val="002E395D"/>
    <w:rsid w:val="003131F0"/>
    <w:rsid w:val="00333A80"/>
    <w:rsid w:val="00341117"/>
    <w:rsid w:val="00364E95"/>
    <w:rsid w:val="00372875"/>
    <w:rsid w:val="003B1E80"/>
    <w:rsid w:val="003B66E8"/>
    <w:rsid w:val="003E66AD"/>
    <w:rsid w:val="004033F1"/>
    <w:rsid w:val="00414B0C"/>
    <w:rsid w:val="00423C21"/>
    <w:rsid w:val="004257AC"/>
    <w:rsid w:val="0043711B"/>
    <w:rsid w:val="00445B68"/>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23107"/>
    <w:rsid w:val="00A51537"/>
    <w:rsid w:val="00A5280F"/>
    <w:rsid w:val="00A5645A"/>
    <w:rsid w:val="00A60FC1"/>
    <w:rsid w:val="00A71E93"/>
    <w:rsid w:val="00A97C37"/>
    <w:rsid w:val="00AA131B"/>
    <w:rsid w:val="00AC37B5"/>
    <w:rsid w:val="00AD752F"/>
    <w:rsid w:val="00AE358B"/>
    <w:rsid w:val="00AF08A4"/>
    <w:rsid w:val="00AF54B9"/>
    <w:rsid w:val="00B27B41"/>
    <w:rsid w:val="00B35647"/>
    <w:rsid w:val="00B42659"/>
    <w:rsid w:val="00B8573E"/>
    <w:rsid w:val="00BB24C0"/>
    <w:rsid w:val="00BD6ECF"/>
    <w:rsid w:val="00C26F2E"/>
    <w:rsid w:val="00C302E3"/>
    <w:rsid w:val="00C41B89"/>
    <w:rsid w:val="00C45376"/>
    <w:rsid w:val="00C80ABD"/>
    <w:rsid w:val="00C9028F"/>
    <w:rsid w:val="00CA0416"/>
    <w:rsid w:val="00CB1125"/>
    <w:rsid w:val="00CB4E80"/>
    <w:rsid w:val="00CD042E"/>
    <w:rsid w:val="00CF2560"/>
    <w:rsid w:val="00CF5B46"/>
    <w:rsid w:val="00D46B68"/>
    <w:rsid w:val="00D542A5"/>
    <w:rsid w:val="00DA2828"/>
    <w:rsid w:val="00DC3D47"/>
    <w:rsid w:val="00DD77DA"/>
    <w:rsid w:val="00DE7E61"/>
    <w:rsid w:val="00E06C61"/>
    <w:rsid w:val="00E13DB3"/>
    <w:rsid w:val="00E2408B"/>
    <w:rsid w:val="00E62CEA"/>
    <w:rsid w:val="00E72AE1"/>
    <w:rsid w:val="00EA2507"/>
    <w:rsid w:val="00EC7752"/>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D8C92"/>
  <w15:docId w15:val="{D6B673FF-8960-4EFA-8B03-8384EF9A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AF54B9"/>
    <w:rPr>
      <w:color w:val="605E5C"/>
      <w:shd w:val="clear" w:color="auto" w:fill="E1DFDD"/>
    </w:rPr>
  </w:style>
  <w:style w:type="character" w:styleId="FollowedHyperlink">
    <w:name w:val="FollowedHyperlink"/>
    <w:basedOn w:val="DefaultParagraphFont"/>
    <w:semiHidden/>
    <w:unhideWhenUsed/>
    <w:rsid w:val="00A23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T/Workshops-and-Seminars/2023/0615/Pages/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ITU-T/Workshops-and-Seminars/2023/0615/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F6952-E087-49B0-B17A-959D55A2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42</TotalTime>
  <Pages>2</Pages>
  <Words>698</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5178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Froehly, Mathilde</dc:creator>
  <cp:lastModifiedBy>Braud, Olivia</cp:lastModifiedBy>
  <cp:revision>11</cp:revision>
  <cp:lastPrinted>2023-06-22T09:18:00Z</cp:lastPrinted>
  <dcterms:created xsi:type="dcterms:W3CDTF">2023-06-07T05:40:00Z</dcterms:created>
  <dcterms:modified xsi:type="dcterms:W3CDTF">2023-06-22T09:19:00Z</dcterms:modified>
</cp:coreProperties>
</file>