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F08DD02" w14:textId="77777777" w:rsidTr="00D517B2">
        <w:trPr>
          <w:cantSplit/>
          <w:trHeight w:val="1134"/>
        </w:trPr>
        <w:tc>
          <w:tcPr>
            <w:tcW w:w="798" w:type="pct"/>
          </w:tcPr>
          <w:p w14:paraId="1474101D"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63F7F67" wp14:editId="7D0781E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39AD75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644F8C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horzAnchor="margin" w:tblpY="1003"/>
        <w:tblOverlap w:val="never"/>
        <w:bidiVisual/>
        <w:tblW w:w="5000" w:type="pct"/>
        <w:tblLayout w:type="fixed"/>
        <w:tblCellMar>
          <w:left w:w="0" w:type="dxa"/>
          <w:right w:w="0" w:type="dxa"/>
        </w:tblCellMar>
        <w:tblLook w:val="0000" w:firstRow="0" w:lastRow="0" w:firstColumn="0" w:lastColumn="0" w:noHBand="0" w:noVBand="0"/>
      </w:tblPr>
      <w:tblGrid>
        <w:gridCol w:w="1534"/>
        <w:gridCol w:w="3698"/>
        <w:gridCol w:w="4407"/>
      </w:tblGrid>
      <w:tr w:rsidR="00D517B2" w:rsidRPr="008869E1" w14:paraId="7B3D6AF5" w14:textId="77777777" w:rsidTr="00B670FB">
        <w:trPr>
          <w:cantSplit/>
          <w:trHeight w:val="142"/>
        </w:trPr>
        <w:tc>
          <w:tcPr>
            <w:tcW w:w="796" w:type="pct"/>
          </w:tcPr>
          <w:p w14:paraId="52137316" w14:textId="77777777" w:rsidR="00D517B2" w:rsidRPr="008869E1" w:rsidRDefault="00D517B2" w:rsidP="00B670FB">
            <w:pPr>
              <w:spacing w:line="300" w:lineRule="exact"/>
              <w:jc w:val="left"/>
              <w:rPr>
                <w:position w:val="2"/>
              </w:rPr>
            </w:pPr>
          </w:p>
        </w:tc>
        <w:tc>
          <w:tcPr>
            <w:tcW w:w="1918" w:type="pct"/>
          </w:tcPr>
          <w:p w14:paraId="4F32F945" w14:textId="77777777" w:rsidR="00D517B2" w:rsidRPr="008869E1" w:rsidRDefault="00D517B2" w:rsidP="00B670FB">
            <w:pPr>
              <w:spacing w:line="300" w:lineRule="exact"/>
              <w:jc w:val="left"/>
              <w:rPr>
                <w:position w:val="2"/>
              </w:rPr>
            </w:pPr>
          </w:p>
        </w:tc>
        <w:tc>
          <w:tcPr>
            <w:tcW w:w="2286" w:type="pct"/>
          </w:tcPr>
          <w:p w14:paraId="7191A394" w14:textId="77777777" w:rsidR="00D517B2" w:rsidRPr="008869E1" w:rsidRDefault="00D517B2" w:rsidP="00B670FB">
            <w:pPr>
              <w:spacing w:line="300" w:lineRule="exact"/>
              <w:jc w:val="left"/>
              <w:rPr>
                <w:position w:val="2"/>
                <w:lang w:bidi="ar-EG"/>
              </w:rPr>
            </w:pPr>
          </w:p>
        </w:tc>
      </w:tr>
      <w:tr w:rsidR="00D517B2" w:rsidRPr="008869E1" w14:paraId="4FEC6CA6" w14:textId="77777777" w:rsidTr="00B670FB">
        <w:trPr>
          <w:cantSplit/>
          <w:trHeight w:val="148"/>
        </w:trPr>
        <w:tc>
          <w:tcPr>
            <w:tcW w:w="796" w:type="pct"/>
          </w:tcPr>
          <w:p w14:paraId="7E3D457E" w14:textId="77777777" w:rsidR="00D517B2" w:rsidRPr="008869E1" w:rsidRDefault="00D517B2" w:rsidP="00B670FB">
            <w:pPr>
              <w:spacing w:before="80" w:after="60" w:line="300" w:lineRule="exact"/>
              <w:jc w:val="left"/>
              <w:rPr>
                <w:position w:val="2"/>
              </w:rPr>
            </w:pPr>
          </w:p>
        </w:tc>
        <w:tc>
          <w:tcPr>
            <w:tcW w:w="1918" w:type="pct"/>
          </w:tcPr>
          <w:p w14:paraId="0F9FE2CB" w14:textId="77777777" w:rsidR="00D517B2" w:rsidRPr="008869E1" w:rsidRDefault="00D517B2" w:rsidP="00B670FB">
            <w:pPr>
              <w:spacing w:before="80" w:after="60" w:line="300" w:lineRule="exact"/>
              <w:jc w:val="left"/>
              <w:rPr>
                <w:position w:val="2"/>
                <w:lang w:bidi="ar-EG"/>
              </w:rPr>
            </w:pPr>
          </w:p>
        </w:tc>
        <w:tc>
          <w:tcPr>
            <w:tcW w:w="2286" w:type="pct"/>
          </w:tcPr>
          <w:p w14:paraId="03CC4E81" w14:textId="6DBA3DF5" w:rsidR="00D517B2" w:rsidRPr="008869E1" w:rsidRDefault="00873469" w:rsidP="00B670FB">
            <w:pPr>
              <w:spacing w:before="80" w:after="60" w:line="300" w:lineRule="exact"/>
              <w:jc w:val="left"/>
              <w:rPr>
                <w:position w:val="2"/>
                <w:rtl/>
                <w:lang w:bidi="ar-EG"/>
              </w:rPr>
            </w:pPr>
            <w:r w:rsidRPr="008869E1">
              <w:rPr>
                <w:rFonts w:hint="cs"/>
                <w:position w:val="2"/>
                <w:rtl/>
              </w:rPr>
              <w:t xml:space="preserve">جنيف، </w:t>
            </w:r>
            <w:r w:rsidR="006F483C" w:rsidRPr="008869E1">
              <w:rPr>
                <w:position w:val="2"/>
              </w:rPr>
              <w:t>6</w:t>
            </w:r>
            <w:r w:rsidR="002639EE" w:rsidRPr="008869E1">
              <w:rPr>
                <w:rFonts w:hint="cs"/>
                <w:position w:val="2"/>
                <w:rtl/>
              </w:rPr>
              <w:t xml:space="preserve"> </w:t>
            </w:r>
            <w:r w:rsidR="00D725D6" w:rsidRPr="008869E1">
              <w:rPr>
                <w:rFonts w:hint="cs"/>
                <w:position w:val="2"/>
                <w:rtl/>
              </w:rPr>
              <w:t>يونيو</w:t>
            </w:r>
            <w:r w:rsidR="002639EE" w:rsidRPr="008869E1">
              <w:rPr>
                <w:rFonts w:hint="cs"/>
                <w:position w:val="2"/>
                <w:rtl/>
              </w:rPr>
              <w:t xml:space="preserve"> 2023</w:t>
            </w:r>
          </w:p>
        </w:tc>
      </w:tr>
      <w:tr w:rsidR="007D3363" w:rsidRPr="008869E1" w14:paraId="2A7ACBE5" w14:textId="77777777" w:rsidTr="00B670FB">
        <w:trPr>
          <w:cantSplit/>
          <w:trHeight w:val="831"/>
        </w:trPr>
        <w:tc>
          <w:tcPr>
            <w:tcW w:w="796" w:type="pct"/>
          </w:tcPr>
          <w:p w14:paraId="3C110894" w14:textId="77777777" w:rsidR="007D3363" w:rsidRPr="008869E1" w:rsidRDefault="007D3363" w:rsidP="00B670FB">
            <w:pPr>
              <w:spacing w:before="40" w:after="40" w:line="300" w:lineRule="exact"/>
              <w:jc w:val="left"/>
              <w:rPr>
                <w:b/>
                <w:bCs/>
                <w:position w:val="2"/>
              </w:rPr>
            </w:pPr>
            <w:r w:rsidRPr="008869E1">
              <w:rPr>
                <w:rFonts w:hint="cs"/>
                <w:b/>
                <w:bCs/>
                <w:position w:val="2"/>
                <w:rtl/>
              </w:rPr>
              <w:t>المرجع:</w:t>
            </w:r>
          </w:p>
        </w:tc>
        <w:tc>
          <w:tcPr>
            <w:tcW w:w="1918" w:type="pct"/>
          </w:tcPr>
          <w:p w14:paraId="7482DB4C" w14:textId="1CE7D7AB" w:rsidR="007D3363" w:rsidRPr="008869E1" w:rsidRDefault="007D3363" w:rsidP="00B670FB">
            <w:pPr>
              <w:spacing w:before="40" w:after="40" w:line="300" w:lineRule="exact"/>
              <w:jc w:val="left"/>
              <w:rPr>
                <w:bCs/>
                <w:position w:val="2"/>
                <w:rtl/>
                <w:lang w:val="pt-PT" w:bidi="ar-EG"/>
              </w:rPr>
            </w:pPr>
            <w:r w:rsidRPr="008869E1">
              <w:rPr>
                <w:b/>
                <w:position w:val="2"/>
                <w:lang w:val="pt-PT"/>
              </w:rPr>
              <w:t xml:space="preserve">TSB Circular </w:t>
            </w:r>
            <w:r w:rsidR="006F483C" w:rsidRPr="008869E1">
              <w:rPr>
                <w:b/>
                <w:position w:val="2"/>
                <w:lang w:val="pt-PT"/>
              </w:rPr>
              <w:t>109</w:t>
            </w:r>
            <w:r w:rsidR="00D725D6" w:rsidRPr="008869E1">
              <w:rPr>
                <w:b/>
                <w:position w:val="2"/>
                <w:lang w:val="pt-PT"/>
              </w:rPr>
              <w:br/>
            </w:r>
          </w:p>
        </w:tc>
        <w:tc>
          <w:tcPr>
            <w:tcW w:w="2286" w:type="pct"/>
            <w:vMerge w:val="restart"/>
          </w:tcPr>
          <w:p w14:paraId="2980D8E6" w14:textId="77777777" w:rsidR="007D3363" w:rsidRPr="008869E1" w:rsidRDefault="007D3363" w:rsidP="00B670FB">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794" w:hanging="794"/>
              <w:jc w:val="left"/>
              <w:rPr>
                <w:b/>
                <w:bCs/>
                <w:position w:val="2"/>
              </w:rPr>
            </w:pPr>
            <w:r w:rsidRPr="008869E1">
              <w:rPr>
                <w:b/>
                <w:bCs/>
                <w:position w:val="2"/>
                <w:rtl/>
              </w:rPr>
              <w:t>إلى:</w:t>
            </w:r>
          </w:p>
          <w:p w14:paraId="4F0DAC2C" w14:textId="77777777" w:rsidR="007D3363" w:rsidRPr="008869E1" w:rsidRDefault="007D3363" w:rsidP="00B670FB">
            <w:pPr>
              <w:tabs>
                <w:tab w:val="left" w:pos="284"/>
                <w:tab w:val="left" w:pos="4111"/>
              </w:tabs>
              <w:spacing w:before="40" w:after="40" w:line="300" w:lineRule="exact"/>
              <w:ind w:left="284" w:hanging="284"/>
              <w:rPr>
                <w:position w:val="2"/>
                <w:rtl/>
                <w:lang w:bidi="ar-EG"/>
              </w:rPr>
            </w:pPr>
            <w:r w:rsidRPr="008869E1">
              <w:rPr>
                <w:position w:val="2"/>
                <w:rtl/>
              </w:rPr>
              <w:t>-</w:t>
            </w:r>
            <w:r w:rsidRPr="008869E1">
              <w:rPr>
                <w:position w:val="2"/>
                <w:rtl/>
              </w:rPr>
              <w:tab/>
              <w:t>إدارات الدول الأعضاء في الاتحاد</w:t>
            </w:r>
            <w:r w:rsidRPr="008869E1">
              <w:rPr>
                <w:position w:val="2"/>
                <w:rtl/>
                <w:lang w:bidi="ar-EG"/>
              </w:rPr>
              <w:t>؛</w:t>
            </w:r>
          </w:p>
          <w:p w14:paraId="5A92EBCD" w14:textId="77777777" w:rsidR="007D3363" w:rsidRPr="008869E1" w:rsidRDefault="007D3363" w:rsidP="00B670FB">
            <w:pPr>
              <w:tabs>
                <w:tab w:val="left" w:pos="284"/>
                <w:tab w:val="left" w:pos="4111"/>
              </w:tabs>
              <w:spacing w:before="40" w:after="40" w:line="300" w:lineRule="exact"/>
              <w:ind w:left="284" w:hanging="284"/>
              <w:rPr>
                <w:position w:val="2"/>
                <w:rtl/>
                <w:lang w:bidi="ar-EG"/>
              </w:rPr>
            </w:pPr>
            <w:r w:rsidRPr="008869E1">
              <w:rPr>
                <w:position w:val="2"/>
                <w:rtl/>
              </w:rPr>
              <w:t>-</w:t>
            </w:r>
            <w:r w:rsidRPr="008869E1">
              <w:rPr>
                <w:position w:val="2"/>
                <w:rtl/>
              </w:rPr>
              <w:tab/>
            </w:r>
            <w:r w:rsidRPr="008869E1">
              <w:rPr>
                <w:position w:val="2"/>
                <w:rtl/>
                <w:lang w:bidi="ar-EG"/>
              </w:rPr>
              <w:t>أعضاء قطاع تقييس الاتصالات؛</w:t>
            </w:r>
          </w:p>
          <w:p w14:paraId="516CECD1" w14:textId="77777777" w:rsidR="007D3363" w:rsidRPr="008869E1" w:rsidRDefault="007D3363" w:rsidP="00B670FB">
            <w:pPr>
              <w:tabs>
                <w:tab w:val="left" w:pos="284"/>
                <w:tab w:val="left" w:pos="4111"/>
              </w:tabs>
              <w:spacing w:before="40" w:after="40" w:line="300" w:lineRule="exact"/>
              <w:ind w:left="284" w:hanging="284"/>
              <w:rPr>
                <w:position w:val="2"/>
                <w:rtl/>
                <w:lang w:bidi="ar-EG"/>
              </w:rPr>
            </w:pPr>
            <w:r w:rsidRPr="008869E1">
              <w:rPr>
                <w:position w:val="2"/>
                <w:rtl/>
              </w:rPr>
              <w:t>-</w:t>
            </w:r>
            <w:r w:rsidRPr="008869E1">
              <w:rPr>
                <w:position w:val="2"/>
                <w:rtl/>
              </w:rPr>
              <w:tab/>
              <w:t>المنتسبين إلى قطاع تقييس الاتصالات؛</w:t>
            </w:r>
          </w:p>
          <w:p w14:paraId="77EF180E" w14:textId="5AC5E37E" w:rsidR="007D3363" w:rsidRPr="008869E1" w:rsidRDefault="007D3363" w:rsidP="00B670FB">
            <w:pPr>
              <w:tabs>
                <w:tab w:val="clear" w:pos="794"/>
                <w:tab w:val="left" w:pos="284"/>
              </w:tabs>
              <w:spacing w:before="40" w:after="40" w:line="300" w:lineRule="exact"/>
              <w:ind w:left="284" w:hanging="284"/>
              <w:jc w:val="left"/>
              <w:rPr>
                <w:position w:val="2"/>
                <w:rtl/>
              </w:rPr>
            </w:pPr>
            <w:r w:rsidRPr="008869E1">
              <w:rPr>
                <w:position w:val="2"/>
                <w:rtl/>
              </w:rPr>
              <w:t>-</w:t>
            </w:r>
            <w:r w:rsidRPr="008869E1">
              <w:rPr>
                <w:position w:val="2"/>
                <w:rtl/>
              </w:rPr>
              <w:tab/>
              <w:t>الهيئات الأكاديمية المنضمة إلى</w:t>
            </w:r>
            <w:r w:rsidRPr="008869E1">
              <w:rPr>
                <w:position w:val="2"/>
                <w:rtl/>
                <w:lang w:bidi="ar-EG"/>
              </w:rPr>
              <w:t xml:space="preserve"> الاتحاد</w:t>
            </w:r>
          </w:p>
        </w:tc>
      </w:tr>
      <w:tr w:rsidR="007D3363" w:rsidRPr="008869E1" w14:paraId="1D1DAFD3" w14:textId="77777777" w:rsidTr="00B670FB">
        <w:trPr>
          <w:cantSplit/>
          <w:trHeight w:val="340"/>
        </w:trPr>
        <w:tc>
          <w:tcPr>
            <w:tcW w:w="796" w:type="pct"/>
          </w:tcPr>
          <w:p w14:paraId="43ECDEF1" w14:textId="5B00AF65" w:rsidR="007D3363" w:rsidRPr="008869E1" w:rsidRDefault="00D725D6" w:rsidP="00B670FB">
            <w:pPr>
              <w:spacing w:before="40" w:after="40" w:line="300" w:lineRule="exact"/>
              <w:jc w:val="left"/>
              <w:rPr>
                <w:b/>
                <w:bCs/>
                <w:position w:val="2"/>
              </w:rPr>
            </w:pPr>
            <w:r w:rsidRPr="008869E1">
              <w:rPr>
                <w:rFonts w:hint="cs"/>
                <w:b/>
                <w:bCs/>
                <w:position w:val="2"/>
                <w:rtl/>
                <w:lang w:bidi="ar-EG"/>
              </w:rPr>
              <w:t>الهاتف</w:t>
            </w:r>
            <w:r w:rsidR="007D3363" w:rsidRPr="008869E1">
              <w:rPr>
                <w:rFonts w:hint="cs"/>
                <w:b/>
                <w:bCs/>
                <w:position w:val="2"/>
                <w:rtl/>
              </w:rPr>
              <w:t>:</w:t>
            </w:r>
          </w:p>
        </w:tc>
        <w:tc>
          <w:tcPr>
            <w:tcW w:w="1918" w:type="pct"/>
          </w:tcPr>
          <w:p w14:paraId="713199B7" w14:textId="0ACD5DFB" w:rsidR="007D3363" w:rsidRPr="008869E1" w:rsidRDefault="007D3363" w:rsidP="00B670FB">
            <w:pPr>
              <w:spacing w:before="40" w:after="40" w:line="300" w:lineRule="exact"/>
              <w:jc w:val="left"/>
              <w:rPr>
                <w:b/>
                <w:position w:val="2"/>
              </w:rPr>
            </w:pPr>
            <w:r w:rsidRPr="008869E1">
              <w:rPr>
                <w:position w:val="2"/>
              </w:rPr>
              <w:t>+41 22 730 </w:t>
            </w:r>
            <w:r w:rsidR="006F483C" w:rsidRPr="008869E1">
              <w:rPr>
                <w:position w:val="2"/>
              </w:rPr>
              <w:t>5356</w:t>
            </w:r>
          </w:p>
        </w:tc>
        <w:tc>
          <w:tcPr>
            <w:tcW w:w="2286" w:type="pct"/>
            <w:vMerge/>
          </w:tcPr>
          <w:p w14:paraId="16E2FD57" w14:textId="77777777" w:rsidR="007D3363" w:rsidRPr="008869E1" w:rsidRDefault="007D3363" w:rsidP="00B670FB">
            <w:pPr>
              <w:spacing w:before="40" w:after="40" w:line="300" w:lineRule="exact"/>
              <w:jc w:val="left"/>
              <w:rPr>
                <w:position w:val="2"/>
                <w:rtl/>
              </w:rPr>
            </w:pPr>
          </w:p>
        </w:tc>
      </w:tr>
      <w:tr w:rsidR="007D3363" w:rsidRPr="008869E1" w14:paraId="7628B6CF" w14:textId="77777777" w:rsidTr="00B670FB">
        <w:trPr>
          <w:cantSplit/>
          <w:trHeight w:val="284"/>
        </w:trPr>
        <w:tc>
          <w:tcPr>
            <w:tcW w:w="796" w:type="pct"/>
          </w:tcPr>
          <w:p w14:paraId="16EEF47E" w14:textId="77777777" w:rsidR="007D3363" w:rsidRPr="008869E1" w:rsidRDefault="007D3363" w:rsidP="00B670FB">
            <w:pPr>
              <w:spacing w:before="40" w:after="40" w:line="300" w:lineRule="exact"/>
              <w:jc w:val="left"/>
              <w:rPr>
                <w:b/>
                <w:bCs/>
                <w:position w:val="2"/>
                <w:rtl/>
                <w:lang w:bidi="ar-EG"/>
              </w:rPr>
            </w:pPr>
            <w:r w:rsidRPr="008869E1">
              <w:rPr>
                <w:rFonts w:hint="cs"/>
                <w:b/>
                <w:bCs/>
                <w:position w:val="2"/>
                <w:rtl/>
              </w:rPr>
              <w:t>الفاكس:</w:t>
            </w:r>
          </w:p>
        </w:tc>
        <w:tc>
          <w:tcPr>
            <w:tcW w:w="1918" w:type="pct"/>
          </w:tcPr>
          <w:p w14:paraId="68263A25" w14:textId="77777777" w:rsidR="007D3363" w:rsidRPr="008869E1" w:rsidRDefault="007D3363" w:rsidP="00B670FB">
            <w:pPr>
              <w:spacing w:before="40" w:after="40" w:line="300" w:lineRule="exact"/>
              <w:jc w:val="left"/>
              <w:rPr>
                <w:position w:val="2"/>
              </w:rPr>
            </w:pPr>
            <w:r w:rsidRPr="008869E1">
              <w:rPr>
                <w:position w:val="2"/>
              </w:rPr>
              <w:t>+41 22 730 5853</w:t>
            </w:r>
          </w:p>
        </w:tc>
        <w:tc>
          <w:tcPr>
            <w:tcW w:w="2286" w:type="pct"/>
            <w:vMerge/>
          </w:tcPr>
          <w:p w14:paraId="1D919C5F" w14:textId="77777777" w:rsidR="007D3363" w:rsidRPr="008869E1" w:rsidRDefault="007D3363" w:rsidP="00B670FB">
            <w:pPr>
              <w:spacing w:before="40" w:after="40" w:line="300" w:lineRule="exact"/>
              <w:jc w:val="left"/>
              <w:rPr>
                <w:position w:val="2"/>
                <w:rtl/>
              </w:rPr>
            </w:pPr>
          </w:p>
        </w:tc>
      </w:tr>
      <w:tr w:rsidR="007D3363" w:rsidRPr="008869E1" w14:paraId="0ED3DEA2" w14:textId="77777777" w:rsidTr="00B670FB">
        <w:trPr>
          <w:cantSplit/>
        </w:trPr>
        <w:tc>
          <w:tcPr>
            <w:tcW w:w="796" w:type="pct"/>
          </w:tcPr>
          <w:p w14:paraId="12FA1C49" w14:textId="77777777" w:rsidR="007D3363" w:rsidRPr="008869E1" w:rsidRDefault="007D3363" w:rsidP="00B670FB">
            <w:pPr>
              <w:spacing w:before="40" w:after="40" w:line="300" w:lineRule="exact"/>
              <w:jc w:val="left"/>
              <w:rPr>
                <w:b/>
                <w:bCs/>
                <w:position w:val="2"/>
                <w:rtl/>
              </w:rPr>
            </w:pPr>
            <w:r w:rsidRPr="008869E1">
              <w:rPr>
                <w:rFonts w:hint="cs"/>
                <w:b/>
                <w:bCs/>
                <w:position w:val="2"/>
                <w:rtl/>
              </w:rPr>
              <w:t>البريد الإلكتروني:</w:t>
            </w:r>
          </w:p>
        </w:tc>
        <w:tc>
          <w:tcPr>
            <w:tcW w:w="1918" w:type="pct"/>
          </w:tcPr>
          <w:p w14:paraId="201BE461" w14:textId="0016966B" w:rsidR="007D3363" w:rsidRPr="008869E1" w:rsidRDefault="00545897" w:rsidP="00B670FB">
            <w:pPr>
              <w:spacing w:before="40" w:after="40" w:line="300" w:lineRule="exact"/>
              <w:jc w:val="left"/>
              <w:rPr>
                <w:position w:val="2"/>
                <w:lang w:bidi="ar-EG"/>
              </w:rPr>
            </w:pPr>
            <w:hyperlink r:id="rId9" w:history="1">
              <w:bookmarkStart w:id="0" w:name="lt_pId039"/>
              <w:r w:rsidR="00D725D6" w:rsidRPr="008869E1">
                <w:rPr>
                  <w:rFonts w:cs="Calibri"/>
                  <w:color w:val="0000FF"/>
                  <w:u w:val="single"/>
                </w:rPr>
                <w:t>tsbevents@itu.int</w:t>
              </w:r>
              <w:bookmarkEnd w:id="0"/>
            </w:hyperlink>
          </w:p>
        </w:tc>
        <w:tc>
          <w:tcPr>
            <w:tcW w:w="2286" w:type="pct"/>
          </w:tcPr>
          <w:p w14:paraId="73771EB4" w14:textId="77777777" w:rsidR="007D3363" w:rsidRPr="008869E1" w:rsidRDefault="007D3363" w:rsidP="00B670FB">
            <w:pPr>
              <w:tabs>
                <w:tab w:val="left" w:pos="284"/>
                <w:tab w:val="left" w:pos="4111"/>
              </w:tabs>
              <w:spacing w:before="40" w:after="40" w:line="300" w:lineRule="exact"/>
              <w:ind w:left="57"/>
              <w:rPr>
                <w:b/>
                <w:bCs/>
                <w:position w:val="2"/>
                <w:rtl/>
              </w:rPr>
            </w:pPr>
            <w:r w:rsidRPr="008869E1">
              <w:rPr>
                <w:b/>
                <w:bCs/>
                <w:position w:val="2"/>
                <w:rtl/>
              </w:rPr>
              <w:t>نسخة إلى:</w:t>
            </w:r>
          </w:p>
          <w:p w14:paraId="3BE1E6F0" w14:textId="77777777" w:rsidR="007D3363" w:rsidRPr="008869E1" w:rsidRDefault="007D3363" w:rsidP="00B670FB">
            <w:pPr>
              <w:tabs>
                <w:tab w:val="left" w:pos="284"/>
                <w:tab w:val="left" w:pos="4111"/>
              </w:tabs>
              <w:spacing w:before="40" w:after="40" w:line="300" w:lineRule="exact"/>
              <w:ind w:left="284" w:hanging="284"/>
              <w:rPr>
                <w:position w:val="2"/>
                <w:rtl/>
              </w:rPr>
            </w:pPr>
            <w:r w:rsidRPr="008869E1">
              <w:rPr>
                <w:position w:val="2"/>
                <w:rtl/>
              </w:rPr>
              <w:t>-</w:t>
            </w:r>
            <w:r w:rsidRPr="008869E1">
              <w:rPr>
                <w:position w:val="2"/>
                <w:rtl/>
              </w:rPr>
              <w:tab/>
              <w:t xml:space="preserve">رؤساء لجان دراسات قطاع تقييس الاتصالات </w:t>
            </w:r>
            <w:r w:rsidRPr="008869E1">
              <w:rPr>
                <w:position w:val="2"/>
                <w:rtl/>
                <w:lang w:bidi="ar-EG"/>
              </w:rPr>
              <w:t>ونوابه</w:t>
            </w:r>
            <w:r w:rsidRPr="008869E1">
              <w:rPr>
                <w:position w:val="2"/>
                <w:rtl/>
              </w:rPr>
              <w:t>م؛</w:t>
            </w:r>
          </w:p>
          <w:p w14:paraId="64654F4A" w14:textId="53256541" w:rsidR="007D3363" w:rsidRPr="008869E1" w:rsidRDefault="007D3363" w:rsidP="00B670FB">
            <w:pPr>
              <w:tabs>
                <w:tab w:val="left" w:pos="284"/>
                <w:tab w:val="left" w:pos="4111"/>
              </w:tabs>
              <w:spacing w:before="40" w:after="40" w:line="300" w:lineRule="exact"/>
              <w:ind w:left="284" w:hanging="284"/>
              <w:rPr>
                <w:position w:val="2"/>
                <w:rtl/>
              </w:rPr>
            </w:pPr>
            <w:r w:rsidRPr="008869E1">
              <w:rPr>
                <w:position w:val="2"/>
                <w:rtl/>
              </w:rPr>
              <w:t>-</w:t>
            </w:r>
            <w:r w:rsidRPr="008869E1">
              <w:rPr>
                <w:position w:val="2"/>
                <w:rtl/>
              </w:rPr>
              <w:tab/>
              <w:t xml:space="preserve">مدير مكتب </w:t>
            </w:r>
            <w:r w:rsidR="003A6199" w:rsidRPr="008869E1">
              <w:rPr>
                <w:rFonts w:hint="cs"/>
                <w:position w:val="2"/>
                <w:rtl/>
              </w:rPr>
              <w:t>تنمية الاتصالات</w:t>
            </w:r>
            <w:r w:rsidRPr="008869E1">
              <w:rPr>
                <w:position w:val="2"/>
                <w:rtl/>
              </w:rPr>
              <w:t>؛</w:t>
            </w:r>
          </w:p>
          <w:p w14:paraId="79FD8B3F" w14:textId="77732818" w:rsidR="007D3363" w:rsidRPr="008869E1" w:rsidRDefault="007D3363" w:rsidP="00B670FB">
            <w:pPr>
              <w:tabs>
                <w:tab w:val="left" w:pos="284"/>
                <w:tab w:val="left" w:pos="4111"/>
              </w:tabs>
              <w:spacing w:before="40" w:after="40" w:line="300" w:lineRule="exact"/>
              <w:ind w:left="284" w:hanging="284"/>
              <w:rPr>
                <w:position w:val="2"/>
                <w:rtl/>
              </w:rPr>
            </w:pPr>
            <w:r w:rsidRPr="008869E1">
              <w:rPr>
                <w:position w:val="2"/>
                <w:rtl/>
              </w:rPr>
              <w:t>-</w:t>
            </w:r>
            <w:r w:rsidRPr="008869E1">
              <w:rPr>
                <w:position w:val="2"/>
                <w:rtl/>
              </w:rPr>
              <w:tab/>
              <w:t xml:space="preserve">مدير مكتب </w:t>
            </w:r>
            <w:r w:rsidR="003A6199" w:rsidRPr="008869E1">
              <w:rPr>
                <w:rFonts w:hint="cs"/>
                <w:position w:val="2"/>
                <w:rtl/>
              </w:rPr>
              <w:t>الاتصالات الراديوية</w:t>
            </w:r>
          </w:p>
        </w:tc>
      </w:tr>
      <w:tr w:rsidR="007D3363" w:rsidRPr="008869E1" w14:paraId="358EEDA6" w14:textId="77777777" w:rsidTr="00B670FB">
        <w:trPr>
          <w:cantSplit/>
        </w:trPr>
        <w:tc>
          <w:tcPr>
            <w:tcW w:w="796" w:type="pct"/>
          </w:tcPr>
          <w:p w14:paraId="7110B24F" w14:textId="77777777" w:rsidR="007D3363" w:rsidRPr="008869E1" w:rsidRDefault="007D3363" w:rsidP="00B670FB">
            <w:pPr>
              <w:spacing w:before="0" w:line="260" w:lineRule="exact"/>
              <w:jc w:val="left"/>
              <w:rPr>
                <w:b/>
                <w:bCs/>
                <w:position w:val="2"/>
                <w:rtl/>
                <w:lang w:bidi="ar-EG"/>
              </w:rPr>
            </w:pPr>
          </w:p>
        </w:tc>
        <w:tc>
          <w:tcPr>
            <w:tcW w:w="1918" w:type="pct"/>
          </w:tcPr>
          <w:p w14:paraId="28956927" w14:textId="77777777" w:rsidR="007D3363" w:rsidRPr="008869E1" w:rsidRDefault="007D3363" w:rsidP="00B670FB">
            <w:pPr>
              <w:spacing w:before="0" w:line="260" w:lineRule="exact"/>
              <w:jc w:val="left"/>
              <w:rPr>
                <w:position w:val="2"/>
              </w:rPr>
            </w:pPr>
          </w:p>
        </w:tc>
        <w:tc>
          <w:tcPr>
            <w:tcW w:w="2286" w:type="pct"/>
          </w:tcPr>
          <w:p w14:paraId="06EFB8BD" w14:textId="77777777" w:rsidR="007D3363" w:rsidRPr="008869E1" w:rsidRDefault="007D3363" w:rsidP="00B670FB">
            <w:pPr>
              <w:spacing w:before="0" w:line="260" w:lineRule="exact"/>
              <w:jc w:val="left"/>
              <w:rPr>
                <w:position w:val="2"/>
                <w:rtl/>
              </w:rPr>
            </w:pPr>
          </w:p>
        </w:tc>
      </w:tr>
      <w:tr w:rsidR="007D3363" w:rsidRPr="008869E1" w14:paraId="6510C441" w14:textId="77777777" w:rsidTr="00B670FB">
        <w:trPr>
          <w:cantSplit/>
        </w:trPr>
        <w:tc>
          <w:tcPr>
            <w:tcW w:w="796" w:type="pct"/>
          </w:tcPr>
          <w:p w14:paraId="473FBB9E" w14:textId="77777777" w:rsidR="007D3363" w:rsidRPr="008869E1" w:rsidRDefault="007D3363" w:rsidP="00B670FB">
            <w:pPr>
              <w:spacing w:before="80" w:after="60" w:line="300" w:lineRule="exact"/>
              <w:jc w:val="left"/>
              <w:rPr>
                <w:b/>
                <w:bCs/>
                <w:position w:val="2"/>
                <w:rtl/>
                <w:lang w:bidi="ar-SY"/>
              </w:rPr>
            </w:pPr>
            <w:r w:rsidRPr="008869E1">
              <w:rPr>
                <w:rFonts w:hint="cs"/>
                <w:b/>
                <w:bCs/>
                <w:position w:val="2"/>
                <w:rtl/>
              </w:rPr>
              <w:t>الموضوع:</w:t>
            </w:r>
          </w:p>
        </w:tc>
        <w:tc>
          <w:tcPr>
            <w:tcW w:w="4204" w:type="pct"/>
            <w:gridSpan w:val="2"/>
          </w:tcPr>
          <w:p w14:paraId="730D6CB8" w14:textId="53C3763C" w:rsidR="00E60672" w:rsidRPr="008869E1" w:rsidRDefault="006F1BC8" w:rsidP="00B670FB">
            <w:pPr>
              <w:spacing w:before="80" w:after="60" w:line="300" w:lineRule="exact"/>
              <w:rPr>
                <w:b/>
                <w:bCs/>
                <w:position w:val="2"/>
                <w:rtl/>
                <w:lang w:bidi="ar-EG"/>
              </w:rPr>
            </w:pPr>
            <w:r w:rsidRPr="008869E1">
              <w:rPr>
                <w:rFonts w:hint="cs"/>
                <w:b/>
                <w:bCs/>
                <w:position w:val="2"/>
                <w:rtl/>
                <w:lang w:bidi="ar-EG"/>
              </w:rPr>
              <w:t xml:space="preserve">ورشة عمل ينظمها الاتحاد بشأن "تشكيل مستقبل مستدام ورقمي </w:t>
            </w:r>
            <w:r w:rsidRPr="008869E1">
              <w:rPr>
                <w:b/>
                <w:bCs/>
                <w:position w:val="2"/>
                <w:rtl/>
                <w:lang w:bidi="ar-EG"/>
              </w:rPr>
              <w:t>–</w:t>
            </w:r>
            <w:r w:rsidRPr="008869E1">
              <w:rPr>
                <w:rFonts w:hint="cs"/>
                <w:b/>
                <w:bCs/>
                <w:position w:val="2"/>
                <w:rtl/>
                <w:lang w:bidi="ar-EG"/>
              </w:rPr>
              <w:t xml:space="preserve"> الطريق نحو أسبوع المعايير المراعية للبيئة" (افتراضية بالكامل، 15 يونيو 2023)</w:t>
            </w:r>
          </w:p>
        </w:tc>
      </w:tr>
      <w:tr w:rsidR="00097EAF" w:rsidRPr="008869E1" w14:paraId="120386D2" w14:textId="77777777" w:rsidTr="00B670FB">
        <w:trPr>
          <w:cantSplit/>
        </w:trPr>
        <w:tc>
          <w:tcPr>
            <w:tcW w:w="796" w:type="pct"/>
          </w:tcPr>
          <w:p w14:paraId="57ECBDDA" w14:textId="77777777" w:rsidR="00097EAF" w:rsidRPr="008869E1" w:rsidRDefault="00097EAF" w:rsidP="00B670FB">
            <w:pPr>
              <w:spacing w:before="80" w:after="60" w:line="300" w:lineRule="exact"/>
              <w:jc w:val="left"/>
              <w:rPr>
                <w:b/>
                <w:bCs/>
                <w:position w:val="2"/>
                <w:rtl/>
              </w:rPr>
            </w:pPr>
          </w:p>
        </w:tc>
        <w:tc>
          <w:tcPr>
            <w:tcW w:w="4204" w:type="pct"/>
            <w:gridSpan w:val="2"/>
          </w:tcPr>
          <w:p w14:paraId="303C3D2C" w14:textId="77777777" w:rsidR="00097EAF" w:rsidRPr="008869E1" w:rsidRDefault="00097EAF" w:rsidP="00B670FB">
            <w:pPr>
              <w:spacing w:before="80" w:after="60" w:line="300" w:lineRule="exact"/>
              <w:rPr>
                <w:b/>
                <w:bCs/>
                <w:position w:val="2"/>
                <w:rtl/>
                <w:lang w:bidi="ar-EG"/>
              </w:rPr>
            </w:pPr>
          </w:p>
        </w:tc>
      </w:tr>
      <w:tr w:rsidR="00097EAF" w:rsidRPr="008869E1" w14:paraId="7C277652" w14:textId="77777777" w:rsidTr="00B670FB">
        <w:trPr>
          <w:cantSplit/>
        </w:trPr>
        <w:tc>
          <w:tcPr>
            <w:tcW w:w="5000" w:type="pct"/>
            <w:gridSpan w:val="3"/>
          </w:tcPr>
          <w:p w14:paraId="62D8F4A3" w14:textId="77777777" w:rsidR="00097EAF" w:rsidRPr="008869E1" w:rsidRDefault="00097EAF" w:rsidP="00B670FB">
            <w:pPr>
              <w:spacing w:before="600"/>
              <w:rPr>
                <w:lang w:bidi="ar-SY"/>
              </w:rPr>
            </w:pPr>
            <w:r w:rsidRPr="008869E1">
              <w:rPr>
                <w:rFonts w:hint="cs"/>
                <w:rtl/>
                <w:lang w:bidi="ar-SY"/>
              </w:rPr>
              <w:t>حضرات السادة والسيدات،</w:t>
            </w:r>
          </w:p>
          <w:p w14:paraId="382DF984" w14:textId="77777777" w:rsidR="00097EAF" w:rsidRPr="008869E1" w:rsidRDefault="00097EAF" w:rsidP="00B670FB">
            <w:r w:rsidRPr="008869E1">
              <w:rPr>
                <w:rFonts w:hint="cs"/>
                <w:rtl/>
              </w:rPr>
              <w:t>تحية طيبة وبعد،</w:t>
            </w:r>
          </w:p>
          <w:p w14:paraId="56CA10CC" w14:textId="084CA1A4" w:rsidR="00097EAF" w:rsidRPr="008869E1" w:rsidRDefault="00097EAF" w:rsidP="00B670FB">
            <w:pPr>
              <w:rPr>
                <w:spacing w:val="4"/>
                <w:rtl/>
                <w:lang w:bidi="ar-EG"/>
              </w:rPr>
            </w:pPr>
            <w:r w:rsidRPr="008869E1">
              <w:rPr>
                <w:rFonts w:hint="cs"/>
                <w:spacing w:val="4"/>
                <w:rtl/>
                <w:lang w:val="en-GB" w:bidi="ar-EG"/>
              </w:rPr>
              <w:t xml:space="preserve">1 </w:t>
            </w:r>
            <w:r w:rsidRPr="008869E1">
              <w:rPr>
                <w:spacing w:val="4"/>
                <w:rtl/>
                <w:lang w:val="en-GB" w:bidi="ar-EG"/>
              </w:rPr>
              <w:tab/>
            </w:r>
            <w:r w:rsidRPr="008869E1">
              <w:rPr>
                <w:rFonts w:hint="cs"/>
                <w:spacing w:val="4"/>
                <w:rtl/>
                <w:lang w:val="en-GB" w:bidi="ar-EG"/>
              </w:rPr>
              <w:t xml:space="preserve">إن الاتحاد الدولي للاتصالات </w:t>
            </w:r>
            <w:r w:rsidRPr="008869E1">
              <w:rPr>
                <w:spacing w:val="4"/>
                <w:lang w:val="en-GB" w:bidi="ar-EG"/>
              </w:rPr>
              <w:t>(ITU)</w:t>
            </w:r>
            <w:r w:rsidRPr="008869E1">
              <w:rPr>
                <w:rFonts w:hint="cs"/>
                <w:spacing w:val="4"/>
                <w:rtl/>
                <w:lang w:val="en-GB" w:bidi="ar-EG"/>
              </w:rPr>
              <w:t xml:space="preserve">، بالتعاون مع المركز الإقليمي لاتفاقية بازل لأمريكا الجنوبية، بصدد تنظيم ورشة عمل بشأن </w:t>
            </w:r>
            <w:r w:rsidRPr="008869E1">
              <w:rPr>
                <w:rFonts w:hint="cs"/>
                <w:b/>
                <w:bCs/>
                <w:spacing w:val="4"/>
                <w:position w:val="2"/>
                <w:rtl/>
                <w:lang w:bidi="ar-EG"/>
              </w:rPr>
              <w:t xml:space="preserve">"تشكيل مستقبل مستدام ورقمي </w:t>
            </w:r>
            <w:r w:rsidRPr="008869E1">
              <w:rPr>
                <w:b/>
                <w:bCs/>
                <w:spacing w:val="4"/>
                <w:position w:val="2"/>
                <w:rtl/>
                <w:lang w:bidi="ar-EG"/>
              </w:rPr>
              <w:t>–</w:t>
            </w:r>
            <w:r w:rsidRPr="008869E1">
              <w:rPr>
                <w:rFonts w:hint="cs"/>
                <w:b/>
                <w:bCs/>
                <w:spacing w:val="4"/>
                <w:position w:val="2"/>
                <w:rtl/>
                <w:lang w:bidi="ar-EG"/>
              </w:rPr>
              <w:t xml:space="preserve"> الطريق نحو أسبوع المعايير المراعية للبيئة"</w:t>
            </w:r>
            <w:r w:rsidRPr="008869E1">
              <w:rPr>
                <w:rFonts w:hint="cs"/>
                <w:spacing w:val="4"/>
                <w:position w:val="2"/>
                <w:rtl/>
                <w:lang w:bidi="ar-EG"/>
              </w:rPr>
              <w:t xml:space="preserve"> ستُعقد في نسَق افتراضي في </w:t>
            </w:r>
            <w:r w:rsidRPr="008869E1">
              <w:rPr>
                <w:rFonts w:hint="cs"/>
                <w:b/>
                <w:bCs/>
                <w:spacing w:val="4"/>
                <w:position w:val="2"/>
                <w:rtl/>
                <w:lang w:bidi="ar-EG"/>
              </w:rPr>
              <w:t xml:space="preserve">15 يونيو 2023 من الساعة 19:00 إلى الساعة 21:00 بتوقيت وسط أوروبا الصيفي/من الساعة 14:00 إلى الساعة 17:00 </w:t>
            </w:r>
            <w:r w:rsidRPr="008869E1">
              <w:rPr>
                <w:b/>
                <w:bCs/>
                <w:spacing w:val="4"/>
                <w:position w:val="2"/>
                <w:lang w:bidi="ar-EG"/>
              </w:rPr>
              <w:t>ARS</w:t>
            </w:r>
            <w:r w:rsidRPr="008869E1">
              <w:rPr>
                <w:rFonts w:hint="cs"/>
                <w:spacing w:val="4"/>
                <w:position w:val="2"/>
                <w:rtl/>
                <w:lang w:bidi="ar-EG"/>
              </w:rPr>
              <w:t>. وسيجري الحدث باللغة الإسبانية مع ترجمة شفوية إلى اللغة الإنكليزية.</w:t>
            </w:r>
          </w:p>
          <w:p w14:paraId="20F345C4" w14:textId="77777777" w:rsidR="00097EAF" w:rsidRPr="008869E1" w:rsidRDefault="00097EAF" w:rsidP="00B670FB">
            <w:pPr>
              <w:rPr>
                <w:rtl/>
                <w:lang w:bidi="ar-EG"/>
              </w:rPr>
            </w:pPr>
            <w:r w:rsidRPr="008869E1">
              <w:rPr>
                <w:rFonts w:hint="cs"/>
                <w:rtl/>
                <w:lang w:val="en-GB" w:bidi="ar-EG"/>
              </w:rPr>
              <w:t xml:space="preserve">2 </w:t>
            </w:r>
            <w:r w:rsidRPr="008869E1">
              <w:rPr>
                <w:rtl/>
                <w:lang w:val="en-GB" w:bidi="ar-EG"/>
              </w:rPr>
              <w:tab/>
            </w:r>
            <w:r w:rsidRPr="008869E1">
              <w:rPr>
                <w:rFonts w:hint="cs"/>
                <w:rtl/>
                <w:lang w:val="en-GB" w:bidi="ar-EG"/>
              </w:rPr>
              <w:t>لقد أصبح التحول الرقمي في السنوات الأخيرة</w:t>
            </w:r>
            <w:r w:rsidRPr="008869E1">
              <w:rPr>
                <w:rFonts w:hint="cs"/>
                <w:rtl/>
                <w:lang w:bidi="ar-EG"/>
              </w:rPr>
              <w:t xml:space="preserve"> واقعاً أساسياً، ولكن غالباً ما يكون هناك تصور أن </w:t>
            </w:r>
            <w:proofErr w:type="spellStart"/>
            <w:r w:rsidRPr="008869E1">
              <w:rPr>
                <w:rFonts w:hint="cs"/>
                <w:rtl/>
                <w:lang w:bidi="ar-EG"/>
              </w:rPr>
              <w:t>الرقمنة</w:t>
            </w:r>
            <w:proofErr w:type="spellEnd"/>
            <w:r w:rsidRPr="008869E1">
              <w:rPr>
                <w:rFonts w:hint="cs"/>
                <w:rtl/>
                <w:lang w:bidi="ar-EG"/>
              </w:rPr>
              <w:t xml:space="preserve"> والاستدامة لا يتوافقان معاً. ومع ذلك، مع استمرار العالم في التعامل مع أزمة المناخ، أصبح من الوضح بشكل متزايد أن كلاً من الاستدامة والتحول الرقمي يمكن أن يستفيد من الآخر. ويَصدق هذا خصوصاً على منطقة أمريكا اللاتينية. إذ يتطلب تبني التحول الرقمي المستدام إدخال عناصر رئيسية مثل الإدارة الفعالة للمخلفات الإلكترونية وتبني مبادئ الاقتصاد الدائري. وبإدخال هذه العناصر، يمكننا دفع عجلة التقدم نحو تحقيق أهداف التنمية المستدامة </w:t>
            </w:r>
            <w:r w:rsidRPr="008869E1">
              <w:rPr>
                <w:lang w:bidi="ar-EG"/>
              </w:rPr>
              <w:t>(SDG)</w:t>
            </w:r>
            <w:r w:rsidRPr="008869E1">
              <w:rPr>
                <w:rFonts w:hint="cs"/>
                <w:rtl/>
                <w:lang w:bidi="ar-EG"/>
              </w:rPr>
              <w:t xml:space="preserve"> وخفض انبعاثات غازات الاحتباس الحراري.</w:t>
            </w:r>
          </w:p>
          <w:p w14:paraId="2FC83A02" w14:textId="77777777" w:rsidR="00097EAF" w:rsidRPr="008869E1" w:rsidRDefault="00097EAF" w:rsidP="00B670FB">
            <w:pPr>
              <w:rPr>
                <w:rtl/>
                <w:lang w:val="en-GB" w:bidi="ar-EG"/>
              </w:rPr>
            </w:pPr>
            <w:r w:rsidRPr="008869E1">
              <w:rPr>
                <w:rFonts w:hint="cs"/>
                <w:rtl/>
                <w:lang w:val="en-GB" w:bidi="ar-EG"/>
              </w:rPr>
              <w:t>3</w:t>
            </w:r>
            <w:r w:rsidRPr="008869E1">
              <w:rPr>
                <w:lang w:val="en-GB" w:bidi="ar-EG"/>
              </w:rPr>
              <w:tab/>
            </w:r>
            <w:r w:rsidRPr="008869E1">
              <w:rPr>
                <w:rFonts w:hint="cs"/>
                <w:rtl/>
                <w:lang w:val="en-GB" w:bidi="ar-EG"/>
              </w:rPr>
              <w:t>والهدف الرئيسي لهذا الحدث هو توفير منصة دولية يمكن فيها لجميع أصحاب المصلحة الاجتماع لتبادل المعلومات بشأن خبراتهم وتحديد حلول وفرص مشتركة لتسريع تقدمهم في مجال الاستدامة. وسيتم تسليط الضوء تحديداً على دور إدارة المخلفات الإلكترونية، والاقتصاد الدائري، وسلسلة القيمة في أمريكا اللاتينية.</w:t>
            </w:r>
          </w:p>
          <w:p w14:paraId="2F663558" w14:textId="77777777" w:rsidR="00097EAF" w:rsidRPr="008869E1" w:rsidRDefault="00097EAF" w:rsidP="00B670FB">
            <w:pPr>
              <w:rPr>
                <w:rtl/>
                <w:lang w:val="en-GB" w:bidi="ar-EG"/>
              </w:rPr>
            </w:pPr>
            <w:r w:rsidRPr="008869E1">
              <w:rPr>
                <w:rFonts w:hint="cs"/>
                <w:rtl/>
                <w:lang w:val="en-GB" w:bidi="ar-EG"/>
              </w:rPr>
              <w:t>وسيلقي هذا الحدث نظرة فاحصة على الدور الذي تؤديه السياسات والمعايير الدولية في العملية وكيف تسهل إحداث تغيير إيجابي. ومن خلال حلقات نقاش رفيعة المستوى وجلسات تفاعلية، سيؤدي الحدث إلى فرص جديدة للتعاون والتآزر.</w:t>
            </w:r>
          </w:p>
          <w:p w14:paraId="7F1949E8" w14:textId="7B5B2CB6" w:rsidR="00097EAF" w:rsidRPr="008869E1" w:rsidRDefault="00097EAF" w:rsidP="00B670FB">
            <w:pPr>
              <w:rPr>
                <w:rtl/>
                <w:lang w:bidi="ar-SY"/>
              </w:rPr>
            </w:pPr>
            <w:r w:rsidRPr="008869E1">
              <w:rPr>
                <w:lang w:bidi="ar-SY"/>
              </w:rPr>
              <w:t>4</w:t>
            </w:r>
            <w:r w:rsidRPr="008869E1">
              <w:rPr>
                <w:lang w:bidi="ar-SY"/>
              </w:rPr>
              <w:tab/>
            </w:r>
            <w:r w:rsidRPr="008869E1">
              <w:rPr>
                <w:rFonts w:hint="cs"/>
                <w:rtl/>
                <w:lang w:bidi="ar-SY"/>
              </w:rPr>
              <w:t>وتتمثل النتائج المتوقعة من هذا الحدث في مناقشة وتبادل المعارف بشأن أفضل الممارسات والمعايير والمبادئ التوجيهية فيما يتعلق بالاقتصاد الدائري وسلسلة القيمة والتعرف على أمثلة من الحالات الواقعية للتنفيذ الناجح للمعايير الدولية في أمريكا اللاتينية.</w:t>
            </w:r>
          </w:p>
          <w:p w14:paraId="08353A6D" w14:textId="77777777" w:rsidR="00097EAF" w:rsidRPr="008869E1" w:rsidRDefault="00097EAF" w:rsidP="00B670FB">
            <w:pPr>
              <w:rPr>
                <w:rtl/>
                <w:lang w:bidi="ar-SY"/>
              </w:rPr>
            </w:pPr>
            <w:r w:rsidRPr="008869E1">
              <w:rPr>
                <w:rFonts w:hint="cs"/>
                <w:rtl/>
                <w:lang w:bidi="ar-SY"/>
              </w:rPr>
              <w:lastRenderedPageBreak/>
              <w:t>5</w:t>
            </w:r>
            <w:r w:rsidRPr="008869E1">
              <w:rPr>
                <w:rtl/>
                <w:lang w:bidi="ar-SY"/>
              </w:rPr>
              <w:tab/>
            </w:r>
            <w:r w:rsidRPr="008869E1">
              <w:rPr>
                <w:rFonts w:hint="cs"/>
                <w:rtl/>
                <w:lang w:bidi="ar-SY"/>
              </w:rPr>
              <w:t>ومن المتوقع أن يحضر هذا الحدث كبار واضعي السياسات ورواد الأعمال وخبراء الصناعة وممثلون من جميع أنحاء العالم ووكالات الأمم المتحدة الأخرى والهيئات الأكاديمية والمجتمع المدني والمنظمات الإقليمية الأخرى والمنظمات غير الحكومية والقطاع الخاص وغير من أصحاب المصلحة المعنيين.</w:t>
            </w:r>
          </w:p>
          <w:p w14:paraId="7D0F25DC" w14:textId="77777777" w:rsidR="00097EAF" w:rsidRPr="008869E1" w:rsidRDefault="00097EAF" w:rsidP="00B670FB">
            <w:pPr>
              <w:rPr>
                <w:rtl/>
                <w:lang w:bidi="ar-EG"/>
              </w:rPr>
            </w:pPr>
            <w:r w:rsidRPr="008869E1">
              <w:rPr>
                <w:rFonts w:hint="cs"/>
                <w:rtl/>
                <w:lang w:bidi="ar-SY"/>
              </w:rPr>
              <w:t>6</w:t>
            </w:r>
            <w:r w:rsidRPr="008869E1">
              <w:rPr>
                <w:rtl/>
                <w:lang w:bidi="ar-EG"/>
              </w:rPr>
              <w:tab/>
            </w:r>
            <w:r w:rsidRPr="008869E1">
              <w:rPr>
                <w:rFonts w:hint="cs"/>
                <w:rtl/>
                <w:lang w:bidi="ar-EG"/>
              </w:rPr>
              <w:t>وباب المشاركة في ورشة العمل مفتوح أمام الدول الأعضاء في الاتحاد وأعضاء القطاعات والمنتسبين والمؤسسات الأكاديمية وأمام أي فرد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 ومفتوحة للجميع.</w:t>
            </w:r>
          </w:p>
          <w:p w14:paraId="492C66F3" w14:textId="77777777" w:rsidR="00097EAF" w:rsidRPr="008869E1" w:rsidRDefault="00097EAF" w:rsidP="00B670FB">
            <w:pPr>
              <w:rPr>
                <w:rtl/>
                <w:lang w:bidi="ar-EG"/>
              </w:rPr>
            </w:pPr>
            <w:r w:rsidRPr="008869E1">
              <w:rPr>
                <w:lang w:bidi="ar-EG"/>
              </w:rPr>
              <w:t>7</w:t>
            </w:r>
            <w:r w:rsidRPr="008869E1">
              <w:rPr>
                <w:rtl/>
                <w:lang w:bidi="ar-EG"/>
              </w:rPr>
              <w:tab/>
              <w:t>وستتاح جميع المعلومات ذات الصلة المتعلقة بالحدث (أي مشروع البرنامج وقائمة المتحدثين ورابط التسجيل وتفاصيل التوصيل عن بُعد) في الموقع الإلكتروني للحدث</w:t>
            </w:r>
            <w:r w:rsidRPr="008869E1">
              <w:rPr>
                <w:lang w:bidi="ar-EG"/>
              </w:rPr>
              <w:t>:</w:t>
            </w:r>
          </w:p>
          <w:p w14:paraId="47766632" w14:textId="77777777" w:rsidR="00097EAF" w:rsidRPr="008869E1" w:rsidRDefault="00097EAF" w:rsidP="00B670FB">
            <w:pPr>
              <w:rPr>
                <w:rtl/>
              </w:rPr>
            </w:pPr>
            <w:r w:rsidRPr="008869E1">
              <w:rPr>
                <w:spacing w:val="-2"/>
                <w:lang w:bidi="ar-EG"/>
              </w:rPr>
              <w:t>-</w:t>
            </w:r>
            <w:r w:rsidRPr="008869E1">
              <w:rPr>
                <w:spacing w:val="-2"/>
                <w:lang w:bidi="ar-EG"/>
              </w:rPr>
              <w:tab/>
            </w:r>
            <w:r w:rsidRPr="008869E1">
              <w:rPr>
                <w:rFonts w:hint="cs"/>
                <w:b/>
                <w:bCs/>
                <w:spacing w:val="-2"/>
                <w:rtl/>
                <w:lang w:bidi="ar-EG"/>
              </w:rPr>
              <w:t>بالإنكليزية:</w:t>
            </w:r>
            <w:r w:rsidRPr="008869E1">
              <w:rPr>
                <w:rFonts w:hint="cs"/>
                <w:spacing w:val="-2"/>
                <w:rtl/>
                <w:lang w:bidi="ar-EG"/>
              </w:rPr>
              <w:t xml:space="preserve"> </w:t>
            </w:r>
            <w:hyperlink r:id="rId10" w:history="1">
              <w:r w:rsidRPr="008869E1">
                <w:rPr>
                  <w:rStyle w:val="Hyperlink"/>
                  <w:rFonts w:cs="Calibri"/>
                  <w:lang w:val="fr-FR"/>
                </w:rPr>
                <w:t>https://www.itu.int/en/ITU-T/Workshops-and-Seminars/2023/0615/Pages/default.aspx</w:t>
              </w:r>
            </w:hyperlink>
          </w:p>
          <w:p w14:paraId="243B77EA" w14:textId="77777777" w:rsidR="00097EAF" w:rsidRPr="008869E1" w:rsidRDefault="00097EAF" w:rsidP="00B670FB">
            <w:pPr>
              <w:rPr>
                <w:spacing w:val="-2"/>
                <w:rtl/>
                <w:lang w:bidi="ar-EG"/>
              </w:rPr>
            </w:pPr>
            <w:r w:rsidRPr="008869E1">
              <w:rPr>
                <w:rFonts w:hint="cs"/>
                <w:rtl/>
              </w:rPr>
              <w:t>-</w:t>
            </w:r>
            <w:r w:rsidRPr="008869E1">
              <w:rPr>
                <w:rtl/>
              </w:rPr>
              <w:tab/>
            </w:r>
            <w:r w:rsidRPr="008869E1">
              <w:rPr>
                <w:rFonts w:hint="cs"/>
                <w:b/>
                <w:bCs/>
                <w:rtl/>
              </w:rPr>
              <w:t>بالإسبانية:</w:t>
            </w:r>
            <w:r w:rsidRPr="008869E1">
              <w:rPr>
                <w:rFonts w:hint="cs"/>
                <w:rtl/>
              </w:rPr>
              <w:t xml:space="preserve"> </w:t>
            </w:r>
            <w:hyperlink r:id="rId11" w:history="1">
              <w:r w:rsidRPr="008869E1">
                <w:rPr>
                  <w:rStyle w:val="Hyperlink"/>
                  <w:rFonts w:cs="Calibri"/>
                  <w:lang w:val="es-ES"/>
                </w:rPr>
                <w:t>https://www.itu.int/es/ITU-T/Workshops-and-Seminars/2023/0615/Pages/default.aspx</w:t>
              </w:r>
            </w:hyperlink>
          </w:p>
          <w:p w14:paraId="18740721" w14:textId="77777777" w:rsidR="00097EAF" w:rsidRPr="008869E1" w:rsidRDefault="00097EAF" w:rsidP="00B670FB">
            <w:pPr>
              <w:rPr>
                <w:rtl/>
                <w:lang w:bidi="ar-EG"/>
              </w:rPr>
            </w:pPr>
            <w:r w:rsidRPr="008869E1">
              <w:rPr>
                <w:rtl/>
              </w:rPr>
              <w:t xml:space="preserve">وسيتم تحديث </w:t>
            </w:r>
            <w:r w:rsidRPr="008869E1">
              <w:rPr>
                <w:rFonts w:hint="cs"/>
                <w:rtl/>
              </w:rPr>
              <w:t>الموقع</w:t>
            </w:r>
            <w:r w:rsidRPr="008869E1">
              <w:rPr>
                <w:rtl/>
              </w:rPr>
              <w:t xml:space="preserve"> الإلكتروني بانتظام كلما </w:t>
            </w:r>
            <w:r w:rsidRPr="008869E1">
              <w:rPr>
                <w:rFonts w:hint="cs"/>
                <w:rtl/>
              </w:rPr>
              <w:t>وردت معلومات جديدة أو معدّلة</w:t>
            </w:r>
            <w:r w:rsidRPr="008869E1">
              <w:rPr>
                <w:rtl/>
              </w:rPr>
              <w:t xml:space="preserve">. ويرُجى من المشاركين المواظبة على زيارة </w:t>
            </w:r>
            <w:r w:rsidRPr="008869E1">
              <w:rPr>
                <w:rFonts w:hint="cs"/>
                <w:rtl/>
              </w:rPr>
              <w:t>الموقع</w:t>
            </w:r>
            <w:r w:rsidRPr="008869E1">
              <w:rPr>
                <w:rtl/>
              </w:rPr>
              <w:t xml:space="preserve"> الإلكتروني للاطلاع على أحدث المعلومات.</w:t>
            </w:r>
          </w:p>
          <w:p w14:paraId="36423C87" w14:textId="25912DA4" w:rsidR="00097EAF" w:rsidRPr="008869E1" w:rsidRDefault="00097EAF" w:rsidP="00B670FB">
            <w:pPr>
              <w:spacing w:before="240"/>
              <w:ind w:left="-57"/>
              <w:jc w:val="left"/>
              <w:rPr>
                <w:rtl/>
                <w:lang w:bidi="ar-EG"/>
              </w:rPr>
            </w:pPr>
            <w:r w:rsidRPr="008869E1">
              <w:rPr>
                <w:rFonts w:hint="cs"/>
                <w:rtl/>
                <w:lang w:bidi="ar-EG"/>
              </w:rPr>
              <w:t>وتفضلوا بقبول فائق التقدير والاحترام.</w:t>
            </w:r>
          </w:p>
          <w:p w14:paraId="23A60DB5" w14:textId="69387082" w:rsidR="00097EAF" w:rsidRPr="008869E1" w:rsidRDefault="00545897" w:rsidP="00796B64">
            <w:pPr>
              <w:spacing w:before="960"/>
              <w:jc w:val="left"/>
              <w:rPr>
                <w:lang w:val="en-GB" w:bidi="ar-EG"/>
              </w:rPr>
            </w:pPr>
            <w:r>
              <w:rPr>
                <w:rFonts w:hint="cs"/>
                <w:noProof/>
                <w:rtl/>
                <w:lang w:val="ar-EG" w:bidi="ar-EG"/>
              </w:rPr>
              <w:drawing>
                <wp:anchor distT="0" distB="0" distL="114300" distR="114300" simplePos="0" relativeHeight="251658240" behindDoc="1" locked="0" layoutInCell="1" allowOverlap="1" wp14:anchorId="06449936" wp14:editId="0C959FE7">
                  <wp:simplePos x="0" y="0"/>
                  <wp:positionH relativeFrom="column">
                    <wp:posOffset>5423535</wp:posOffset>
                  </wp:positionH>
                  <wp:positionV relativeFrom="paragraph">
                    <wp:posOffset>69850</wp:posOffset>
                  </wp:positionV>
                  <wp:extent cx="714375" cy="494567"/>
                  <wp:effectExtent l="0" t="0" r="0" b="127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4375" cy="49456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97EAF" w:rsidRPr="008869E1">
              <w:rPr>
                <w:rFonts w:hint="cs"/>
                <w:rtl/>
                <w:lang w:val="en-GB" w:bidi="ar-EG"/>
              </w:rPr>
              <w:t>سيزو</w:t>
            </w:r>
            <w:proofErr w:type="spellEnd"/>
            <w:r w:rsidR="00097EAF" w:rsidRPr="008869E1">
              <w:rPr>
                <w:rFonts w:hint="cs"/>
                <w:rtl/>
                <w:lang w:val="en-GB" w:bidi="ar-EG"/>
              </w:rPr>
              <w:t xml:space="preserve"> </w:t>
            </w:r>
            <w:proofErr w:type="spellStart"/>
            <w:r w:rsidR="00097EAF" w:rsidRPr="008869E1">
              <w:rPr>
                <w:rFonts w:hint="cs"/>
                <w:rtl/>
                <w:lang w:val="en-GB" w:bidi="ar-EG"/>
              </w:rPr>
              <w:t>أونوي</w:t>
            </w:r>
            <w:proofErr w:type="spellEnd"/>
            <w:r w:rsidR="00097EAF" w:rsidRPr="008869E1">
              <w:rPr>
                <w:rtl/>
                <w:lang w:val="en-GB" w:bidi="ar-EG"/>
              </w:rPr>
              <w:br/>
            </w:r>
            <w:r w:rsidR="00097EAF" w:rsidRPr="008869E1">
              <w:rPr>
                <w:rFonts w:hint="cs"/>
                <w:rtl/>
                <w:lang w:val="en-GB" w:bidi="ar-EG"/>
              </w:rPr>
              <w:t>مدير مكتب تقييس الاتصالات</w:t>
            </w:r>
          </w:p>
          <w:p w14:paraId="6AAFFA6F" w14:textId="6182926E" w:rsidR="00097EAF" w:rsidRPr="008869E1" w:rsidRDefault="00097EAF" w:rsidP="00B670FB">
            <w:pPr>
              <w:spacing w:before="80" w:after="60" w:line="300" w:lineRule="exact"/>
              <w:rPr>
                <w:b/>
                <w:bCs/>
                <w:position w:val="2"/>
                <w:rtl/>
                <w:lang w:val="en-GB" w:bidi="ar-EG"/>
              </w:rPr>
            </w:pPr>
          </w:p>
        </w:tc>
      </w:tr>
    </w:tbl>
    <w:p w14:paraId="78ADD6A5" w14:textId="0C2AE070" w:rsidR="00415DDE" w:rsidRPr="00657B04" w:rsidRDefault="00415DDE" w:rsidP="00657B04">
      <w:pPr>
        <w:jc w:val="left"/>
        <w:rPr>
          <w:rtl/>
          <w:lang w:val="en-GB" w:bidi="ar-EG"/>
        </w:rPr>
      </w:pPr>
    </w:p>
    <w:sectPr w:rsidR="00415DDE" w:rsidRPr="00657B04"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5394" w14:textId="77777777" w:rsidR="003050D2" w:rsidRDefault="003050D2" w:rsidP="006C3242">
      <w:pPr>
        <w:spacing w:before="0" w:line="240" w:lineRule="auto"/>
      </w:pPr>
      <w:r>
        <w:separator/>
      </w:r>
    </w:p>
  </w:endnote>
  <w:endnote w:type="continuationSeparator" w:id="0">
    <w:p w14:paraId="17111A3A" w14:textId="77777777" w:rsidR="003050D2" w:rsidRDefault="003050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8E18" w14:textId="3FA686EE" w:rsidR="004E3F9A" w:rsidRPr="004E3F9A" w:rsidRDefault="004E3F9A" w:rsidP="004E3F9A">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F21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D1BE" w14:textId="77777777" w:rsidR="003050D2" w:rsidRDefault="003050D2" w:rsidP="006C3242">
      <w:pPr>
        <w:spacing w:before="0" w:line="240" w:lineRule="auto"/>
      </w:pPr>
      <w:r>
        <w:separator/>
      </w:r>
    </w:p>
  </w:footnote>
  <w:footnote w:type="continuationSeparator" w:id="0">
    <w:p w14:paraId="039FB3EC" w14:textId="77777777" w:rsidR="003050D2" w:rsidRDefault="003050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822" w14:textId="14B34F42" w:rsidR="00447F32" w:rsidRPr="008869E1" w:rsidRDefault="00596808" w:rsidP="00B916A7">
    <w:pPr>
      <w:pStyle w:val="Header"/>
      <w:spacing w:after="240" w:line="192" w:lineRule="auto"/>
      <w:jc w:val="center"/>
      <w:rPr>
        <w:sz w:val="18"/>
        <w:szCs w:val="18"/>
      </w:rPr>
    </w:pPr>
    <w:r w:rsidRPr="0030222E">
      <w:rPr>
        <w:sz w:val="18"/>
        <w:szCs w:val="18"/>
      </w:rPr>
      <w:t xml:space="preserve">- </w:t>
    </w:r>
    <w:r w:rsidRPr="0030222E">
      <w:rPr>
        <w:sz w:val="18"/>
        <w:szCs w:val="18"/>
      </w:rPr>
      <w:fldChar w:fldCharType="begin"/>
    </w:r>
    <w:r w:rsidRPr="0030222E">
      <w:rPr>
        <w:sz w:val="18"/>
        <w:szCs w:val="18"/>
      </w:rPr>
      <w:instrText xml:space="preserve"> PAGE </w:instrText>
    </w:r>
    <w:r w:rsidRPr="0030222E">
      <w:rPr>
        <w:sz w:val="18"/>
        <w:szCs w:val="18"/>
      </w:rPr>
      <w:fldChar w:fldCharType="separate"/>
    </w:r>
    <w:r w:rsidR="0030222E">
      <w:rPr>
        <w:noProof/>
        <w:sz w:val="18"/>
        <w:szCs w:val="18"/>
      </w:rPr>
      <w:t>2</w:t>
    </w:r>
    <w:r w:rsidRPr="0030222E">
      <w:rPr>
        <w:sz w:val="18"/>
        <w:szCs w:val="18"/>
      </w:rPr>
      <w:fldChar w:fldCharType="end"/>
    </w:r>
    <w:r w:rsidRPr="0030222E">
      <w:rPr>
        <w:sz w:val="18"/>
        <w:szCs w:val="18"/>
      </w:rPr>
      <w:t xml:space="preserve"> -</w:t>
    </w:r>
    <w:r w:rsidR="00E84438">
      <w:rPr>
        <w:sz w:val="20"/>
        <w:szCs w:val="20"/>
        <w:rtl/>
      </w:rPr>
      <w:br/>
    </w:r>
    <w:r w:rsidRPr="008869E1">
      <w:rPr>
        <w:rFonts w:hint="cs"/>
        <w:sz w:val="18"/>
        <w:szCs w:val="18"/>
        <w:rtl/>
        <w:lang w:bidi="ar-EG"/>
      </w:rPr>
      <w:t xml:space="preserve">الرسالة </w:t>
    </w:r>
    <w:r w:rsidR="00E84438" w:rsidRPr="008869E1">
      <w:rPr>
        <w:rFonts w:hint="cs"/>
        <w:sz w:val="18"/>
        <w:szCs w:val="18"/>
        <w:rtl/>
        <w:lang w:bidi="ar-EG"/>
      </w:rPr>
      <w:t>المعممة</w:t>
    </w:r>
    <w:r w:rsidRPr="008869E1">
      <w:rPr>
        <w:rFonts w:hint="cs"/>
        <w:sz w:val="18"/>
        <w:szCs w:val="18"/>
        <w:rtl/>
        <w:lang w:bidi="ar-EG"/>
      </w:rPr>
      <w:t xml:space="preserve"> </w:t>
    </w:r>
    <w:r w:rsidR="006F1BC8" w:rsidRPr="008869E1">
      <w:rPr>
        <w:rFonts w:hint="cs"/>
        <w:sz w:val="18"/>
        <w:szCs w:val="18"/>
        <w:rtl/>
        <w:lang w:val="en-GB"/>
      </w:rPr>
      <w:t>109</w:t>
    </w:r>
    <w:r w:rsidR="00400EC6" w:rsidRPr="008869E1">
      <w:rPr>
        <w:rFonts w:hint="cs"/>
        <w:sz w:val="18"/>
        <w:szCs w:val="18"/>
        <w:rtl/>
        <w:lang w:val="en-GB"/>
      </w:rPr>
      <w:t xml:space="preserve"> </w:t>
    </w:r>
    <w:r w:rsidR="003A3046" w:rsidRPr="008869E1">
      <w:rPr>
        <w:rFonts w:hint="cs"/>
        <w:sz w:val="18"/>
        <w:szCs w:val="18"/>
        <w:rtl/>
        <w:lang w:val="en-GB"/>
      </w:rPr>
      <w:t>لمكتب</w:t>
    </w:r>
    <w:r w:rsidR="00400EC6" w:rsidRPr="008869E1">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08A7"/>
    <w:multiLevelType w:val="hybridMultilevel"/>
    <w:tmpl w:val="2A2C5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A4141F"/>
    <w:multiLevelType w:val="hybridMultilevel"/>
    <w:tmpl w:val="2F98356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3" w15:restartNumberingAfterBreak="0">
    <w:nsid w:val="444D0CAD"/>
    <w:multiLevelType w:val="hybridMultilevel"/>
    <w:tmpl w:val="F9944E6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1490486403">
    <w:abstractNumId w:val="9"/>
  </w:num>
  <w:num w:numId="2" w16cid:durableId="222450490">
    <w:abstractNumId w:val="7"/>
  </w:num>
  <w:num w:numId="3" w16cid:durableId="1015232102">
    <w:abstractNumId w:val="6"/>
  </w:num>
  <w:num w:numId="4" w16cid:durableId="1413433920">
    <w:abstractNumId w:val="5"/>
  </w:num>
  <w:num w:numId="5" w16cid:durableId="1767732263">
    <w:abstractNumId w:val="4"/>
  </w:num>
  <w:num w:numId="6" w16cid:durableId="1561289739">
    <w:abstractNumId w:val="8"/>
  </w:num>
  <w:num w:numId="7" w16cid:durableId="1358115743">
    <w:abstractNumId w:val="3"/>
  </w:num>
  <w:num w:numId="8" w16cid:durableId="1671563367">
    <w:abstractNumId w:val="2"/>
  </w:num>
  <w:num w:numId="9" w16cid:durableId="148063549">
    <w:abstractNumId w:val="1"/>
  </w:num>
  <w:num w:numId="10" w16cid:durableId="1727602167">
    <w:abstractNumId w:val="0"/>
  </w:num>
  <w:num w:numId="11" w16cid:durableId="715160500">
    <w:abstractNumId w:val="11"/>
  </w:num>
  <w:num w:numId="12" w16cid:durableId="885410428">
    <w:abstractNumId w:val="12"/>
  </w:num>
  <w:num w:numId="13" w16cid:durableId="427046561">
    <w:abstractNumId w:val="13"/>
  </w:num>
  <w:num w:numId="14" w16cid:durableId="37142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22"/>
    <w:rsid w:val="00002A63"/>
    <w:rsid w:val="000121E4"/>
    <w:rsid w:val="000206BA"/>
    <w:rsid w:val="00033664"/>
    <w:rsid w:val="0006468A"/>
    <w:rsid w:val="0007032E"/>
    <w:rsid w:val="0007245B"/>
    <w:rsid w:val="00082083"/>
    <w:rsid w:val="00090574"/>
    <w:rsid w:val="000935C6"/>
    <w:rsid w:val="00097EAF"/>
    <w:rsid w:val="000C1C0E"/>
    <w:rsid w:val="000C548A"/>
    <w:rsid w:val="000E327F"/>
    <w:rsid w:val="00140955"/>
    <w:rsid w:val="00146FE2"/>
    <w:rsid w:val="00161630"/>
    <w:rsid w:val="001B325C"/>
    <w:rsid w:val="001C0169"/>
    <w:rsid w:val="001D1D50"/>
    <w:rsid w:val="001D52F0"/>
    <w:rsid w:val="001D6745"/>
    <w:rsid w:val="001E446E"/>
    <w:rsid w:val="002154EE"/>
    <w:rsid w:val="00216F0A"/>
    <w:rsid w:val="002239F3"/>
    <w:rsid w:val="002276D2"/>
    <w:rsid w:val="002309FE"/>
    <w:rsid w:val="0023283D"/>
    <w:rsid w:val="0026373E"/>
    <w:rsid w:val="002639EE"/>
    <w:rsid w:val="00271C43"/>
    <w:rsid w:val="00290728"/>
    <w:rsid w:val="00294AD9"/>
    <w:rsid w:val="0029573D"/>
    <w:rsid w:val="002978F4"/>
    <w:rsid w:val="002B028D"/>
    <w:rsid w:val="002B1261"/>
    <w:rsid w:val="002E196B"/>
    <w:rsid w:val="002E6541"/>
    <w:rsid w:val="002E6EDF"/>
    <w:rsid w:val="0030222E"/>
    <w:rsid w:val="003050D2"/>
    <w:rsid w:val="00334924"/>
    <w:rsid w:val="003409BC"/>
    <w:rsid w:val="00354DDF"/>
    <w:rsid w:val="00357185"/>
    <w:rsid w:val="00383829"/>
    <w:rsid w:val="00390CC3"/>
    <w:rsid w:val="003A3046"/>
    <w:rsid w:val="003A6199"/>
    <w:rsid w:val="003B0880"/>
    <w:rsid w:val="003E6014"/>
    <w:rsid w:val="003E65BE"/>
    <w:rsid w:val="003F4B29"/>
    <w:rsid w:val="003F7831"/>
    <w:rsid w:val="00400EC6"/>
    <w:rsid w:val="00415DDE"/>
    <w:rsid w:val="0042686F"/>
    <w:rsid w:val="004317D8"/>
    <w:rsid w:val="00434183"/>
    <w:rsid w:val="00442C7A"/>
    <w:rsid w:val="00443869"/>
    <w:rsid w:val="00447F32"/>
    <w:rsid w:val="0047395D"/>
    <w:rsid w:val="00480FB0"/>
    <w:rsid w:val="004C4EF9"/>
    <w:rsid w:val="004D13F7"/>
    <w:rsid w:val="004D5459"/>
    <w:rsid w:val="004E11DC"/>
    <w:rsid w:val="004E3F9A"/>
    <w:rsid w:val="00500080"/>
    <w:rsid w:val="005169D6"/>
    <w:rsid w:val="00525DDD"/>
    <w:rsid w:val="005409AC"/>
    <w:rsid w:val="00545897"/>
    <w:rsid w:val="0055516A"/>
    <w:rsid w:val="005731DD"/>
    <w:rsid w:val="00580400"/>
    <w:rsid w:val="0058491B"/>
    <w:rsid w:val="00587922"/>
    <w:rsid w:val="00592EA5"/>
    <w:rsid w:val="00595B52"/>
    <w:rsid w:val="00596808"/>
    <w:rsid w:val="005A3170"/>
    <w:rsid w:val="005B20C6"/>
    <w:rsid w:val="005D386B"/>
    <w:rsid w:val="005D54DE"/>
    <w:rsid w:val="00657B04"/>
    <w:rsid w:val="00661147"/>
    <w:rsid w:val="006635B2"/>
    <w:rsid w:val="00677396"/>
    <w:rsid w:val="00677900"/>
    <w:rsid w:val="0069200F"/>
    <w:rsid w:val="006A07A2"/>
    <w:rsid w:val="006A2504"/>
    <w:rsid w:val="006A65CB"/>
    <w:rsid w:val="006C1530"/>
    <w:rsid w:val="006C3242"/>
    <w:rsid w:val="006C7CC0"/>
    <w:rsid w:val="006D3580"/>
    <w:rsid w:val="006E1BAD"/>
    <w:rsid w:val="006F1BC8"/>
    <w:rsid w:val="006F483C"/>
    <w:rsid w:val="006F63F7"/>
    <w:rsid w:val="007025C7"/>
    <w:rsid w:val="00706D7A"/>
    <w:rsid w:val="00722F0D"/>
    <w:rsid w:val="0074420E"/>
    <w:rsid w:val="00757F22"/>
    <w:rsid w:val="00767BD6"/>
    <w:rsid w:val="00777287"/>
    <w:rsid w:val="00777563"/>
    <w:rsid w:val="00783E26"/>
    <w:rsid w:val="00796B64"/>
    <w:rsid w:val="007C012F"/>
    <w:rsid w:val="007C3BC7"/>
    <w:rsid w:val="007C3BCD"/>
    <w:rsid w:val="007D3363"/>
    <w:rsid w:val="007D4ACF"/>
    <w:rsid w:val="007F0787"/>
    <w:rsid w:val="00810B7B"/>
    <w:rsid w:val="00822DA7"/>
    <w:rsid w:val="0082358A"/>
    <w:rsid w:val="008235CD"/>
    <w:rsid w:val="008247DE"/>
    <w:rsid w:val="0083573A"/>
    <w:rsid w:val="00840B10"/>
    <w:rsid w:val="008513CB"/>
    <w:rsid w:val="00873469"/>
    <w:rsid w:val="00876631"/>
    <w:rsid w:val="008869E1"/>
    <w:rsid w:val="008870A7"/>
    <w:rsid w:val="008939AE"/>
    <w:rsid w:val="008A7F84"/>
    <w:rsid w:val="008C64C5"/>
    <w:rsid w:val="008E4937"/>
    <w:rsid w:val="00900160"/>
    <w:rsid w:val="0091702E"/>
    <w:rsid w:val="00923B0C"/>
    <w:rsid w:val="00926F44"/>
    <w:rsid w:val="0093661F"/>
    <w:rsid w:val="0094021C"/>
    <w:rsid w:val="0094432F"/>
    <w:rsid w:val="00952F86"/>
    <w:rsid w:val="00965976"/>
    <w:rsid w:val="00982B28"/>
    <w:rsid w:val="009C3373"/>
    <w:rsid w:val="009C76FC"/>
    <w:rsid w:val="009D313F"/>
    <w:rsid w:val="009E2E4F"/>
    <w:rsid w:val="009F5014"/>
    <w:rsid w:val="00A13771"/>
    <w:rsid w:val="00A44FBF"/>
    <w:rsid w:val="00A47A5A"/>
    <w:rsid w:val="00A6683B"/>
    <w:rsid w:val="00A77C90"/>
    <w:rsid w:val="00A84309"/>
    <w:rsid w:val="00A9156F"/>
    <w:rsid w:val="00A936B4"/>
    <w:rsid w:val="00A95059"/>
    <w:rsid w:val="00A97F94"/>
    <w:rsid w:val="00AA7EA2"/>
    <w:rsid w:val="00AB50BE"/>
    <w:rsid w:val="00AC672E"/>
    <w:rsid w:val="00AF6B5C"/>
    <w:rsid w:val="00B03099"/>
    <w:rsid w:val="00B05BC8"/>
    <w:rsid w:val="00B42C17"/>
    <w:rsid w:val="00B5761C"/>
    <w:rsid w:val="00B64B47"/>
    <w:rsid w:val="00B66B39"/>
    <w:rsid w:val="00B670FB"/>
    <w:rsid w:val="00B90C1A"/>
    <w:rsid w:val="00B916A7"/>
    <w:rsid w:val="00BA4A9B"/>
    <w:rsid w:val="00BB0F08"/>
    <w:rsid w:val="00BF205D"/>
    <w:rsid w:val="00C002DE"/>
    <w:rsid w:val="00C41D7C"/>
    <w:rsid w:val="00C53BF8"/>
    <w:rsid w:val="00C66157"/>
    <w:rsid w:val="00C674FE"/>
    <w:rsid w:val="00C67501"/>
    <w:rsid w:val="00C72E0E"/>
    <w:rsid w:val="00C75633"/>
    <w:rsid w:val="00CE1C08"/>
    <w:rsid w:val="00CE2EE1"/>
    <w:rsid w:val="00CE3349"/>
    <w:rsid w:val="00CE36E5"/>
    <w:rsid w:val="00CF27F5"/>
    <w:rsid w:val="00CF3FFD"/>
    <w:rsid w:val="00CF7C11"/>
    <w:rsid w:val="00D10CCF"/>
    <w:rsid w:val="00D22846"/>
    <w:rsid w:val="00D517B2"/>
    <w:rsid w:val="00D725D6"/>
    <w:rsid w:val="00D76170"/>
    <w:rsid w:val="00D77D0F"/>
    <w:rsid w:val="00DA1CF0"/>
    <w:rsid w:val="00DB2406"/>
    <w:rsid w:val="00DB4671"/>
    <w:rsid w:val="00DB67F1"/>
    <w:rsid w:val="00DC1E02"/>
    <w:rsid w:val="00DC24B4"/>
    <w:rsid w:val="00DC5FB0"/>
    <w:rsid w:val="00DD1EBB"/>
    <w:rsid w:val="00DF16DC"/>
    <w:rsid w:val="00DF5041"/>
    <w:rsid w:val="00E45211"/>
    <w:rsid w:val="00E473C5"/>
    <w:rsid w:val="00E60672"/>
    <w:rsid w:val="00E84438"/>
    <w:rsid w:val="00E92863"/>
    <w:rsid w:val="00EB796D"/>
    <w:rsid w:val="00EE5361"/>
    <w:rsid w:val="00EE5F23"/>
    <w:rsid w:val="00F058DC"/>
    <w:rsid w:val="00F200F8"/>
    <w:rsid w:val="00F24FC4"/>
    <w:rsid w:val="00F2676C"/>
    <w:rsid w:val="00F52941"/>
    <w:rsid w:val="00F84366"/>
    <w:rsid w:val="00F85089"/>
    <w:rsid w:val="00F974C5"/>
    <w:rsid w:val="00FA6F46"/>
    <w:rsid w:val="00FB4874"/>
    <w:rsid w:val="00FB6A0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36248"/>
  <w15:chartTrackingRefBased/>
  <w15:docId w15:val="{29B652A8-BFB7-4BA7-95F8-347311D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Workshops-and-Seminars/2023/0615/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3/061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81C1-8B45-4F41-9CEB-B0A53B9A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Bishara, John</dc:creator>
  <cp:keywords/>
  <dc:description/>
  <cp:lastModifiedBy>Braud, Olivia</cp:lastModifiedBy>
  <cp:revision>14</cp:revision>
  <cp:lastPrinted>2023-06-22T09:18:00Z</cp:lastPrinted>
  <dcterms:created xsi:type="dcterms:W3CDTF">2023-06-14T06:38:00Z</dcterms:created>
  <dcterms:modified xsi:type="dcterms:W3CDTF">2023-06-22T09:18:00Z</dcterms:modified>
</cp:coreProperties>
</file>