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0867F02F" w14:textId="77777777" w:rsidTr="007B6316">
        <w:trPr>
          <w:cantSplit/>
          <w:trHeight w:val="340"/>
        </w:trPr>
        <w:tc>
          <w:tcPr>
            <w:tcW w:w="1410" w:type="dxa"/>
            <w:gridSpan w:val="2"/>
          </w:tcPr>
          <w:p w14:paraId="1F2917DB" w14:textId="77777777" w:rsidR="007B6316" w:rsidRDefault="007B6316" w:rsidP="00303D62">
            <w:pPr>
              <w:tabs>
                <w:tab w:val="left" w:pos="4111"/>
              </w:tabs>
              <w:spacing w:before="10"/>
              <w:ind w:left="57"/>
              <w:rPr>
                <w:sz w:val="22"/>
              </w:rPr>
            </w:pPr>
            <w:r w:rsidRPr="00F1238A">
              <w:rPr>
                <w:noProof/>
                <w:lang w:val="en-US"/>
              </w:rPr>
              <w:drawing>
                <wp:inline distT="0" distB="0" distL="0" distR="0" wp14:anchorId="3FAE0EC6" wp14:editId="1379871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684EA27"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417997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5F70E8" w14:paraId="3D728DFA" w14:textId="77777777" w:rsidTr="00303D62">
        <w:trPr>
          <w:cantSplit/>
          <w:trHeight w:val="340"/>
        </w:trPr>
        <w:tc>
          <w:tcPr>
            <w:tcW w:w="993" w:type="dxa"/>
          </w:tcPr>
          <w:p w14:paraId="1675EF27" w14:textId="77777777" w:rsidR="007B6316" w:rsidRPr="005F70E8" w:rsidRDefault="007B6316" w:rsidP="00303D62">
            <w:pPr>
              <w:tabs>
                <w:tab w:val="left" w:pos="4111"/>
              </w:tabs>
              <w:spacing w:before="10"/>
              <w:ind w:left="57"/>
              <w:rPr>
                <w:rFonts w:ascii="Calibri" w:hAnsi="Calibri"/>
                <w:b/>
                <w:bCs/>
                <w:sz w:val="22"/>
                <w:szCs w:val="22"/>
              </w:rPr>
            </w:pPr>
          </w:p>
        </w:tc>
        <w:tc>
          <w:tcPr>
            <w:tcW w:w="3884" w:type="dxa"/>
            <w:gridSpan w:val="2"/>
          </w:tcPr>
          <w:p w14:paraId="456467DC" w14:textId="77777777" w:rsidR="007B6316" w:rsidRPr="005F70E8" w:rsidRDefault="007B6316" w:rsidP="00303D62">
            <w:pPr>
              <w:tabs>
                <w:tab w:val="left" w:pos="4111"/>
              </w:tabs>
              <w:spacing w:before="0"/>
              <w:ind w:left="57"/>
              <w:rPr>
                <w:rFonts w:ascii="Calibri" w:hAnsi="Calibri"/>
                <w:b/>
                <w:sz w:val="22"/>
                <w:szCs w:val="22"/>
              </w:rPr>
            </w:pPr>
          </w:p>
        </w:tc>
        <w:tc>
          <w:tcPr>
            <w:tcW w:w="5329" w:type="dxa"/>
          </w:tcPr>
          <w:p w14:paraId="37F141B5" w14:textId="1F1B99E1" w:rsidR="007B6316" w:rsidRPr="005F70E8" w:rsidRDefault="007B6316" w:rsidP="007B6316">
            <w:pPr>
              <w:tabs>
                <w:tab w:val="clear" w:pos="794"/>
                <w:tab w:val="clear" w:pos="1191"/>
                <w:tab w:val="clear" w:pos="1588"/>
                <w:tab w:val="clear" w:pos="1985"/>
                <w:tab w:val="left" w:pos="284"/>
              </w:tabs>
              <w:spacing w:after="120"/>
              <w:ind w:left="284" w:hanging="227"/>
              <w:rPr>
                <w:rFonts w:ascii="Calibri" w:hAnsi="Calibri"/>
                <w:sz w:val="22"/>
                <w:szCs w:val="22"/>
              </w:rPr>
            </w:pPr>
            <w:r w:rsidRPr="005F70E8">
              <w:rPr>
                <w:rFonts w:ascii="Calibri" w:hAnsi="Calibri"/>
                <w:sz w:val="22"/>
                <w:szCs w:val="22"/>
              </w:rPr>
              <w:t>Ginebra,</w:t>
            </w:r>
            <w:r w:rsidR="008F067C" w:rsidRPr="005F70E8">
              <w:rPr>
                <w:rFonts w:ascii="Calibri" w:hAnsi="Calibri"/>
                <w:sz w:val="22"/>
                <w:szCs w:val="22"/>
              </w:rPr>
              <w:t xml:space="preserve"> 1 de junio de 2023</w:t>
            </w:r>
          </w:p>
        </w:tc>
      </w:tr>
      <w:tr w:rsidR="001350B9" w:rsidRPr="005F70E8" w14:paraId="065BD083" w14:textId="77777777" w:rsidTr="00303D62">
        <w:trPr>
          <w:cantSplit/>
          <w:trHeight w:val="340"/>
        </w:trPr>
        <w:tc>
          <w:tcPr>
            <w:tcW w:w="993" w:type="dxa"/>
          </w:tcPr>
          <w:p w14:paraId="6EBD85C3" w14:textId="77777777" w:rsidR="001350B9" w:rsidRPr="005F70E8" w:rsidRDefault="001350B9" w:rsidP="00303D62">
            <w:pPr>
              <w:tabs>
                <w:tab w:val="left" w:pos="4111"/>
              </w:tabs>
              <w:spacing w:before="10"/>
              <w:ind w:left="57"/>
              <w:rPr>
                <w:rFonts w:ascii="Calibri" w:hAnsi="Calibri"/>
                <w:sz w:val="22"/>
                <w:szCs w:val="22"/>
              </w:rPr>
            </w:pPr>
            <w:r w:rsidRPr="005F70E8">
              <w:rPr>
                <w:rFonts w:ascii="Calibri" w:hAnsi="Calibri"/>
                <w:sz w:val="22"/>
                <w:szCs w:val="22"/>
              </w:rPr>
              <w:t>Ref.:</w:t>
            </w:r>
          </w:p>
          <w:p w14:paraId="77C170CA" w14:textId="77777777" w:rsidR="001350B9" w:rsidRPr="005F70E8" w:rsidRDefault="001350B9" w:rsidP="007B6316">
            <w:pPr>
              <w:tabs>
                <w:tab w:val="left" w:pos="4111"/>
              </w:tabs>
              <w:spacing w:before="10"/>
              <w:ind w:left="57"/>
              <w:rPr>
                <w:rFonts w:ascii="Calibri" w:hAnsi="Calibri"/>
                <w:sz w:val="22"/>
                <w:szCs w:val="22"/>
              </w:rPr>
            </w:pPr>
          </w:p>
        </w:tc>
        <w:tc>
          <w:tcPr>
            <w:tcW w:w="3884" w:type="dxa"/>
            <w:gridSpan w:val="2"/>
          </w:tcPr>
          <w:p w14:paraId="5310E566" w14:textId="0FE9378B" w:rsidR="001350B9" w:rsidRPr="005F70E8" w:rsidRDefault="001350B9" w:rsidP="00303D62">
            <w:pPr>
              <w:tabs>
                <w:tab w:val="left" w:pos="4111"/>
              </w:tabs>
              <w:spacing w:before="0"/>
              <w:ind w:left="57"/>
              <w:rPr>
                <w:rFonts w:ascii="Calibri" w:hAnsi="Calibri"/>
                <w:b/>
                <w:sz w:val="22"/>
                <w:szCs w:val="22"/>
                <w:lang w:val="en-US"/>
              </w:rPr>
            </w:pPr>
            <w:r w:rsidRPr="005F70E8">
              <w:rPr>
                <w:rFonts w:ascii="Calibri" w:hAnsi="Calibri"/>
                <w:b/>
                <w:sz w:val="22"/>
                <w:szCs w:val="22"/>
                <w:lang w:val="en-US"/>
              </w:rPr>
              <w:t xml:space="preserve">Circular TSB </w:t>
            </w:r>
            <w:r w:rsidR="00414235" w:rsidRPr="005F70E8">
              <w:rPr>
                <w:rFonts w:ascii="Calibri" w:hAnsi="Calibri"/>
                <w:b/>
                <w:sz w:val="22"/>
                <w:szCs w:val="22"/>
                <w:lang w:val="en-US"/>
              </w:rPr>
              <w:t>106</w:t>
            </w:r>
          </w:p>
          <w:p w14:paraId="30F8A523" w14:textId="48969E27" w:rsidR="001350B9" w:rsidRPr="005F70E8" w:rsidRDefault="008F067C" w:rsidP="007B6316">
            <w:pPr>
              <w:tabs>
                <w:tab w:val="left" w:pos="4111"/>
              </w:tabs>
              <w:spacing w:before="0"/>
              <w:ind w:left="57"/>
              <w:rPr>
                <w:rFonts w:ascii="Calibri" w:hAnsi="Calibri"/>
                <w:sz w:val="22"/>
                <w:szCs w:val="22"/>
                <w:lang w:val="en-US"/>
              </w:rPr>
            </w:pPr>
            <w:r w:rsidRPr="005F70E8">
              <w:rPr>
                <w:rFonts w:ascii="Calibri" w:hAnsi="Calibri"/>
                <w:sz w:val="22"/>
                <w:szCs w:val="22"/>
                <w:lang w:val="en-GB"/>
              </w:rPr>
              <w:t>TSB Events/XY</w:t>
            </w:r>
            <w:r w:rsidRPr="005F70E8">
              <w:rPr>
                <w:rFonts w:ascii="Calibri" w:hAnsi="Calibri"/>
                <w:sz w:val="22"/>
                <w:szCs w:val="22"/>
                <w:lang w:val="en-US"/>
              </w:rPr>
              <w:t xml:space="preserve"> </w:t>
            </w:r>
          </w:p>
        </w:tc>
        <w:tc>
          <w:tcPr>
            <w:tcW w:w="5329" w:type="dxa"/>
            <w:vMerge w:val="restart"/>
          </w:tcPr>
          <w:p w14:paraId="178EC754" w14:textId="2D8AA953"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bookmarkStart w:id="0" w:name="Addressee_S"/>
            <w:bookmarkEnd w:id="0"/>
            <w:r w:rsidRPr="005F70E8">
              <w:rPr>
                <w:rFonts w:ascii="Calibri" w:hAnsi="Calibri"/>
                <w:sz w:val="22"/>
                <w:szCs w:val="22"/>
              </w:rPr>
              <w:t>–</w:t>
            </w:r>
            <w:r w:rsidR="001350B9" w:rsidRPr="005F70E8">
              <w:rPr>
                <w:rFonts w:ascii="Calibri" w:hAnsi="Calibri"/>
                <w:sz w:val="22"/>
                <w:szCs w:val="22"/>
              </w:rPr>
              <w:tab/>
              <w:t>A las Administraciones de los Estados Miembros de la Unión</w:t>
            </w:r>
            <w:r w:rsidR="00414235" w:rsidRPr="005F70E8">
              <w:rPr>
                <w:rFonts w:ascii="Calibri" w:hAnsi="Calibri"/>
                <w:sz w:val="22"/>
                <w:szCs w:val="22"/>
              </w:rPr>
              <w:t>;</w:t>
            </w:r>
          </w:p>
          <w:p w14:paraId="6F535FC5" w14:textId="78C4861F"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A los Miembros del Sector UIT</w:t>
            </w:r>
            <w:r w:rsidR="001350B9" w:rsidRPr="005F70E8">
              <w:rPr>
                <w:rFonts w:ascii="Calibri" w:hAnsi="Calibri"/>
                <w:sz w:val="22"/>
                <w:szCs w:val="22"/>
              </w:rPr>
              <w:noBreakHyphen/>
              <w:t>T;</w:t>
            </w:r>
          </w:p>
          <w:p w14:paraId="5C6E1AA5" w14:textId="71C81368"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A los Asociados del UIT</w:t>
            </w:r>
            <w:r w:rsidR="001350B9" w:rsidRPr="005F70E8">
              <w:rPr>
                <w:rFonts w:ascii="Calibri" w:hAnsi="Calibri"/>
                <w:sz w:val="22"/>
                <w:szCs w:val="22"/>
              </w:rPr>
              <w:noBreakHyphen/>
              <w:t>T;</w:t>
            </w:r>
          </w:p>
          <w:p w14:paraId="080BFAA3" w14:textId="69FC164C"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A las Instituciones Académicas de</w:t>
            </w:r>
            <w:r w:rsidRPr="005F70E8">
              <w:rPr>
                <w:rFonts w:ascii="Calibri" w:hAnsi="Calibri"/>
                <w:sz w:val="22"/>
                <w:szCs w:val="22"/>
              </w:rPr>
              <w:t xml:space="preserve"> la UIT</w:t>
            </w:r>
          </w:p>
          <w:p w14:paraId="287FEBEF" w14:textId="4E8AED44"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b/>
                <w:bCs/>
                <w:sz w:val="22"/>
                <w:szCs w:val="22"/>
              </w:rPr>
              <w:t>Copia:</w:t>
            </w:r>
          </w:p>
          <w:p w14:paraId="5C2DF638" w14:textId="4C027B78"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A</w:t>
            </w:r>
            <w:r w:rsidRPr="005F70E8">
              <w:rPr>
                <w:rFonts w:ascii="Calibri" w:hAnsi="Calibri"/>
                <w:sz w:val="22"/>
                <w:szCs w:val="22"/>
              </w:rPr>
              <w:t xml:space="preserve"> </w:t>
            </w:r>
            <w:r w:rsidR="001350B9" w:rsidRPr="005F70E8">
              <w:rPr>
                <w:rFonts w:ascii="Calibri" w:hAnsi="Calibri"/>
                <w:sz w:val="22"/>
                <w:szCs w:val="22"/>
              </w:rPr>
              <w:t>l</w:t>
            </w:r>
            <w:r w:rsidRPr="005F70E8">
              <w:rPr>
                <w:rFonts w:ascii="Calibri" w:hAnsi="Calibri"/>
                <w:sz w:val="22"/>
                <w:szCs w:val="22"/>
              </w:rPr>
              <w:t>os</w:t>
            </w:r>
            <w:r w:rsidR="001350B9" w:rsidRPr="005F70E8">
              <w:rPr>
                <w:rFonts w:ascii="Calibri" w:hAnsi="Calibri"/>
                <w:sz w:val="22"/>
                <w:szCs w:val="22"/>
              </w:rPr>
              <w:t xml:space="preserve"> </w:t>
            </w:r>
            <w:proofErr w:type="gramStart"/>
            <w:r w:rsidR="001350B9" w:rsidRPr="005F70E8">
              <w:rPr>
                <w:rFonts w:ascii="Calibri" w:hAnsi="Calibri"/>
                <w:sz w:val="22"/>
                <w:szCs w:val="22"/>
              </w:rPr>
              <w:t>Presidente</w:t>
            </w:r>
            <w:r w:rsidRPr="005F70E8">
              <w:rPr>
                <w:rFonts w:ascii="Calibri" w:hAnsi="Calibri"/>
                <w:sz w:val="22"/>
                <w:szCs w:val="22"/>
              </w:rPr>
              <w:t>s</w:t>
            </w:r>
            <w:proofErr w:type="gramEnd"/>
            <w:r w:rsidR="001350B9" w:rsidRPr="005F70E8">
              <w:rPr>
                <w:rFonts w:ascii="Calibri" w:hAnsi="Calibri"/>
                <w:sz w:val="22"/>
                <w:szCs w:val="22"/>
              </w:rPr>
              <w:t xml:space="preserve"> y a los Vicepresidentes de la</w:t>
            </w:r>
            <w:r w:rsidRPr="005F70E8">
              <w:rPr>
                <w:rFonts w:ascii="Calibri" w:hAnsi="Calibri"/>
                <w:sz w:val="22"/>
                <w:szCs w:val="22"/>
              </w:rPr>
              <w:t>s</w:t>
            </w:r>
            <w:r w:rsidR="001350B9" w:rsidRPr="005F70E8">
              <w:rPr>
                <w:rFonts w:ascii="Calibri" w:hAnsi="Calibri"/>
                <w:sz w:val="22"/>
                <w:szCs w:val="22"/>
              </w:rPr>
              <w:br/>
              <w:t>Comisi</w:t>
            </w:r>
            <w:r w:rsidRPr="005F70E8">
              <w:rPr>
                <w:rFonts w:ascii="Calibri" w:hAnsi="Calibri"/>
                <w:sz w:val="22"/>
                <w:szCs w:val="22"/>
              </w:rPr>
              <w:t>o</w:t>
            </w:r>
            <w:r w:rsidR="001350B9" w:rsidRPr="005F70E8">
              <w:rPr>
                <w:rFonts w:ascii="Calibri" w:hAnsi="Calibri"/>
                <w:sz w:val="22"/>
                <w:szCs w:val="22"/>
              </w:rPr>
              <w:t>n</w:t>
            </w:r>
            <w:r w:rsidRPr="005F70E8">
              <w:rPr>
                <w:rFonts w:ascii="Calibri" w:hAnsi="Calibri"/>
                <w:sz w:val="22"/>
                <w:szCs w:val="22"/>
              </w:rPr>
              <w:t>es</w:t>
            </w:r>
            <w:r w:rsidR="001350B9" w:rsidRPr="005F70E8">
              <w:rPr>
                <w:rFonts w:ascii="Calibri" w:hAnsi="Calibri"/>
                <w:sz w:val="22"/>
                <w:szCs w:val="22"/>
              </w:rPr>
              <w:t xml:space="preserve"> de Estudio </w:t>
            </w:r>
            <w:r w:rsidRPr="005F70E8">
              <w:rPr>
                <w:rFonts w:ascii="Calibri" w:hAnsi="Calibri"/>
                <w:sz w:val="22"/>
                <w:szCs w:val="22"/>
              </w:rPr>
              <w:t>del UIT-T</w:t>
            </w:r>
            <w:r w:rsidR="001350B9" w:rsidRPr="005F70E8">
              <w:rPr>
                <w:rFonts w:ascii="Calibri" w:hAnsi="Calibri"/>
                <w:sz w:val="22"/>
                <w:szCs w:val="22"/>
              </w:rPr>
              <w:t>;</w:t>
            </w:r>
          </w:p>
          <w:p w14:paraId="63B7237A" w14:textId="541D208D"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 xml:space="preserve">Al </w:t>
            </w:r>
            <w:proofErr w:type="gramStart"/>
            <w:r w:rsidR="001350B9" w:rsidRPr="005F70E8">
              <w:rPr>
                <w:rFonts w:ascii="Calibri" w:hAnsi="Calibri"/>
                <w:sz w:val="22"/>
                <w:szCs w:val="22"/>
              </w:rPr>
              <w:t>Director</w:t>
            </w:r>
            <w:proofErr w:type="gramEnd"/>
            <w:r w:rsidR="001350B9" w:rsidRPr="005F70E8">
              <w:rPr>
                <w:rFonts w:ascii="Calibri" w:hAnsi="Calibri"/>
                <w:sz w:val="22"/>
                <w:szCs w:val="22"/>
              </w:rPr>
              <w:t xml:space="preserve"> de la Oficina de Desarrollo de las Telecomunicaciones;</w:t>
            </w:r>
          </w:p>
          <w:p w14:paraId="43218625" w14:textId="6E72179C" w:rsidR="001350B9"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001350B9" w:rsidRPr="005F70E8">
              <w:rPr>
                <w:rFonts w:ascii="Calibri" w:hAnsi="Calibri"/>
                <w:sz w:val="22"/>
                <w:szCs w:val="22"/>
              </w:rPr>
              <w:tab/>
              <w:t xml:space="preserve">Al </w:t>
            </w:r>
            <w:proofErr w:type="gramStart"/>
            <w:r w:rsidR="001350B9" w:rsidRPr="005F70E8">
              <w:rPr>
                <w:rFonts w:ascii="Calibri" w:hAnsi="Calibri"/>
                <w:sz w:val="22"/>
                <w:szCs w:val="22"/>
              </w:rPr>
              <w:t>Director</w:t>
            </w:r>
            <w:proofErr w:type="gramEnd"/>
            <w:r w:rsidR="001350B9" w:rsidRPr="005F70E8">
              <w:rPr>
                <w:rFonts w:ascii="Calibri" w:hAnsi="Calibri"/>
                <w:sz w:val="22"/>
                <w:szCs w:val="22"/>
              </w:rPr>
              <w:t xml:space="preserve"> de la Oficina de Radiocomunicaciones</w:t>
            </w:r>
            <w:r w:rsidRPr="005F70E8">
              <w:rPr>
                <w:rFonts w:ascii="Calibri" w:hAnsi="Calibri"/>
                <w:sz w:val="22"/>
                <w:szCs w:val="22"/>
              </w:rPr>
              <w:t>;</w:t>
            </w:r>
          </w:p>
          <w:p w14:paraId="234E1A83" w14:textId="771DAA2C" w:rsidR="008F067C" w:rsidRPr="005F70E8" w:rsidRDefault="008F067C" w:rsidP="008F067C">
            <w:pPr>
              <w:tabs>
                <w:tab w:val="clear" w:pos="794"/>
                <w:tab w:val="clear" w:pos="1191"/>
                <w:tab w:val="clear" w:pos="1588"/>
                <w:tab w:val="clear" w:pos="1985"/>
                <w:tab w:val="left" w:pos="284"/>
              </w:tabs>
              <w:spacing w:before="0"/>
              <w:ind w:left="284" w:hanging="227"/>
              <w:rPr>
                <w:rFonts w:ascii="Calibri" w:hAnsi="Calibri"/>
                <w:sz w:val="22"/>
                <w:szCs w:val="22"/>
              </w:rPr>
            </w:pPr>
            <w:r w:rsidRPr="005F70E8">
              <w:rPr>
                <w:rFonts w:ascii="Calibri" w:hAnsi="Calibri"/>
                <w:sz w:val="22"/>
                <w:szCs w:val="22"/>
              </w:rPr>
              <w:t>–</w:t>
            </w:r>
            <w:r w:rsidRPr="005F70E8">
              <w:rPr>
                <w:rFonts w:ascii="Calibri" w:hAnsi="Calibri"/>
                <w:sz w:val="22"/>
                <w:szCs w:val="22"/>
              </w:rPr>
              <w:tab/>
              <w:t xml:space="preserve">Al </w:t>
            </w:r>
            <w:proofErr w:type="gramStart"/>
            <w:r w:rsidRPr="005F70E8">
              <w:rPr>
                <w:rFonts w:ascii="Calibri" w:hAnsi="Calibri"/>
                <w:sz w:val="22"/>
                <w:szCs w:val="22"/>
              </w:rPr>
              <w:t>Director</w:t>
            </w:r>
            <w:proofErr w:type="gramEnd"/>
            <w:r w:rsidRPr="005F70E8">
              <w:rPr>
                <w:rFonts w:ascii="Calibri" w:hAnsi="Calibri"/>
                <w:sz w:val="22"/>
                <w:szCs w:val="22"/>
              </w:rPr>
              <w:t xml:space="preserve"> de la Oficina de Regional de la UIT para Asia y el Pacífico</w:t>
            </w:r>
          </w:p>
        </w:tc>
      </w:tr>
      <w:tr w:rsidR="001350B9" w:rsidRPr="005F70E8" w14:paraId="0423AB13" w14:textId="77777777" w:rsidTr="00303D62">
        <w:trPr>
          <w:cantSplit/>
        </w:trPr>
        <w:tc>
          <w:tcPr>
            <w:tcW w:w="993" w:type="dxa"/>
          </w:tcPr>
          <w:p w14:paraId="0B5AD88E" w14:textId="77777777" w:rsidR="001350B9" w:rsidRPr="005F70E8" w:rsidRDefault="001350B9" w:rsidP="00303D62">
            <w:pPr>
              <w:tabs>
                <w:tab w:val="left" w:pos="4111"/>
              </w:tabs>
              <w:spacing w:before="10"/>
              <w:ind w:left="57"/>
              <w:rPr>
                <w:rFonts w:ascii="Calibri" w:hAnsi="Calibri"/>
                <w:sz w:val="22"/>
                <w:szCs w:val="22"/>
              </w:rPr>
            </w:pPr>
            <w:r w:rsidRPr="005F70E8">
              <w:rPr>
                <w:rFonts w:ascii="Calibri" w:hAnsi="Calibri"/>
                <w:sz w:val="22"/>
                <w:szCs w:val="22"/>
              </w:rPr>
              <w:t>Tel.:</w:t>
            </w:r>
          </w:p>
        </w:tc>
        <w:tc>
          <w:tcPr>
            <w:tcW w:w="3884" w:type="dxa"/>
            <w:gridSpan w:val="2"/>
          </w:tcPr>
          <w:p w14:paraId="37328472" w14:textId="75870312" w:rsidR="001350B9" w:rsidRPr="005F70E8" w:rsidRDefault="001350B9" w:rsidP="00303D62">
            <w:pPr>
              <w:tabs>
                <w:tab w:val="left" w:pos="4111"/>
              </w:tabs>
              <w:spacing w:before="0"/>
              <w:ind w:left="57"/>
              <w:rPr>
                <w:rStyle w:val="Hyperlink"/>
                <w:rFonts w:ascii="Calibri" w:hAnsi="Calibri"/>
                <w:sz w:val="22"/>
                <w:szCs w:val="22"/>
              </w:rPr>
            </w:pPr>
            <w:r w:rsidRPr="005F70E8">
              <w:rPr>
                <w:rFonts w:ascii="Calibri" w:hAnsi="Calibri"/>
                <w:sz w:val="22"/>
                <w:szCs w:val="22"/>
              </w:rPr>
              <w:t>+41 22 730</w:t>
            </w:r>
            <w:r w:rsidR="008F067C" w:rsidRPr="005F70E8">
              <w:rPr>
                <w:rFonts w:ascii="Calibri" w:hAnsi="Calibri"/>
                <w:sz w:val="22"/>
                <w:szCs w:val="22"/>
              </w:rPr>
              <w:t xml:space="preserve"> 6206</w:t>
            </w:r>
          </w:p>
        </w:tc>
        <w:tc>
          <w:tcPr>
            <w:tcW w:w="5329" w:type="dxa"/>
            <w:vMerge/>
          </w:tcPr>
          <w:p w14:paraId="280FE07C" w14:textId="77777777" w:rsidR="001350B9" w:rsidRPr="005F70E8" w:rsidRDefault="001350B9" w:rsidP="00303D62">
            <w:pPr>
              <w:tabs>
                <w:tab w:val="left" w:pos="226"/>
                <w:tab w:val="left" w:pos="510"/>
              </w:tabs>
              <w:spacing w:before="0"/>
              <w:ind w:left="226" w:hanging="169"/>
              <w:rPr>
                <w:rFonts w:ascii="Calibri" w:hAnsi="Calibri"/>
                <w:b/>
                <w:sz w:val="22"/>
                <w:szCs w:val="22"/>
              </w:rPr>
            </w:pPr>
          </w:p>
        </w:tc>
      </w:tr>
      <w:tr w:rsidR="001350B9" w:rsidRPr="005F70E8" w14:paraId="1F5B68A5" w14:textId="77777777" w:rsidTr="00303D62">
        <w:trPr>
          <w:cantSplit/>
        </w:trPr>
        <w:tc>
          <w:tcPr>
            <w:tcW w:w="993" w:type="dxa"/>
          </w:tcPr>
          <w:p w14:paraId="6766A9F4" w14:textId="77777777" w:rsidR="001350B9" w:rsidRPr="005F70E8" w:rsidRDefault="001350B9" w:rsidP="00303D62">
            <w:pPr>
              <w:tabs>
                <w:tab w:val="left" w:pos="4111"/>
              </w:tabs>
              <w:spacing w:before="10"/>
              <w:ind w:left="57"/>
              <w:rPr>
                <w:rFonts w:ascii="Calibri" w:hAnsi="Calibri"/>
                <w:sz w:val="22"/>
                <w:szCs w:val="22"/>
              </w:rPr>
            </w:pPr>
            <w:r w:rsidRPr="005F70E8">
              <w:rPr>
                <w:rFonts w:ascii="Calibri" w:hAnsi="Calibri"/>
                <w:sz w:val="22"/>
                <w:szCs w:val="22"/>
              </w:rPr>
              <w:t>Fax:</w:t>
            </w:r>
          </w:p>
        </w:tc>
        <w:tc>
          <w:tcPr>
            <w:tcW w:w="3884" w:type="dxa"/>
            <w:gridSpan w:val="2"/>
          </w:tcPr>
          <w:p w14:paraId="6892DC5D" w14:textId="77777777" w:rsidR="001350B9" w:rsidRPr="005F70E8" w:rsidRDefault="001350B9" w:rsidP="00303D62">
            <w:pPr>
              <w:tabs>
                <w:tab w:val="left" w:pos="4111"/>
              </w:tabs>
              <w:spacing w:before="0"/>
              <w:ind w:left="57"/>
              <w:rPr>
                <w:rStyle w:val="Hyperlink"/>
                <w:rFonts w:ascii="Calibri" w:hAnsi="Calibri"/>
                <w:sz w:val="22"/>
                <w:szCs w:val="22"/>
              </w:rPr>
            </w:pPr>
            <w:r w:rsidRPr="005F70E8">
              <w:rPr>
                <w:rFonts w:ascii="Calibri" w:hAnsi="Calibri"/>
                <w:sz w:val="22"/>
                <w:szCs w:val="22"/>
              </w:rPr>
              <w:t>+41 22 730 5853</w:t>
            </w:r>
          </w:p>
        </w:tc>
        <w:tc>
          <w:tcPr>
            <w:tcW w:w="5329" w:type="dxa"/>
            <w:vMerge/>
          </w:tcPr>
          <w:p w14:paraId="651CDD1C" w14:textId="77777777" w:rsidR="001350B9" w:rsidRPr="005F70E8" w:rsidRDefault="001350B9" w:rsidP="00303D62">
            <w:pPr>
              <w:tabs>
                <w:tab w:val="left" w:pos="226"/>
                <w:tab w:val="left" w:pos="510"/>
              </w:tabs>
              <w:spacing w:before="0"/>
              <w:ind w:left="226" w:hanging="169"/>
              <w:rPr>
                <w:rFonts w:ascii="Calibri" w:hAnsi="Calibri"/>
                <w:b/>
                <w:sz w:val="22"/>
                <w:szCs w:val="22"/>
              </w:rPr>
            </w:pPr>
          </w:p>
        </w:tc>
      </w:tr>
      <w:tr w:rsidR="001350B9" w:rsidRPr="005F70E8" w14:paraId="2B9555D3" w14:textId="77777777" w:rsidTr="00303D62">
        <w:trPr>
          <w:cantSplit/>
        </w:trPr>
        <w:tc>
          <w:tcPr>
            <w:tcW w:w="993" w:type="dxa"/>
          </w:tcPr>
          <w:p w14:paraId="10CA43E2" w14:textId="77777777" w:rsidR="001350B9" w:rsidRPr="005F70E8" w:rsidRDefault="001350B9" w:rsidP="00303D62">
            <w:pPr>
              <w:tabs>
                <w:tab w:val="left" w:pos="4111"/>
              </w:tabs>
              <w:spacing w:before="10"/>
              <w:ind w:left="57"/>
              <w:rPr>
                <w:rFonts w:ascii="Calibri" w:hAnsi="Calibri"/>
                <w:sz w:val="22"/>
                <w:szCs w:val="22"/>
              </w:rPr>
            </w:pPr>
            <w:r w:rsidRPr="005F70E8">
              <w:rPr>
                <w:rFonts w:ascii="Calibri" w:hAnsi="Calibri"/>
                <w:sz w:val="22"/>
                <w:szCs w:val="22"/>
              </w:rPr>
              <w:t>Correo-e:</w:t>
            </w:r>
          </w:p>
        </w:tc>
        <w:tc>
          <w:tcPr>
            <w:tcW w:w="3884" w:type="dxa"/>
            <w:gridSpan w:val="2"/>
          </w:tcPr>
          <w:p w14:paraId="6D3A34E0" w14:textId="5F389AF0" w:rsidR="001350B9" w:rsidRPr="005F70E8" w:rsidRDefault="00D95D77" w:rsidP="008F067C">
            <w:pPr>
              <w:tabs>
                <w:tab w:val="left" w:pos="4111"/>
              </w:tabs>
              <w:spacing w:before="0"/>
              <w:ind w:left="57"/>
              <w:rPr>
                <w:rStyle w:val="Hyperlink"/>
                <w:rFonts w:ascii="Calibri" w:hAnsi="Calibri"/>
                <w:sz w:val="22"/>
                <w:szCs w:val="22"/>
              </w:rPr>
            </w:pPr>
            <w:hyperlink r:id="rId9" w:history="1">
              <w:r w:rsidR="008F067C" w:rsidRPr="005F70E8">
                <w:rPr>
                  <w:rStyle w:val="Hyperlink"/>
                  <w:rFonts w:ascii="Calibri" w:hAnsi="Calibri"/>
                  <w:sz w:val="22"/>
                  <w:szCs w:val="22"/>
                </w:rPr>
                <w:t>tsbsg17@itu.int</w:t>
              </w:r>
            </w:hyperlink>
          </w:p>
          <w:p w14:paraId="3A9AE295" w14:textId="32075A5D" w:rsidR="008F067C" w:rsidRPr="005F70E8" w:rsidRDefault="00D95D77" w:rsidP="008F067C">
            <w:pPr>
              <w:tabs>
                <w:tab w:val="left" w:pos="4111"/>
              </w:tabs>
              <w:spacing w:before="0"/>
              <w:ind w:left="57"/>
              <w:rPr>
                <w:rFonts w:ascii="Calibri" w:hAnsi="Calibri"/>
                <w:sz w:val="22"/>
                <w:szCs w:val="22"/>
              </w:rPr>
            </w:pPr>
            <w:hyperlink r:id="rId10" w:history="1">
              <w:r w:rsidR="008F067C" w:rsidRPr="005F70E8">
                <w:rPr>
                  <w:rStyle w:val="Hyperlink"/>
                  <w:rFonts w:ascii="Calibri" w:hAnsi="Calibri"/>
                  <w:sz w:val="22"/>
                  <w:szCs w:val="22"/>
                </w:rPr>
                <w:t>tsbevents@itu.int</w:t>
              </w:r>
            </w:hyperlink>
          </w:p>
        </w:tc>
        <w:tc>
          <w:tcPr>
            <w:tcW w:w="5329" w:type="dxa"/>
            <w:vMerge/>
          </w:tcPr>
          <w:p w14:paraId="62F351C8" w14:textId="77777777" w:rsidR="001350B9" w:rsidRPr="005F70E8" w:rsidRDefault="001350B9" w:rsidP="00303D62">
            <w:pPr>
              <w:tabs>
                <w:tab w:val="clear" w:pos="794"/>
                <w:tab w:val="clear" w:pos="1191"/>
                <w:tab w:val="clear" w:pos="1588"/>
                <w:tab w:val="clear" w:pos="1985"/>
                <w:tab w:val="left" w:pos="226"/>
                <w:tab w:val="left" w:pos="510"/>
              </w:tabs>
              <w:spacing w:before="0"/>
              <w:ind w:left="226" w:hanging="169"/>
              <w:rPr>
                <w:rFonts w:ascii="Calibri" w:hAnsi="Calibri"/>
                <w:sz w:val="22"/>
                <w:szCs w:val="22"/>
              </w:rPr>
            </w:pPr>
          </w:p>
        </w:tc>
      </w:tr>
      <w:tr w:rsidR="007B6316" w:rsidRPr="005F70E8" w14:paraId="04ACED76" w14:textId="77777777" w:rsidTr="00DA30ED">
        <w:trPr>
          <w:cantSplit/>
        </w:trPr>
        <w:tc>
          <w:tcPr>
            <w:tcW w:w="993" w:type="dxa"/>
          </w:tcPr>
          <w:p w14:paraId="1053F27F" w14:textId="77777777" w:rsidR="007B6316" w:rsidRPr="005F70E8" w:rsidRDefault="007B6316" w:rsidP="00303D62">
            <w:pPr>
              <w:tabs>
                <w:tab w:val="left" w:pos="4111"/>
              </w:tabs>
              <w:spacing w:before="10"/>
              <w:ind w:left="57"/>
              <w:rPr>
                <w:rFonts w:ascii="Calibri" w:hAnsi="Calibri"/>
                <w:sz w:val="22"/>
                <w:szCs w:val="22"/>
              </w:rPr>
            </w:pPr>
            <w:r w:rsidRPr="005F70E8">
              <w:rPr>
                <w:rFonts w:ascii="Calibri" w:hAnsi="Calibri"/>
                <w:sz w:val="22"/>
                <w:szCs w:val="22"/>
              </w:rPr>
              <w:t>Asunto:</w:t>
            </w:r>
          </w:p>
        </w:tc>
        <w:tc>
          <w:tcPr>
            <w:tcW w:w="9213" w:type="dxa"/>
            <w:gridSpan w:val="3"/>
          </w:tcPr>
          <w:p w14:paraId="7F8AA370" w14:textId="01049688" w:rsidR="007B6316" w:rsidRPr="005F70E8" w:rsidRDefault="008F067C" w:rsidP="00303D62">
            <w:pPr>
              <w:tabs>
                <w:tab w:val="left" w:pos="4111"/>
              </w:tabs>
              <w:spacing w:before="0"/>
              <w:rPr>
                <w:rFonts w:ascii="Calibri" w:hAnsi="Calibri"/>
                <w:b/>
                <w:sz w:val="22"/>
                <w:szCs w:val="22"/>
              </w:rPr>
            </w:pPr>
            <w:r w:rsidRPr="005F70E8">
              <w:rPr>
                <w:rFonts w:ascii="Calibri" w:hAnsi="Calibri"/>
                <w:b/>
                <w:bCs/>
                <w:sz w:val="22"/>
                <w:szCs w:val="22"/>
              </w:rPr>
              <w:t>Taller de la UIT "Confianza cero y seguridad de la cadena de suministro de software" (</w:t>
            </w:r>
            <w:proofErr w:type="spellStart"/>
            <w:r w:rsidRPr="005F70E8">
              <w:rPr>
                <w:rFonts w:ascii="Calibri" w:hAnsi="Calibri"/>
                <w:b/>
                <w:bCs/>
                <w:sz w:val="22"/>
                <w:szCs w:val="22"/>
              </w:rPr>
              <w:t>Goyang</w:t>
            </w:r>
            <w:proofErr w:type="spellEnd"/>
            <w:r w:rsidRPr="005F70E8">
              <w:rPr>
                <w:rFonts w:ascii="Calibri" w:hAnsi="Calibri"/>
                <w:b/>
                <w:bCs/>
                <w:sz w:val="22"/>
                <w:szCs w:val="22"/>
              </w:rPr>
              <w:t>, República de Corea, 28 de agosto de 2023</w:t>
            </w:r>
            <w:r w:rsidR="00414235" w:rsidRPr="005F70E8">
              <w:rPr>
                <w:rFonts w:ascii="Calibri" w:hAnsi="Calibri"/>
                <w:b/>
                <w:bCs/>
                <w:sz w:val="22"/>
                <w:szCs w:val="22"/>
              </w:rPr>
              <w:t>)</w:t>
            </w:r>
          </w:p>
        </w:tc>
      </w:tr>
    </w:tbl>
    <w:p w14:paraId="791E7F63" w14:textId="77777777" w:rsidR="00C34772" w:rsidRPr="005F70E8" w:rsidRDefault="00C34772" w:rsidP="008F067C">
      <w:pPr>
        <w:spacing w:before="320"/>
        <w:rPr>
          <w:rFonts w:ascii="Calibri" w:hAnsi="Calibri"/>
          <w:sz w:val="22"/>
          <w:szCs w:val="22"/>
        </w:rPr>
      </w:pPr>
      <w:bookmarkStart w:id="1" w:name="StartTyping_S"/>
      <w:bookmarkStart w:id="2" w:name="suitetext"/>
      <w:bookmarkStart w:id="3" w:name="text"/>
      <w:bookmarkEnd w:id="1"/>
      <w:bookmarkEnd w:id="2"/>
      <w:bookmarkEnd w:id="3"/>
      <w:r w:rsidRPr="005F70E8">
        <w:rPr>
          <w:rFonts w:ascii="Calibri" w:hAnsi="Calibri"/>
          <w:sz w:val="22"/>
          <w:szCs w:val="22"/>
        </w:rPr>
        <w:t>Muy Señora mía/Muy Señor mío:</w:t>
      </w:r>
    </w:p>
    <w:p w14:paraId="1F722C52" w14:textId="42DEC0D6" w:rsidR="008F067C" w:rsidRPr="005F70E8" w:rsidRDefault="008F067C" w:rsidP="008F067C">
      <w:pPr>
        <w:rPr>
          <w:rFonts w:ascii="Calibri" w:hAnsi="Calibri"/>
          <w:sz w:val="22"/>
          <w:szCs w:val="22"/>
        </w:rPr>
      </w:pPr>
      <w:bookmarkStart w:id="4" w:name="lt_pId048"/>
      <w:r w:rsidRPr="005F70E8">
        <w:rPr>
          <w:rFonts w:ascii="Calibri" w:hAnsi="Calibri"/>
          <w:sz w:val="22"/>
          <w:szCs w:val="22"/>
        </w:rPr>
        <w:t>1</w:t>
      </w:r>
      <w:r w:rsidRPr="005F70E8">
        <w:rPr>
          <w:rFonts w:ascii="Calibri" w:hAnsi="Calibri"/>
          <w:sz w:val="22"/>
          <w:szCs w:val="22"/>
        </w:rPr>
        <w:tab/>
      </w:r>
      <w:proofErr w:type="gramStart"/>
      <w:r w:rsidRPr="005F70E8">
        <w:rPr>
          <w:rFonts w:ascii="Calibri" w:hAnsi="Calibri"/>
          <w:sz w:val="22"/>
          <w:szCs w:val="22"/>
        </w:rPr>
        <w:t>Me</w:t>
      </w:r>
      <w:proofErr w:type="gramEnd"/>
      <w:r w:rsidRPr="005F70E8">
        <w:rPr>
          <w:rFonts w:ascii="Calibri" w:hAnsi="Calibri"/>
          <w:sz w:val="22"/>
          <w:szCs w:val="22"/>
        </w:rPr>
        <w:t xml:space="preserve"> complace informarle de que la Unión Internacional de Telecomunicaciones (UIT) está organizando un taller sobre "</w:t>
      </w:r>
      <w:r w:rsidRPr="005F70E8">
        <w:rPr>
          <w:rFonts w:ascii="Calibri" w:hAnsi="Calibri"/>
          <w:b/>
          <w:bCs/>
          <w:sz w:val="22"/>
          <w:szCs w:val="22"/>
        </w:rPr>
        <w:t>Confianza cero y seguridad de la cadena de suministro de software</w:t>
      </w:r>
      <w:r w:rsidRPr="005F70E8">
        <w:rPr>
          <w:rFonts w:ascii="Calibri" w:hAnsi="Calibri"/>
          <w:sz w:val="22"/>
          <w:szCs w:val="22"/>
        </w:rPr>
        <w:t xml:space="preserve">" en el Centro Internacional de Exposiciones de Corea (KINTEX), </w:t>
      </w:r>
      <w:proofErr w:type="spellStart"/>
      <w:r w:rsidRPr="005F70E8">
        <w:rPr>
          <w:rFonts w:ascii="Calibri" w:hAnsi="Calibri"/>
          <w:sz w:val="22"/>
          <w:szCs w:val="22"/>
        </w:rPr>
        <w:t>Goyang</w:t>
      </w:r>
      <w:proofErr w:type="spellEnd"/>
      <w:r w:rsidRPr="005F70E8">
        <w:rPr>
          <w:rFonts w:ascii="Calibri" w:hAnsi="Calibri"/>
          <w:sz w:val="22"/>
          <w:szCs w:val="22"/>
        </w:rPr>
        <w:t xml:space="preserve"> (República de Corea), el 28</w:t>
      </w:r>
      <w:r w:rsidR="009E3D09" w:rsidRPr="005F70E8">
        <w:rPr>
          <w:rFonts w:ascii="Calibri" w:hAnsi="Calibri"/>
          <w:sz w:val="22"/>
          <w:szCs w:val="22"/>
        </w:rPr>
        <w:t> </w:t>
      </w:r>
      <w:r w:rsidRPr="005F70E8">
        <w:rPr>
          <w:rFonts w:ascii="Calibri" w:hAnsi="Calibri"/>
          <w:sz w:val="22"/>
          <w:szCs w:val="22"/>
        </w:rPr>
        <w:t>de agosto de 2023.</w:t>
      </w:r>
    </w:p>
    <w:p w14:paraId="7A1AFD02" w14:textId="77777777" w:rsidR="008F067C" w:rsidRPr="005F70E8" w:rsidRDefault="008F067C" w:rsidP="008F067C">
      <w:pPr>
        <w:rPr>
          <w:rFonts w:ascii="Calibri" w:hAnsi="Calibri"/>
          <w:sz w:val="22"/>
          <w:szCs w:val="22"/>
        </w:rPr>
      </w:pPr>
      <w:r w:rsidRPr="005F70E8">
        <w:rPr>
          <w:rFonts w:ascii="Calibri" w:hAnsi="Calibri"/>
          <w:sz w:val="22"/>
          <w:szCs w:val="22"/>
        </w:rPr>
        <w:t xml:space="preserve">El taller, amablemente acogido por el Ministerio de Ciencia y TIC de la República de Corea, precederá a la reunión de la </w:t>
      </w:r>
      <w:hyperlink r:id="rId11" w:history="1">
        <w:r w:rsidRPr="005F70E8">
          <w:rPr>
            <w:rStyle w:val="Hyperlink"/>
            <w:rFonts w:ascii="Calibri" w:hAnsi="Calibri"/>
            <w:sz w:val="22"/>
            <w:szCs w:val="22"/>
          </w:rPr>
          <w:t>Comisión de Estudio 17 del UIT-T</w:t>
        </w:r>
      </w:hyperlink>
      <w:r w:rsidRPr="005F70E8">
        <w:rPr>
          <w:rFonts w:ascii="Calibri" w:hAnsi="Calibri"/>
          <w:sz w:val="22"/>
          <w:szCs w:val="22"/>
        </w:rPr>
        <w:t xml:space="preserve"> (del 29 de agosto al 8 de septiembre de 2023) que tendrá lugar en ese mismo centro. El taller contará con participación a distancia y se desarrollará exclusivamente en inglés.</w:t>
      </w:r>
      <w:bookmarkEnd w:id="4"/>
    </w:p>
    <w:p w14:paraId="786930E8" w14:textId="77777777" w:rsidR="008F067C" w:rsidRPr="005F70E8" w:rsidRDefault="008F067C" w:rsidP="008F067C">
      <w:pPr>
        <w:rPr>
          <w:rFonts w:ascii="Calibri" w:hAnsi="Calibri"/>
          <w:sz w:val="22"/>
          <w:szCs w:val="22"/>
        </w:rPr>
      </w:pPr>
      <w:r w:rsidRPr="005F70E8">
        <w:rPr>
          <w:rFonts w:ascii="Calibri" w:hAnsi="Calibri"/>
          <w:sz w:val="22"/>
          <w:szCs w:val="22"/>
        </w:rPr>
        <w:t>2</w:t>
      </w:r>
      <w:r w:rsidRPr="005F70E8">
        <w:rPr>
          <w:rFonts w:ascii="Calibri" w:hAnsi="Calibri"/>
          <w:sz w:val="22"/>
          <w:szCs w:val="22"/>
        </w:rPr>
        <w:tab/>
      </w:r>
      <w:proofErr w:type="gramStart"/>
      <w:r w:rsidRPr="005F70E8">
        <w:rPr>
          <w:rFonts w:ascii="Calibri" w:hAnsi="Calibri"/>
          <w:sz w:val="22"/>
          <w:szCs w:val="22"/>
        </w:rPr>
        <w:t>En</w:t>
      </w:r>
      <w:proofErr w:type="gramEnd"/>
      <w:r w:rsidRPr="005F70E8">
        <w:rPr>
          <w:rFonts w:ascii="Calibri" w:hAnsi="Calibri"/>
          <w:sz w:val="22"/>
          <w:szCs w:val="22"/>
        </w:rPr>
        <w:t xml:space="preserve"> el actual panorama digital, interconectado y en rápida evolución, las </w:t>
      </w:r>
      <w:proofErr w:type="spellStart"/>
      <w:r w:rsidRPr="005F70E8">
        <w:rPr>
          <w:rFonts w:ascii="Calibri" w:hAnsi="Calibri"/>
          <w:sz w:val="22"/>
          <w:szCs w:val="22"/>
        </w:rPr>
        <w:t>ciberamenazas</w:t>
      </w:r>
      <w:proofErr w:type="spellEnd"/>
      <w:r w:rsidRPr="005F70E8">
        <w:rPr>
          <w:rFonts w:ascii="Calibri" w:hAnsi="Calibri"/>
          <w:sz w:val="22"/>
          <w:szCs w:val="22"/>
        </w:rPr>
        <w:t xml:space="preserve"> son cada vez más sofisticadas, y los agresores aprovechan las vulnerabilidades de las cadenas de suministro de software para vulnerar los sistemas y robar datos confidenciales. El concepto de "confianza cero" es un nuevo enfoque estratégico de ciberseguridad que protege a las empresas mediante la eliminación de la confianza implícita y la evaluación continua en todas las fases de interacción digital. La seguridad de la cadena de suministro de software se concentra en la gestión de riesgos durante el ciclo de vida del software para todas las partes interesadas implicadas, como los proveedores de software y los usuarios. Al integrar los principios de confianza cero en la seguridad de la cadena de suministro de software, las organizaciones pueden dotarse de una defensa resiliente contra las </w:t>
      </w:r>
      <w:proofErr w:type="spellStart"/>
      <w:r w:rsidRPr="005F70E8">
        <w:rPr>
          <w:rFonts w:ascii="Calibri" w:hAnsi="Calibri"/>
          <w:sz w:val="22"/>
          <w:szCs w:val="22"/>
        </w:rPr>
        <w:t>ciberamenazas</w:t>
      </w:r>
      <w:proofErr w:type="spellEnd"/>
      <w:r w:rsidRPr="005F70E8">
        <w:rPr>
          <w:rFonts w:ascii="Calibri" w:hAnsi="Calibri"/>
          <w:sz w:val="22"/>
          <w:szCs w:val="22"/>
        </w:rPr>
        <w:t>.</w:t>
      </w:r>
      <w:bookmarkStart w:id="5" w:name="lt_pId077"/>
    </w:p>
    <w:p w14:paraId="768625CB" w14:textId="77777777" w:rsidR="008F067C" w:rsidRPr="005F70E8" w:rsidRDefault="008F067C" w:rsidP="008F067C">
      <w:pPr>
        <w:rPr>
          <w:rFonts w:ascii="Calibri" w:hAnsi="Calibri"/>
          <w:sz w:val="22"/>
          <w:szCs w:val="22"/>
        </w:rPr>
      </w:pPr>
      <w:r w:rsidRPr="005F70E8">
        <w:rPr>
          <w:rFonts w:ascii="Calibri" w:hAnsi="Calibri"/>
          <w:sz w:val="22"/>
          <w:szCs w:val="22"/>
        </w:rPr>
        <w:t>3</w:t>
      </w:r>
      <w:r w:rsidRPr="005F70E8">
        <w:rPr>
          <w:rFonts w:ascii="Calibri" w:hAnsi="Calibri"/>
          <w:sz w:val="22"/>
          <w:szCs w:val="22"/>
        </w:rPr>
        <w:tab/>
      </w:r>
      <w:proofErr w:type="gramStart"/>
      <w:r w:rsidRPr="005F70E8">
        <w:rPr>
          <w:rFonts w:ascii="Calibri" w:hAnsi="Calibri"/>
          <w:sz w:val="22"/>
          <w:szCs w:val="22"/>
          <w:lang w:val="es-ES"/>
        </w:rPr>
        <w:t>Los</w:t>
      </w:r>
      <w:proofErr w:type="gramEnd"/>
      <w:r w:rsidRPr="005F70E8">
        <w:rPr>
          <w:rFonts w:ascii="Calibri" w:hAnsi="Calibri"/>
          <w:sz w:val="22"/>
          <w:szCs w:val="22"/>
          <w:lang w:val="es-ES"/>
        </w:rPr>
        <w:t xml:space="preserve"> objetivos de este taller son, entre otros, los siguientes:</w:t>
      </w:r>
      <w:bookmarkEnd w:id="5"/>
    </w:p>
    <w:p w14:paraId="1364E425" w14:textId="77777777" w:rsidR="008F067C" w:rsidRPr="005F70E8" w:rsidRDefault="008F067C" w:rsidP="008F067C">
      <w:pPr>
        <w:pStyle w:val="enumlev1"/>
        <w:rPr>
          <w:rFonts w:ascii="Calibri" w:hAnsi="Calibri"/>
          <w:sz w:val="22"/>
          <w:szCs w:val="22"/>
          <w:lang w:val="es-ES"/>
        </w:rPr>
      </w:pPr>
      <w:bookmarkStart w:id="6" w:name="lt_pId079"/>
      <w:r w:rsidRPr="005F70E8">
        <w:rPr>
          <w:rFonts w:ascii="Calibri" w:hAnsi="Calibri"/>
          <w:sz w:val="22"/>
          <w:szCs w:val="22"/>
          <w:lang w:val="es-ES"/>
        </w:rPr>
        <w:t>–</w:t>
      </w:r>
      <w:r w:rsidRPr="005F70E8">
        <w:rPr>
          <w:rFonts w:ascii="Calibri" w:hAnsi="Calibri"/>
          <w:sz w:val="22"/>
          <w:szCs w:val="22"/>
          <w:lang w:val="es-ES"/>
        </w:rPr>
        <w:tab/>
      </w:r>
      <w:bookmarkStart w:id="7" w:name="lt_pId087"/>
      <w:bookmarkEnd w:id="6"/>
      <w:r w:rsidRPr="005F70E8">
        <w:rPr>
          <w:rFonts w:ascii="Calibri" w:hAnsi="Calibri"/>
          <w:sz w:val="22"/>
          <w:szCs w:val="22"/>
          <w:lang w:val="es-ES"/>
        </w:rPr>
        <w:t xml:space="preserve">presentar una descripción general de los conceptos de confianza cero y seguridad de la cadena de suministro de software, con información acerca de las amenazas nuevas e incipientes en estos ámbitos; </w:t>
      </w:r>
    </w:p>
    <w:p w14:paraId="20911B9C" w14:textId="77777777" w:rsidR="008F067C" w:rsidRPr="005F70E8" w:rsidRDefault="008F067C" w:rsidP="008F067C">
      <w:pPr>
        <w:pStyle w:val="enumlev1"/>
        <w:rPr>
          <w:rFonts w:ascii="Calibri" w:hAnsi="Calibri"/>
          <w:sz w:val="22"/>
          <w:szCs w:val="22"/>
          <w:lang w:val="es-ES"/>
        </w:rPr>
      </w:pPr>
      <w:r w:rsidRPr="005F70E8">
        <w:rPr>
          <w:rFonts w:ascii="Calibri" w:hAnsi="Calibri"/>
          <w:sz w:val="22"/>
          <w:szCs w:val="22"/>
          <w:lang w:val="es-ES"/>
        </w:rPr>
        <w:t>–</w:t>
      </w:r>
      <w:r w:rsidRPr="005F70E8">
        <w:rPr>
          <w:rFonts w:ascii="Calibri" w:hAnsi="Calibri"/>
          <w:sz w:val="22"/>
          <w:szCs w:val="22"/>
          <w:lang w:val="es-ES"/>
        </w:rPr>
        <w:tab/>
        <w:t xml:space="preserve">identificar soluciones técnicas y controles organizativos para mitigar eficazmente las amenazas identificadas; </w:t>
      </w:r>
    </w:p>
    <w:p w14:paraId="79DD040A" w14:textId="77777777" w:rsidR="008F067C" w:rsidRPr="005F70E8" w:rsidRDefault="008F067C" w:rsidP="008F067C">
      <w:pPr>
        <w:pStyle w:val="enumlev1"/>
        <w:rPr>
          <w:rFonts w:ascii="Calibri" w:hAnsi="Calibri"/>
          <w:sz w:val="22"/>
          <w:szCs w:val="22"/>
          <w:lang w:val="es-ES"/>
        </w:rPr>
      </w:pPr>
      <w:r w:rsidRPr="005F70E8">
        <w:rPr>
          <w:rFonts w:ascii="Calibri" w:hAnsi="Calibri"/>
          <w:sz w:val="22"/>
          <w:szCs w:val="22"/>
          <w:lang w:val="es-ES"/>
        </w:rPr>
        <w:t>–</w:t>
      </w:r>
      <w:r w:rsidRPr="005F70E8">
        <w:rPr>
          <w:rFonts w:ascii="Calibri" w:hAnsi="Calibri"/>
          <w:sz w:val="22"/>
          <w:szCs w:val="22"/>
          <w:lang w:val="es-ES"/>
        </w:rPr>
        <w:tab/>
        <w:t>exponer las actividades en curso de las Comisiones de Estudio pertinentes del UIT-T y de otras organizaciones en este campo; y</w:t>
      </w:r>
    </w:p>
    <w:p w14:paraId="2EF0E1B4" w14:textId="77777777" w:rsidR="008F067C" w:rsidRPr="005F70E8" w:rsidRDefault="008F067C" w:rsidP="008F067C">
      <w:pPr>
        <w:pStyle w:val="enumlev1"/>
        <w:rPr>
          <w:rFonts w:ascii="Calibri" w:hAnsi="Calibri"/>
          <w:sz w:val="22"/>
          <w:szCs w:val="22"/>
          <w:lang w:val="es-ES"/>
        </w:rPr>
      </w:pPr>
      <w:r w:rsidRPr="005F70E8">
        <w:rPr>
          <w:rFonts w:ascii="Calibri" w:hAnsi="Calibri"/>
          <w:sz w:val="22"/>
          <w:szCs w:val="22"/>
          <w:lang w:val="es-ES"/>
        </w:rPr>
        <w:lastRenderedPageBreak/>
        <w:t>–</w:t>
      </w:r>
      <w:r w:rsidRPr="005F70E8">
        <w:rPr>
          <w:rFonts w:ascii="Calibri" w:hAnsi="Calibri"/>
          <w:sz w:val="22"/>
          <w:szCs w:val="22"/>
          <w:lang w:val="es-ES"/>
        </w:rPr>
        <w:tab/>
        <w:t>señalar futuras líneas de actuación y formular sugerencias a la Comisión de Estudio 17 del UIT-T sobre posibles temas de estudio en el futuro en relación con la confianza cero y la seguridad de la cadena de suministro de software.</w:t>
      </w:r>
      <w:bookmarkEnd w:id="7"/>
    </w:p>
    <w:p w14:paraId="6A0F89C9" w14:textId="77777777" w:rsidR="008F067C" w:rsidRPr="005F70E8" w:rsidRDefault="008F067C" w:rsidP="008F067C">
      <w:pPr>
        <w:rPr>
          <w:rFonts w:ascii="Calibri" w:hAnsi="Calibri"/>
          <w:sz w:val="22"/>
          <w:szCs w:val="22"/>
          <w:lang w:val="es-ES"/>
        </w:rPr>
      </w:pPr>
      <w:r w:rsidRPr="005F70E8">
        <w:rPr>
          <w:rFonts w:ascii="Calibri" w:hAnsi="Calibri"/>
          <w:sz w:val="22"/>
          <w:szCs w:val="22"/>
          <w:lang w:val="es-ES"/>
        </w:rPr>
        <w:t>4</w:t>
      </w:r>
      <w:r w:rsidRPr="005F70E8">
        <w:rPr>
          <w:rFonts w:ascii="Calibri" w:hAnsi="Calibri"/>
          <w:sz w:val="22"/>
          <w:szCs w:val="22"/>
          <w:lang w:val="es-ES"/>
        </w:rPr>
        <w:tab/>
      </w:r>
      <w:proofErr w:type="gramStart"/>
      <w:r w:rsidRPr="005F70E8">
        <w:rPr>
          <w:rFonts w:ascii="Calibri" w:hAnsi="Calibri"/>
          <w:sz w:val="22"/>
          <w:szCs w:val="22"/>
          <w:lang w:val="es-ES"/>
        </w:rPr>
        <w:t>La</w:t>
      </w:r>
      <w:proofErr w:type="gramEnd"/>
      <w:r w:rsidRPr="005F70E8">
        <w:rPr>
          <w:rFonts w:ascii="Calibri" w:hAnsi="Calibri"/>
          <w:sz w:val="22"/>
          <w:szCs w:val="22"/>
          <w:lang w:val="es-ES"/>
        </w:rPr>
        <w:t xml:space="preserve"> participación en este taller está abierta a los Estados Miembros, a los Miembros de Sector, a los Asociados y a las Instituciones Académicas de la UIT, y a cualquier persona de un país que sea Miembro de la UIT y desee contribuir a los trabajos. La participación en este taller es gratuita y pública. No se concederán becas para el taller.</w:t>
      </w:r>
    </w:p>
    <w:p w14:paraId="7125C43A" w14:textId="77777777" w:rsidR="008F067C" w:rsidRPr="005F70E8" w:rsidRDefault="008F067C" w:rsidP="008F067C">
      <w:pPr>
        <w:rPr>
          <w:rFonts w:ascii="Calibri" w:hAnsi="Calibri"/>
          <w:sz w:val="22"/>
          <w:szCs w:val="22"/>
          <w:lang w:val="es-ES"/>
        </w:rPr>
      </w:pPr>
      <w:r w:rsidRPr="005F70E8">
        <w:rPr>
          <w:rFonts w:ascii="Calibri" w:hAnsi="Calibri"/>
          <w:sz w:val="22"/>
          <w:szCs w:val="22"/>
          <w:lang w:val="es-ES"/>
        </w:rPr>
        <w:t>5</w:t>
      </w:r>
      <w:r w:rsidRPr="005F70E8">
        <w:rPr>
          <w:rFonts w:ascii="Calibri" w:hAnsi="Calibri"/>
          <w:sz w:val="22"/>
          <w:szCs w:val="22"/>
          <w:lang w:val="es-ES"/>
        </w:rPr>
        <w:tab/>
      </w:r>
      <w:proofErr w:type="gramStart"/>
      <w:r w:rsidRPr="005F70E8">
        <w:rPr>
          <w:rFonts w:ascii="Calibri" w:hAnsi="Calibri"/>
          <w:sz w:val="22"/>
          <w:szCs w:val="22"/>
          <w:lang w:val="es-ES"/>
        </w:rPr>
        <w:t>Toda</w:t>
      </w:r>
      <w:proofErr w:type="gramEnd"/>
      <w:r w:rsidRPr="005F70E8">
        <w:rPr>
          <w:rFonts w:ascii="Calibri" w:hAnsi="Calibri"/>
          <w:sz w:val="22"/>
          <w:szCs w:val="22"/>
          <w:lang w:val="es-ES"/>
        </w:rPr>
        <w:t xml:space="preserve"> la información relativa a este taller, incluido el proyecto de programa, estará disponible en el sitio web del evento, en la dirección:</w:t>
      </w:r>
      <w:r w:rsidRPr="005F70E8">
        <w:rPr>
          <w:rFonts w:ascii="Calibri" w:eastAsia="Batang" w:hAnsi="Calibri"/>
          <w:sz w:val="22"/>
          <w:szCs w:val="22"/>
          <w:lang w:val="es-ES"/>
        </w:rPr>
        <w:t xml:space="preserve"> </w:t>
      </w:r>
      <w:hyperlink r:id="rId12" w:history="1">
        <w:r w:rsidRPr="005F70E8">
          <w:rPr>
            <w:rStyle w:val="Hyperlink"/>
            <w:rFonts w:ascii="Calibri" w:hAnsi="Calibri"/>
            <w:sz w:val="22"/>
            <w:szCs w:val="22"/>
            <w:lang w:val="es-ES"/>
          </w:rPr>
          <w:t>https://www.itu.int/en/ITU-T/Workshops-and-Seminars/2023/0828/Pages/default.aspx</w:t>
        </w:r>
      </w:hyperlink>
      <w:r w:rsidRPr="005F70E8">
        <w:rPr>
          <w:rFonts w:ascii="Calibri" w:hAnsi="Calibri"/>
          <w:sz w:val="22"/>
          <w:szCs w:val="22"/>
          <w:lang w:val="es-ES"/>
        </w:rPr>
        <w:t>.</w:t>
      </w:r>
    </w:p>
    <w:p w14:paraId="50E5C79A" w14:textId="77777777" w:rsidR="008F067C" w:rsidRPr="005F70E8" w:rsidRDefault="008F067C" w:rsidP="008F067C">
      <w:pPr>
        <w:rPr>
          <w:rFonts w:ascii="Calibri" w:hAnsi="Calibri"/>
          <w:sz w:val="22"/>
          <w:szCs w:val="22"/>
          <w:lang w:val="es-ES"/>
        </w:rPr>
      </w:pPr>
      <w:r w:rsidRPr="005F70E8">
        <w:rPr>
          <w:rFonts w:ascii="Calibri" w:hAnsi="Calibri"/>
          <w:sz w:val="22"/>
          <w:szCs w:val="22"/>
          <w:lang w:val="es-ES"/>
        </w:rPr>
        <w:t>La página web del evento se actualizará periódicamente a medida que se disponga de más información. Se recomienda a los participantes que consulten periódicamente la página web.</w:t>
      </w:r>
    </w:p>
    <w:p w14:paraId="1A273364" w14:textId="77777777" w:rsidR="008F067C" w:rsidRPr="005F70E8" w:rsidRDefault="008F067C" w:rsidP="008F067C">
      <w:pPr>
        <w:rPr>
          <w:rFonts w:ascii="Calibri" w:hAnsi="Calibri"/>
          <w:sz w:val="22"/>
          <w:szCs w:val="22"/>
          <w:lang w:val="es-ES"/>
        </w:rPr>
      </w:pPr>
      <w:r w:rsidRPr="005F70E8">
        <w:rPr>
          <w:rFonts w:ascii="Calibri" w:hAnsi="Calibri"/>
          <w:sz w:val="22"/>
          <w:szCs w:val="22"/>
          <w:lang w:val="es-ES"/>
        </w:rPr>
        <w:t>6</w:t>
      </w:r>
      <w:r w:rsidRPr="005F70E8">
        <w:rPr>
          <w:rFonts w:ascii="Calibri" w:hAnsi="Calibri"/>
          <w:sz w:val="22"/>
          <w:szCs w:val="22"/>
          <w:lang w:val="es-ES"/>
        </w:rPr>
        <w:tab/>
      </w:r>
      <w:proofErr w:type="gramStart"/>
      <w:r w:rsidRPr="005F70E8">
        <w:rPr>
          <w:rFonts w:ascii="Calibri" w:hAnsi="Calibri"/>
          <w:sz w:val="22"/>
          <w:szCs w:val="22"/>
          <w:lang w:val="es-ES"/>
        </w:rPr>
        <w:t>En</w:t>
      </w:r>
      <w:proofErr w:type="gramEnd"/>
      <w:r w:rsidRPr="005F70E8">
        <w:rPr>
          <w:rFonts w:ascii="Calibri" w:hAnsi="Calibri"/>
          <w:sz w:val="22"/>
          <w:szCs w:val="22"/>
          <w:lang w:val="es-ES"/>
        </w:rPr>
        <w:t xml:space="preserve"> el sitio web de la UIT antes mencionado figura información general para los participantes sobre alojamiento en hoteles, transporte y requisitos de visado.</w:t>
      </w:r>
    </w:p>
    <w:p w14:paraId="6CEB5200" w14:textId="77777777" w:rsidR="008F067C" w:rsidRPr="005F70E8" w:rsidRDefault="008F067C" w:rsidP="008F067C">
      <w:pPr>
        <w:rPr>
          <w:rFonts w:ascii="Calibri" w:hAnsi="Calibri"/>
          <w:sz w:val="22"/>
          <w:szCs w:val="22"/>
          <w:lang w:val="es-ES"/>
        </w:rPr>
      </w:pPr>
      <w:r w:rsidRPr="005F70E8">
        <w:rPr>
          <w:rFonts w:ascii="Calibri" w:hAnsi="Calibri"/>
          <w:sz w:val="22"/>
          <w:szCs w:val="22"/>
          <w:lang w:val="es-ES"/>
        </w:rPr>
        <w:t xml:space="preserve">La inscripción es obligatoria para todos los participantes. Tenga a bien completar cuanto antes el formulario de inscripción en línea disponible en la dirección: </w:t>
      </w:r>
      <w:hyperlink r:id="rId13" w:history="1">
        <w:r w:rsidRPr="005F70E8">
          <w:rPr>
            <w:rStyle w:val="Hyperlink"/>
            <w:rFonts w:ascii="Calibri" w:hAnsi="Calibri"/>
            <w:sz w:val="22"/>
            <w:szCs w:val="22"/>
            <w:lang w:val="es-ES"/>
          </w:rPr>
          <w:t>https://www.itu.int/net4/CRM/xreg/web/registration.aspx?Event=C-00012439</w:t>
        </w:r>
      </w:hyperlink>
      <w:r w:rsidRPr="005F70E8">
        <w:rPr>
          <w:rFonts w:ascii="Calibri" w:hAnsi="Calibri"/>
          <w:sz w:val="22"/>
          <w:szCs w:val="22"/>
          <w:lang w:val="es-ES"/>
        </w:rPr>
        <w:t>.</w:t>
      </w:r>
    </w:p>
    <w:p w14:paraId="1AB5BF91" w14:textId="77777777" w:rsidR="008F067C" w:rsidRPr="005F70E8" w:rsidRDefault="008F067C" w:rsidP="008F067C">
      <w:pPr>
        <w:rPr>
          <w:rFonts w:ascii="Calibri" w:hAnsi="Calibri"/>
          <w:sz w:val="22"/>
          <w:szCs w:val="22"/>
          <w:lang w:val="es-ES"/>
        </w:rPr>
      </w:pPr>
      <w:r w:rsidRPr="005F70E8">
        <w:rPr>
          <w:rFonts w:ascii="Calibri" w:hAnsi="Calibri"/>
          <w:b/>
          <w:bCs/>
          <w:sz w:val="22"/>
          <w:szCs w:val="22"/>
          <w:lang w:val="es-ES"/>
        </w:rPr>
        <w:t>Se recomienda inscribirse lo antes posible para la asistencia in situ</w:t>
      </w:r>
      <w:r w:rsidRPr="005F70E8">
        <w:rPr>
          <w:rFonts w:ascii="Calibri" w:hAnsi="Calibri"/>
          <w:sz w:val="22"/>
          <w:szCs w:val="22"/>
          <w:lang w:val="es-ES"/>
        </w:rPr>
        <w:t xml:space="preserve"> y, a fin de que la TSB pueda tomar las disposiciones necesarias sobre la organización del taller, la inscripción para la asistencia in situ debe realizarse </w:t>
      </w:r>
      <w:r w:rsidRPr="005F70E8">
        <w:rPr>
          <w:rFonts w:ascii="Calibri" w:hAnsi="Calibri"/>
          <w:b/>
          <w:bCs/>
          <w:sz w:val="22"/>
          <w:szCs w:val="22"/>
          <w:lang w:val="es-ES"/>
        </w:rPr>
        <w:t>a más tardar el 21 de agosto de 2023</w:t>
      </w:r>
      <w:r w:rsidRPr="005F70E8">
        <w:rPr>
          <w:rFonts w:ascii="Calibri" w:hAnsi="Calibri"/>
          <w:sz w:val="22"/>
          <w:szCs w:val="22"/>
          <w:lang w:val="es-ES"/>
        </w:rPr>
        <w:t>. Tenga presente que la preinscripción de los participantes en nuestros eventos se lleva a cabo exclusivamente en línea.</w:t>
      </w:r>
    </w:p>
    <w:p w14:paraId="4982D100" w14:textId="77777777" w:rsidR="008F067C" w:rsidRPr="005F70E8" w:rsidRDefault="008F067C" w:rsidP="008F067C">
      <w:pPr>
        <w:rPr>
          <w:rFonts w:ascii="Calibri" w:hAnsi="Calibri"/>
          <w:sz w:val="22"/>
          <w:szCs w:val="22"/>
        </w:rPr>
      </w:pPr>
      <w:r w:rsidRPr="005F70E8">
        <w:rPr>
          <w:rFonts w:ascii="Calibri" w:hAnsi="Calibri"/>
          <w:sz w:val="22"/>
          <w:szCs w:val="22"/>
          <w:lang w:val="es-ES"/>
        </w:rPr>
        <w:t>7</w:t>
      </w:r>
      <w:r w:rsidRPr="005F70E8">
        <w:rPr>
          <w:rFonts w:ascii="Calibri" w:hAnsi="Calibri"/>
          <w:sz w:val="22"/>
          <w:szCs w:val="22"/>
          <w:lang w:val="es-ES"/>
        </w:rPr>
        <w:tab/>
      </w:r>
      <w:proofErr w:type="gramStart"/>
      <w:r w:rsidRPr="005F70E8">
        <w:rPr>
          <w:rFonts w:ascii="Calibri" w:hAnsi="Calibri"/>
          <w:sz w:val="22"/>
          <w:szCs w:val="22"/>
          <w:lang w:val="es-ES"/>
        </w:rPr>
        <w:t>Le</w:t>
      </w:r>
      <w:proofErr w:type="gramEnd"/>
      <w:r w:rsidRPr="005F70E8">
        <w:rPr>
          <w:rFonts w:ascii="Calibri" w:hAnsi="Calibri"/>
          <w:sz w:val="22"/>
          <w:szCs w:val="22"/>
          <w:lang w:val="es-ES"/>
        </w:rPr>
        <w:t xml:space="preserve"> recordamos que los ciudadanos procedentes de ciertos países necesitan visado para entrar y permanecer en la República de Corea.</w:t>
      </w:r>
      <w:r w:rsidRPr="005F70E8">
        <w:rPr>
          <w:rFonts w:ascii="Calibri" w:hAnsi="Calibri"/>
          <w:sz w:val="22"/>
          <w:szCs w:val="22"/>
        </w:rPr>
        <w:t xml:space="preserve"> </w:t>
      </w:r>
      <w:r w:rsidRPr="005F70E8">
        <w:rPr>
          <w:rFonts w:ascii="Calibri" w:hAnsi="Calibri"/>
          <w:sz w:val="22"/>
          <w:szCs w:val="22"/>
          <w:lang w:val="es-ES"/>
        </w:rPr>
        <w:t>Ese visado debe solicitarse y obtenerse en la oficina (Embajada o Consulado) que representa a la República de Corea en su país o, en su defecto, en la más próxima a su país de partida.</w:t>
      </w:r>
      <w:r w:rsidRPr="005F70E8">
        <w:rPr>
          <w:rFonts w:ascii="Calibri" w:hAnsi="Calibri"/>
          <w:sz w:val="22"/>
          <w:szCs w:val="22"/>
        </w:rPr>
        <w:t xml:space="preserve"> La tramitación y aprobación de visados puede llevar algún tiempo, por lo que se recomienda consultar directamente con la representación correspondiente y presentar la solicitud con suficiente antelación. </w:t>
      </w:r>
    </w:p>
    <w:p w14:paraId="2209E9A9" w14:textId="3A98D719" w:rsidR="007B6316" w:rsidRPr="005F70E8" w:rsidRDefault="008F067C" w:rsidP="008F067C">
      <w:pPr>
        <w:rPr>
          <w:rFonts w:ascii="Calibri" w:hAnsi="Calibri"/>
          <w:sz w:val="22"/>
          <w:szCs w:val="22"/>
        </w:rPr>
      </w:pPr>
      <w:r w:rsidRPr="005F70E8">
        <w:rPr>
          <w:rFonts w:ascii="Calibri" w:hAnsi="Calibri"/>
          <w:sz w:val="22"/>
          <w:szCs w:val="22"/>
          <w:lang w:val="es-ES"/>
        </w:rPr>
        <w:t>Puede consultar información adicional sobre los requisitos para la obtención del visado en el sitio web del evento, bajo el epígrafe "</w:t>
      </w:r>
      <w:hyperlink r:id="rId14" w:history="1">
        <w:r w:rsidRPr="005F70E8">
          <w:rPr>
            <w:rStyle w:val="Hyperlink"/>
            <w:rFonts w:ascii="Calibri" w:hAnsi="Calibri"/>
            <w:sz w:val="22"/>
            <w:szCs w:val="22"/>
            <w:lang w:val="es-ES"/>
          </w:rPr>
          <w:t>Información práctica</w:t>
        </w:r>
      </w:hyperlink>
      <w:r w:rsidRPr="005F70E8">
        <w:rPr>
          <w:rFonts w:ascii="Calibri" w:hAnsi="Calibri"/>
          <w:sz w:val="22"/>
          <w:szCs w:val="22"/>
          <w:lang w:val="es-ES"/>
        </w:rPr>
        <w:t>".</w:t>
      </w:r>
    </w:p>
    <w:p w14:paraId="7FC34F44" w14:textId="77777777" w:rsidR="007B6316" w:rsidRPr="005F70E8" w:rsidRDefault="007B6316" w:rsidP="008F067C">
      <w:pPr>
        <w:rPr>
          <w:rFonts w:ascii="Calibri" w:hAnsi="Calibri"/>
          <w:sz w:val="22"/>
          <w:szCs w:val="22"/>
        </w:rPr>
      </w:pPr>
      <w:r w:rsidRPr="005F70E8">
        <w:rPr>
          <w:rFonts w:ascii="Calibri" w:hAnsi="Calibri"/>
          <w:sz w:val="22"/>
          <w:szCs w:val="22"/>
        </w:rPr>
        <w:t>Atentamente,</w:t>
      </w:r>
    </w:p>
    <w:p w14:paraId="5490A23D" w14:textId="397DD933" w:rsidR="007B6316" w:rsidRPr="00081FE5" w:rsidRDefault="00D95D77" w:rsidP="009E56C3">
      <w:pPr>
        <w:spacing w:before="960"/>
      </w:pPr>
      <w:r>
        <w:rPr>
          <w:rFonts w:ascii="Calibri" w:hAnsi="Calibri" w:cstheme="minorHAnsi"/>
          <w:noProof/>
          <w:sz w:val="22"/>
          <w:szCs w:val="22"/>
          <w:lang w:val="es-ES"/>
        </w:rPr>
        <w:drawing>
          <wp:anchor distT="0" distB="0" distL="114300" distR="114300" simplePos="0" relativeHeight="251658240" behindDoc="1" locked="0" layoutInCell="1" allowOverlap="1" wp14:anchorId="2C025B63" wp14:editId="5ACE61B5">
            <wp:simplePos x="0" y="0"/>
            <wp:positionH relativeFrom="column">
              <wp:posOffset>3810</wp:posOffset>
            </wp:positionH>
            <wp:positionV relativeFrom="paragraph">
              <wp:posOffset>135890</wp:posOffset>
            </wp:positionV>
            <wp:extent cx="803652" cy="361950"/>
            <wp:effectExtent l="0" t="0" r="0" b="0"/>
            <wp:wrapNone/>
            <wp:docPr id="3" name="Picture 3"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logo, graphics,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1350B9" w:rsidRPr="005F70E8">
        <w:rPr>
          <w:rFonts w:ascii="Calibri" w:hAnsi="Calibri" w:cstheme="minorHAnsi"/>
          <w:sz w:val="22"/>
          <w:szCs w:val="22"/>
          <w:lang w:val="es-ES"/>
        </w:rPr>
        <w:t>Seizo Onoe</w:t>
      </w:r>
      <w:r w:rsidR="007B6316" w:rsidRPr="005F70E8">
        <w:rPr>
          <w:rFonts w:ascii="Calibri" w:hAnsi="Calibri"/>
          <w:sz w:val="22"/>
          <w:szCs w:val="22"/>
        </w:rPr>
        <w:br/>
      </w:r>
      <w:proofErr w:type="gramStart"/>
      <w:r w:rsidR="007B6316" w:rsidRPr="005F70E8">
        <w:rPr>
          <w:rFonts w:ascii="Calibri" w:hAnsi="Calibri"/>
          <w:sz w:val="22"/>
          <w:szCs w:val="22"/>
        </w:rPr>
        <w:t>Director</w:t>
      </w:r>
      <w:proofErr w:type="gramEnd"/>
      <w:r w:rsidR="007B6316" w:rsidRPr="005F70E8">
        <w:rPr>
          <w:rFonts w:ascii="Calibri" w:hAnsi="Calibri"/>
          <w:sz w:val="22"/>
          <w:szCs w:val="22"/>
        </w:rPr>
        <w:t xml:space="preserve"> de la Oficina de </w:t>
      </w:r>
      <w:r w:rsidR="007B6316" w:rsidRPr="005F70E8">
        <w:rPr>
          <w:rFonts w:ascii="Calibri" w:hAnsi="Calibri"/>
          <w:sz w:val="22"/>
          <w:szCs w:val="22"/>
        </w:rPr>
        <w:br/>
        <w:t>Normalización de las Telecomunicaciones</w:t>
      </w:r>
    </w:p>
    <w:p w14:paraId="4BACCFD5" w14:textId="7584F1F8" w:rsidR="00401C20" w:rsidRPr="007B6316" w:rsidRDefault="00401C20" w:rsidP="007B6316">
      <w:pPr>
        <w:ind w:right="92"/>
        <w:rPr>
          <w:lang w:val="es-ES"/>
        </w:rPr>
      </w:pPr>
    </w:p>
    <w:sectPr w:rsidR="00401C20" w:rsidRPr="007B6316" w:rsidSect="00DD0DD0">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3D69" w14:textId="77777777" w:rsidR="006D051D" w:rsidRDefault="006D051D">
      <w:r>
        <w:separator/>
      </w:r>
    </w:p>
  </w:endnote>
  <w:endnote w:type="continuationSeparator" w:id="0">
    <w:p w14:paraId="199AA68C" w14:textId="77777777" w:rsidR="006D051D" w:rsidRDefault="006D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9E18" w14:textId="77777777" w:rsidR="00DD0DD0" w:rsidRDefault="00DD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095A" w14:textId="77777777" w:rsidR="00DD0DD0" w:rsidRDefault="00DD0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E9C0"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E0C" w14:textId="77777777" w:rsidR="006D051D" w:rsidRDefault="006D051D">
      <w:r>
        <w:t>____________________</w:t>
      </w:r>
    </w:p>
  </w:footnote>
  <w:footnote w:type="continuationSeparator" w:id="0">
    <w:p w14:paraId="3E21459E" w14:textId="77777777" w:rsidR="006D051D" w:rsidRDefault="006D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A0B3" w14:textId="77777777" w:rsidR="00DD0DD0" w:rsidRDefault="00DD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DAA0" w14:textId="05697AD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D0DD0">
      <w:rPr>
        <w:rStyle w:val="PageNumber"/>
        <w:noProof/>
        <w:sz w:val="18"/>
        <w:szCs w:val="18"/>
      </w:rPr>
      <w:t>- 2 -</w:t>
    </w:r>
    <w:r w:rsidR="00B87E9E" w:rsidRPr="00303D62">
      <w:rPr>
        <w:rStyle w:val="PageNumber"/>
        <w:sz w:val="18"/>
        <w:szCs w:val="18"/>
      </w:rPr>
      <w:fldChar w:fldCharType="end"/>
    </w:r>
    <w:r w:rsidRPr="00303D62">
      <w:rPr>
        <w:rStyle w:val="PageNumber"/>
        <w:sz w:val="18"/>
        <w:szCs w:val="18"/>
      </w:rPr>
      <w:t xml:space="preserve"> </w:t>
    </w:r>
  </w:p>
  <w:p w14:paraId="30F803C8" w14:textId="1DB6E7CB" w:rsidR="005F70E8" w:rsidRPr="00303D62" w:rsidRDefault="005F70E8">
    <w:pPr>
      <w:pStyle w:val="Header"/>
      <w:rPr>
        <w:sz w:val="18"/>
        <w:szCs w:val="18"/>
      </w:rPr>
    </w:pPr>
    <w:r>
      <w:rPr>
        <w:rStyle w:val="PageNumber"/>
        <w:sz w:val="18"/>
        <w:szCs w:val="18"/>
      </w:rPr>
      <w:t>Circular TSB 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2E53" w14:textId="77777777" w:rsidR="00DD0DD0" w:rsidRDefault="00DD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815756918">
    <w:abstractNumId w:val="0"/>
  </w:num>
  <w:num w:numId="2" w16cid:durableId="2070877061">
    <w:abstractNumId w:val="3"/>
  </w:num>
  <w:num w:numId="3" w16cid:durableId="260181717">
    <w:abstractNumId w:val="2"/>
  </w:num>
  <w:num w:numId="4" w16cid:durableId="182322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7C"/>
    <w:rsid w:val="00002529"/>
    <w:rsid w:val="00085662"/>
    <w:rsid w:val="000C382F"/>
    <w:rsid w:val="001173CC"/>
    <w:rsid w:val="001350B9"/>
    <w:rsid w:val="0014464D"/>
    <w:rsid w:val="001A54CC"/>
    <w:rsid w:val="00257FB4"/>
    <w:rsid w:val="002E496E"/>
    <w:rsid w:val="00303D62"/>
    <w:rsid w:val="00334DF4"/>
    <w:rsid w:val="00335367"/>
    <w:rsid w:val="00370C2D"/>
    <w:rsid w:val="003D1E8D"/>
    <w:rsid w:val="003D673B"/>
    <w:rsid w:val="003F2855"/>
    <w:rsid w:val="00401C20"/>
    <w:rsid w:val="00414235"/>
    <w:rsid w:val="004A7957"/>
    <w:rsid w:val="004C4144"/>
    <w:rsid w:val="0055719E"/>
    <w:rsid w:val="005F70E8"/>
    <w:rsid w:val="006969B4"/>
    <w:rsid w:val="006D051D"/>
    <w:rsid w:val="006E4F7B"/>
    <w:rsid w:val="00781E2A"/>
    <w:rsid w:val="007933A2"/>
    <w:rsid w:val="007B6316"/>
    <w:rsid w:val="00814503"/>
    <w:rsid w:val="008258C2"/>
    <w:rsid w:val="008505BD"/>
    <w:rsid w:val="00850C78"/>
    <w:rsid w:val="00876165"/>
    <w:rsid w:val="00884D12"/>
    <w:rsid w:val="008C17AD"/>
    <w:rsid w:val="008D02CD"/>
    <w:rsid w:val="008F067C"/>
    <w:rsid w:val="0091370C"/>
    <w:rsid w:val="0095172A"/>
    <w:rsid w:val="009678DC"/>
    <w:rsid w:val="009A0BA0"/>
    <w:rsid w:val="009E3D09"/>
    <w:rsid w:val="009E56C3"/>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95D77"/>
    <w:rsid w:val="00DC4983"/>
    <w:rsid w:val="00DD0DD0"/>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C37085"/>
  <w15:docId w15:val="{EDBBFE76-8D7B-4233-B521-E951CF54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8F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24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Workshops-and-Seminars/2023/0828/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7/Pages/default.aspx"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tsbevent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2-2024/17/Documents/Practical-information-SG17-Korea_28_Aug-_8_Sep-2023.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7DDA-C78C-454F-8478-EDCE8B5B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13</TotalTime>
  <Pages>2</Pages>
  <Words>847</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5940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2023-06-22T09:22:00Z</cp:lastPrinted>
  <dcterms:created xsi:type="dcterms:W3CDTF">2023-06-09T07:50:00Z</dcterms:created>
  <dcterms:modified xsi:type="dcterms:W3CDTF">2023-06-22T09:23:00Z</dcterms:modified>
</cp:coreProperties>
</file>