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Look w:val="0000" w:firstRow="0" w:lastRow="0" w:firstColumn="0" w:lastColumn="0" w:noHBand="0" w:noVBand="0"/>
      </w:tblPr>
      <w:tblGrid>
        <w:gridCol w:w="1409"/>
        <w:gridCol w:w="3470"/>
        <w:gridCol w:w="5327"/>
      </w:tblGrid>
      <w:tr w:rsidR="007B6316" w14:paraId="69C41898" w14:textId="77777777" w:rsidTr="000A4282">
        <w:trPr>
          <w:cantSplit/>
          <w:trHeight w:val="340"/>
        </w:trPr>
        <w:tc>
          <w:tcPr>
            <w:tcW w:w="1410" w:type="dxa"/>
          </w:tcPr>
          <w:p w14:paraId="3778C3CB"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2B08835" wp14:editId="796647C5">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2EFC15C5"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17DBE3EF"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276BA9" w14:paraId="3B3964EA" w14:textId="77777777" w:rsidTr="00BE7730">
        <w:trPr>
          <w:cantSplit/>
          <w:trHeight w:val="340"/>
        </w:trPr>
        <w:tc>
          <w:tcPr>
            <w:tcW w:w="1406" w:type="dxa"/>
          </w:tcPr>
          <w:p w14:paraId="22F07815" w14:textId="77777777" w:rsidR="007B6316" w:rsidRPr="00276BA9" w:rsidRDefault="007B6316" w:rsidP="00BE7730">
            <w:pPr>
              <w:spacing w:after="120"/>
              <w:rPr>
                <w:rFonts w:cstheme="minorHAnsi"/>
                <w:sz w:val="22"/>
                <w:szCs w:val="18"/>
              </w:rPr>
            </w:pPr>
          </w:p>
        </w:tc>
        <w:tc>
          <w:tcPr>
            <w:tcW w:w="3471" w:type="dxa"/>
          </w:tcPr>
          <w:p w14:paraId="7E3B7094" w14:textId="77777777" w:rsidR="007B6316" w:rsidRPr="00276BA9" w:rsidRDefault="007B6316" w:rsidP="00BE7730">
            <w:pPr>
              <w:rPr>
                <w:rFonts w:cstheme="minorHAnsi"/>
                <w:sz w:val="22"/>
                <w:szCs w:val="18"/>
              </w:rPr>
            </w:pPr>
          </w:p>
        </w:tc>
        <w:tc>
          <w:tcPr>
            <w:tcW w:w="5329" w:type="dxa"/>
          </w:tcPr>
          <w:p w14:paraId="495ACB63" w14:textId="1780F23E" w:rsidR="007B6316" w:rsidRPr="00276BA9" w:rsidRDefault="000A4282" w:rsidP="00BE7730">
            <w:pPr>
              <w:rPr>
                <w:rFonts w:cstheme="minorHAnsi"/>
                <w:sz w:val="22"/>
                <w:szCs w:val="18"/>
              </w:rPr>
            </w:pPr>
            <w:r w:rsidRPr="00276BA9">
              <w:rPr>
                <w:rFonts w:cstheme="minorHAnsi"/>
                <w:sz w:val="22"/>
                <w:szCs w:val="18"/>
              </w:rPr>
              <w:t>Ginebra, 8 de mayo de 2023</w:t>
            </w:r>
          </w:p>
        </w:tc>
      </w:tr>
      <w:tr w:rsidR="001350B9" w:rsidRPr="00276BA9" w14:paraId="7EE00A50" w14:textId="77777777" w:rsidTr="00BE7730">
        <w:trPr>
          <w:cantSplit/>
          <w:trHeight w:val="340"/>
        </w:trPr>
        <w:tc>
          <w:tcPr>
            <w:tcW w:w="1406" w:type="dxa"/>
          </w:tcPr>
          <w:p w14:paraId="121E090D" w14:textId="55AE6D76" w:rsidR="001350B9" w:rsidRPr="00276BA9" w:rsidRDefault="001350B9" w:rsidP="000A4282">
            <w:pPr>
              <w:tabs>
                <w:tab w:val="left" w:pos="4111"/>
              </w:tabs>
              <w:spacing w:before="40" w:after="40"/>
              <w:rPr>
                <w:rFonts w:cstheme="minorHAnsi"/>
                <w:sz w:val="22"/>
                <w:szCs w:val="18"/>
              </w:rPr>
            </w:pPr>
            <w:r w:rsidRPr="00276BA9">
              <w:rPr>
                <w:rFonts w:cstheme="minorHAnsi"/>
                <w:sz w:val="22"/>
                <w:szCs w:val="18"/>
              </w:rPr>
              <w:t>Ref.:</w:t>
            </w:r>
          </w:p>
        </w:tc>
        <w:tc>
          <w:tcPr>
            <w:tcW w:w="3471" w:type="dxa"/>
          </w:tcPr>
          <w:p w14:paraId="28305211" w14:textId="1FAA30D8" w:rsidR="001350B9" w:rsidRPr="00276BA9" w:rsidRDefault="001350B9" w:rsidP="000A4282">
            <w:pPr>
              <w:tabs>
                <w:tab w:val="left" w:pos="4111"/>
              </w:tabs>
              <w:spacing w:before="40" w:after="40"/>
              <w:rPr>
                <w:rFonts w:cstheme="minorHAnsi"/>
                <w:b/>
                <w:bCs/>
                <w:sz w:val="22"/>
                <w:szCs w:val="18"/>
              </w:rPr>
            </w:pPr>
            <w:r w:rsidRPr="00276BA9">
              <w:rPr>
                <w:rFonts w:cstheme="minorHAnsi"/>
                <w:b/>
                <w:bCs/>
                <w:sz w:val="22"/>
                <w:szCs w:val="18"/>
              </w:rPr>
              <w:t xml:space="preserve">Circular TSB </w:t>
            </w:r>
            <w:r w:rsidR="000A4282" w:rsidRPr="00276BA9">
              <w:rPr>
                <w:rFonts w:cstheme="minorHAnsi"/>
                <w:b/>
                <w:bCs/>
                <w:sz w:val="22"/>
                <w:szCs w:val="18"/>
              </w:rPr>
              <w:t>97</w:t>
            </w:r>
          </w:p>
        </w:tc>
        <w:tc>
          <w:tcPr>
            <w:tcW w:w="5329" w:type="dxa"/>
            <w:vMerge w:val="restart"/>
          </w:tcPr>
          <w:p w14:paraId="53422D1E" w14:textId="240390AE" w:rsidR="000A4282" w:rsidRPr="00276BA9" w:rsidRDefault="000A4282" w:rsidP="00C67C2B">
            <w:pPr>
              <w:tabs>
                <w:tab w:val="left" w:pos="4111"/>
              </w:tabs>
              <w:spacing w:before="40" w:after="20"/>
              <w:rPr>
                <w:rFonts w:cstheme="minorHAnsi"/>
                <w:b/>
                <w:bCs/>
                <w:sz w:val="22"/>
                <w:szCs w:val="18"/>
              </w:rPr>
            </w:pPr>
            <w:bookmarkStart w:id="0" w:name="Addressee_S"/>
            <w:bookmarkEnd w:id="0"/>
            <w:r w:rsidRPr="00276BA9">
              <w:rPr>
                <w:rFonts w:cstheme="minorHAnsi"/>
                <w:b/>
                <w:bCs/>
                <w:sz w:val="22"/>
                <w:szCs w:val="18"/>
              </w:rPr>
              <w:t>A:</w:t>
            </w:r>
          </w:p>
          <w:p w14:paraId="2CC9CB84" w14:textId="1360DCBB" w:rsidR="000A4282" w:rsidRPr="00276BA9" w:rsidRDefault="000A4282" w:rsidP="000A4282">
            <w:pPr>
              <w:tabs>
                <w:tab w:val="clear" w:pos="794"/>
                <w:tab w:val="left" w:pos="532"/>
                <w:tab w:val="left" w:pos="4111"/>
              </w:tabs>
              <w:spacing w:before="20" w:after="20"/>
              <w:ind w:left="532" w:hanging="532"/>
              <w:rPr>
                <w:rFonts w:cstheme="minorHAnsi"/>
                <w:sz w:val="22"/>
                <w:szCs w:val="18"/>
              </w:rPr>
            </w:pPr>
            <w:r w:rsidRPr="00276BA9">
              <w:rPr>
                <w:rFonts w:cstheme="minorHAnsi"/>
                <w:sz w:val="22"/>
                <w:szCs w:val="18"/>
              </w:rPr>
              <w:t>–</w:t>
            </w:r>
            <w:r w:rsidRPr="00276BA9">
              <w:rPr>
                <w:rFonts w:cstheme="minorHAnsi"/>
                <w:sz w:val="22"/>
                <w:szCs w:val="18"/>
              </w:rPr>
              <w:tab/>
              <w:t xml:space="preserve">las </w:t>
            </w:r>
            <w:r w:rsidRPr="00276BA9">
              <w:rPr>
                <w:rFonts w:cstheme="minorHAnsi"/>
                <w:sz w:val="22"/>
                <w:szCs w:val="18"/>
                <w:lang w:val="es-ES"/>
              </w:rPr>
              <w:t>Administraciones</w:t>
            </w:r>
            <w:r w:rsidRPr="00276BA9">
              <w:rPr>
                <w:rFonts w:cstheme="minorHAnsi"/>
                <w:sz w:val="22"/>
                <w:szCs w:val="18"/>
              </w:rPr>
              <w:t xml:space="preserve"> de los Estados Miembros de la Unión;</w:t>
            </w:r>
          </w:p>
          <w:p w14:paraId="549144D8" w14:textId="04F947C8" w:rsidR="000A4282" w:rsidRPr="00276BA9" w:rsidRDefault="000A4282" w:rsidP="000A4282">
            <w:pPr>
              <w:tabs>
                <w:tab w:val="clear" w:pos="794"/>
                <w:tab w:val="clear" w:pos="1191"/>
                <w:tab w:val="clear" w:pos="1588"/>
                <w:tab w:val="clear" w:pos="1985"/>
                <w:tab w:val="left" w:pos="510"/>
              </w:tabs>
              <w:spacing w:before="20" w:after="20"/>
              <w:rPr>
                <w:rFonts w:cstheme="minorHAnsi"/>
                <w:sz w:val="22"/>
                <w:szCs w:val="18"/>
              </w:rPr>
            </w:pPr>
            <w:r w:rsidRPr="00276BA9">
              <w:rPr>
                <w:rFonts w:cstheme="minorHAnsi"/>
                <w:sz w:val="22"/>
                <w:szCs w:val="18"/>
              </w:rPr>
              <w:t>–</w:t>
            </w:r>
            <w:r w:rsidRPr="00276BA9">
              <w:rPr>
                <w:rFonts w:cstheme="minorHAnsi"/>
                <w:sz w:val="22"/>
                <w:szCs w:val="18"/>
              </w:rPr>
              <w:tab/>
            </w:r>
            <w:r w:rsidR="00B82855" w:rsidRPr="00276BA9">
              <w:rPr>
                <w:rFonts w:cstheme="minorHAnsi"/>
                <w:sz w:val="22"/>
                <w:szCs w:val="18"/>
              </w:rPr>
              <w:t xml:space="preserve">los </w:t>
            </w:r>
            <w:r w:rsidRPr="00276BA9">
              <w:rPr>
                <w:rFonts w:cstheme="minorHAnsi"/>
                <w:sz w:val="22"/>
                <w:szCs w:val="18"/>
              </w:rPr>
              <w:t>Miembros del Sector UIT-T;</w:t>
            </w:r>
          </w:p>
          <w:p w14:paraId="640AEDA8" w14:textId="11F22DF1" w:rsidR="000A4282" w:rsidRPr="00276BA9" w:rsidRDefault="000A4282" w:rsidP="000A4282">
            <w:pPr>
              <w:tabs>
                <w:tab w:val="clear" w:pos="794"/>
                <w:tab w:val="clear" w:pos="1191"/>
                <w:tab w:val="clear" w:pos="1588"/>
                <w:tab w:val="clear" w:pos="1985"/>
                <w:tab w:val="left" w:pos="510"/>
              </w:tabs>
              <w:spacing w:before="20" w:after="20"/>
              <w:rPr>
                <w:rFonts w:cstheme="minorHAnsi"/>
                <w:sz w:val="22"/>
                <w:szCs w:val="18"/>
              </w:rPr>
            </w:pPr>
            <w:r w:rsidRPr="00276BA9">
              <w:rPr>
                <w:rFonts w:cstheme="minorHAnsi"/>
                <w:sz w:val="22"/>
                <w:szCs w:val="18"/>
              </w:rPr>
              <w:t>–</w:t>
            </w:r>
            <w:r w:rsidRPr="00276BA9">
              <w:rPr>
                <w:rFonts w:cstheme="minorHAnsi"/>
                <w:sz w:val="22"/>
                <w:szCs w:val="18"/>
              </w:rPr>
              <w:tab/>
              <w:t xml:space="preserve">los </w:t>
            </w:r>
            <w:r w:rsidRPr="00276BA9">
              <w:rPr>
                <w:rFonts w:cstheme="minorHAnsi"/>
                <w:sz w:val="22"/>
                <w:szCs w:val="18"/>
                <w:lang w:val="es-ES"/>
              </w:rPr>
              <w:t>Asociados</w:t>
            </w:r>
            <w:r w:rsidRPr="00276BA9">
              <w:rPr>
                <w:rFonts w:cstheme="minorHAnsi"/>
                <w:sz w:val="22"/>
                <w:szCs w:val="18"/>
              </w:rPr>
              <w:t xml:space="preserve"> en las labores del UIT-T;</w:t>
            </w:r>
          </w:p>
          <w:p w14:paraId="2A544B78" w14:textId="5FA2A0B7" w:rsidR="001350B9" w:rsidRPr="00276BA9" w:rsidRDefault="000A4282" w:rsidP="000A4282">
            <w:pPr>
              <w:tabs>
                <w:tab w:val="clear" w:pos="794"/>
                <w:tab w:val="clear" w:pos="1191"/>
                <w:tab w:val="clear" w:pos="1588"/>
                <w:tab w:val="clear" w:pos="1985"/>
                <w:tab w:val="left" w:pos="510"/>
              </w:tabs>
              <w:spacing w:before="20" w:after="20"/>
              <w:rPr>
                <w:rFonts w:cstheme="minorHAnsi"/>
                <w:sz w:val="22"/>
                <w:szCs w:val="18"/>
              </w:rPr>
            </w:pPr>
            <w:r w:rsidRPr="00276BA9">
              <w:rPr>
                <w:rFonts w:cstheme="minorHAnsi"/>
                <w:sz w:val="22"/>
                <w:szCs w:val="18"/>
              </w:rPr>
              <w:t>–</w:t>
            </w:r>
            <w:r w:rsidRPr="00276BA9">
              <w:rPr>
                <w:rFonts w:cstheme="minorHAnsi"/>
                <w:sz w:val="22"/>
                <w:szCs w:val="18"/>
              </w:rPr>
              <w:tab/>
              <w:t xml:space="preserve">las </w:t>
            </w:r>
            <w:r w:rsidRPr="00276BA9">
              <w:rPr>
                <w:rFonts w:cstheme="minorHAnsi"/>
                <w:sz w:val="22"/>
                <w:szCs w:val="18"/>
                <w:lang w:val="es-ES"/>
              </w:rPr>
              <w:t>Instituciones</w:t>
            </w:r>
            <w:r w:rsidRPr="00276BA9">
              <w:rPr>
                <w:rFonts w:cstheme="minorHAnsi"/>
                <w:sz w:val="22"/>
                <w:szCs w:val="18"/>
              </w:rPr>
              <w:t xml:space="preserve"> Académicas de la UIT</w:t>
            </w:r>
          </w:p>
        </w:tc>
      </w:tr>
      <w:tr w:rsidR="001350B9" w:rsidRPr="00276BA9" w14:paraId="7A555D43" w14:textId="77777777" w:rsidTr="00BE7730">
        <w:trPr>
          <w:cantSplit/>
        </w:trPr>
        <w:tc>
          <w:tcPr>
            <w:tcW w:w="1406" w:type="dxa"/>
          </w:tcPr>
          <w:p w14:paraId="73F8A974" w14:textId="77777777" w:rsidR="001350B9" w:rsidRPr="00276BA9" w:rsidRDefault="001350B9" w:rsidP="000A4282">
            <w:pPr>
              <w:tabs>
                <w:tab w:val="left" w:pos="4111"/>
              </w:tabs>
              <w:spacing w:before="40" w:after="40"/>
              <w:rPr>
                <w:rFonts w:cstheme="minorHAnsi"/>
                <w:sz w:val="22"/>
                <w:szCs w:val="18"/>
              </w:rPr>
            </w:pPr>
            <w:r w:rsidRPr="00276BA9">
              <w:rPr>
                <w:rFonts w:cstheme="minorHAnsi"/>
                <w:sz w:val="22"/>
                <w:szCs w:val="18"/>
              </w:rPr>
              <w:t>Tel.:</w:t>
            </w:r>
          </w:p>
        </w:tc>
        <w:tc>
          <w:tcPr>
            <w:tcW w:w="3471" w:type="dxa"/>
          </w:tcPr>
          <w:p w14:paraId="2589B3DD" w14:textId="6C08E809" w:rsidR="001350B9" w:rsidRPr="00276BA9" w:rsidRDefault="000A4282" w:rsidP="000A4282">
            <w:pPr>
              <w:tabs>
                <w:tab w:val="left" w:pos="4111"/>
              </w:tabs>
              <w:spacing w:before="40" w:after="40"/>
              <w:rPr>
                <w:rFonts w:cstheme="minorHAnsi"/>
                <w:sz w:val="22"/>
                <w:szCs w:val="18"/>
              </w:rPr>
            </w:pPr>
            <w:r w:rsidRPr="00276BA9">
              <w:rPr>
                <w:rFonts w:cstheme="minorHAnsi"/>
                <w:sz w:val="22"/>
                <w:szCs w:val="18"/>
              </w:rPr>
              <w:t>+41 22 730 6301</w:t>
            </w:r>
          </w:p>
        </w:tc>
        <w:tc>
          <w:tcPr>
            <w:tcW w:w="5329" w:type="dxa"/>
            <w:vMerge/>
          </w:tcPr>
          <w:p w14:paraId="2EC5EE57" w14:textId="77777777" w:rsidR="001350B9" w:rsidRPr="00276BA9" w:rsidRDefault="001350B9" w:rsidP="000A4282">
            <w:pPr>
              <w:tabs>
                <w:tab w:val="left" w:pos="226"/>
                <w:tab w:val="left" w:pos="510"/>
              </w:tabs>
              <w:spacing w:before="0"/>
              <w:ind w:hanging="169"/>
              <w:rPr>
                <w:rFonts w:cstheme="minorHAnsi"/>
                <w:b/>
                <w:sz w:val="22"/>
                <w:szCs w:val="18"/>
              </w:rPr>
            </w:pPr>
          </w:p>
        </w:tc>
      </w:tr>
      <w:tr w:rsidR="001350B9" w:rsidRPr="00276BA9" w14:paraId="2E90847B" w14:textId="77777777" w:rsidTr="00BE7730">
        <w:trPr>
          <w:cantSplit/>
        </w:trPr>
        <w:tc>
          <w:tcPr>
            <w:tcW w:w="1406" w:type="dxa"/>
          </w:tcPr>
          <w:p w14:paraId="37E7D57E" w14:textId="77777777" w:rsidR="001350B9" w:rsidRPr="00276BA9" w:rsidRDefault="001350B9" w:rsidP="000A4282">
            <w:pPr>
              <w:tabs>
                <w:tab w:val="left" w:pos="4111"/>
              </w:tabs>
              <w:spacing w:before="40" w:after="40"/>
              <w:rPr>
                <w:rFonts w:cstheme="minorHAnsi"/>
                <w:sz w:val="22"/>
                <w:szCs w:val="18"/>
              </w:rPr>
            </w:pPr>
            <w:r w:rsidRPr="00276BA9">
              <w:rPr>
                <w:rFonts w:cstheme="minorHAnsi"/>
                <w:sz w:val="22"/>
                <w:szCs w:val="18"/>
              </w:rPr>
              <w:t>Fax:</w:t>
            </w:r>
          </w:p>
        </w:tc>
        <w:tc>
          <w:tcPr>
            <w:tcW w:w="3471" w:type="dxa"/>
          </w:tcPr>
          <w:p w14:paraId="53F609E1" w14:textId="20B079A2" w:rsidR="001350B9" w:rsidRPr="00276BA9" w:rsidRDefault="000A4282" w:rsidP="000A4282">
            <w:pPr>
              <w:tabs>
                <w:tab w:val="left" w:pos="4111"/>
              </w:tabs>
              <w:spacing w:before="40" w:after="40"/>
              <w:rPr>
                <w:rFonts w:cstheme="minorHAnsi"/>
                <w:sz w:val="22"/>
                <w:szCs w:val="18"/>
              </w:rPr>
            </w:pPr>
            <w:r w:rsidRPr="00276BA9">
              <w:rPr>
                <w:rFonts w:cstheme="minorHAnsi"/>
                <w:sz w:val="22"/>
                <w:szCs w:val="18"/>
              </w:rPr>
              <w:t>+41 22 730 5853</w:t>
            </w:r>
          </w:p>
        </w:tc>
        <w:tc>
          <w:tcPr>
            <w:tcW w:w="5329" w:type="dxa"/>
            <w:vMerge/>
          </w:tcPr>
          <w:p w14:paraId="20E5E50A" w14:textId="77777777" w:rsidR="001350B9" w:rsidRPr="00276BA9" w:rsidRDefault="001350B9" w:rsidP="000A4282">
            <w:pPr>
              <w:tabs>
                <w:tab w:val="left" w:pos="226"/>
                <w:tab w:val="left" w:pos="510"/>
              </w:tabs>
              <w:spacing w:before="0"/>
              <w:ind w:hanging="169"/>
              <w:rPr>
                <w:rFonts w:cstheme="minorHAnsi"/>
                <w:b/>
                <w:sz w:val="22"/>
                <w:szCs w:val="18"/>
              </w:rPr>
            </w:pPr>
          </w:p>
        </w:tc>
      </w:tr>
      <w:tr w:rsidR="001350B9" w:rsidRPr="00276BA9" w14:paraId="1D6B9CD6" w14:textId="77777777" w:rsidTr="00BE7730">
        <w:trPr>
          <w:cantSplit/>
        </w:trPr>
        <w:tc>
          <w:tcPr>
            <w:tcW w:w="1406" w:type="dxa"/>
          </w:tcPr>
          <w:p w14:paraId="79371FF9" w14:textId="77777777" w:rsidR="001350B9" w:rsidRPr="00276BA9" w:rsidRDefault="001350B9" w:rsidP="000A4282">
            <w:pPr>
              <w:tabs>
                <w:tab w:val="left" w:pos="4111"/>
              </w:tabs>
              <w:spacing w:before="40" w:after="40"/>
              <w:rPr>
                <w:rFonts w:cstheme="minorHAnsi"/>
                <w:sz w:val="22"/>
                <w:szCs w:val="18"/>
              </w:rPr>
            </w:pPr>
            <w:r w:rsidRPr="00276BA9">
              <w:rPr>
                <w:rFonts w:cstheme="minorHAnsi"/>
                <w:sz w:val="22"/>
                <w:szCs w:val="18"/>
              </w:rPr>
              <w:t>Correo-e:</w:t>
            </w:r>
          </w:p>
        </w:tc>
        <w:tc>
          <w:tcPr>
            <w:tcW w:w="3471" w:type="dxa"/>
          </w:tcPr>
          <w:p w14:paraId="52D283A0" w14:textId="2DEC65E6" w:rsidR="001350B9" w:rsidRPr="00276BA9" w:rsidRDefault="000E553B" w:rsidP="000A4282">
            <w:pPr>
              <w:tabs>
                <w:tab w:val="left" w:pos="4111"/>
              </w:tabs>
              <w:spacing w:before="40" w:after="40"/>
              <w:rPr>
                <w:rFonts w:cstheme="minorHAnsi"/>
                <w:sz w:val="22"/>
                <w:szCs w:val="18"/>
              </w:rPr>
            </w:pPr>
            <w:hyperlink r:id="rId9" w:history="1">
              <w:r w:rsidR="000A4282" w:rsidRPr="00276BA9">
                <w:rPr>
                  <w:rStyle w:val="Hyperlink"/>
                  <w:rFonts w:cstheme="minorHAnsi"/>
                  <w:sz w:val="22"/>
                  <w:szCs w:val="18"/>
                </w:rPr>
                <w:t>digitaltransformation@itu.int</w:t>
              </w:r>
            </w:hyperlink>
          </w:p>
        </w:tc>
        <w:tc>
          <w:tcPr>
            <w:tcW w:w="5329" w:type="dxa"/>
            <w:vMerge/>
          </w:tcPr>
          <w:p w14:paraId="711067D0" w14:textId="77777777" w:rsidR="001350B9" w:rsidRPr="00276BA9" w:rsidRDefault="001350B9" w:rsidP="000A4282">
            <w:pPr>
              <w:tabs>
                <w:tab w:val="clear" w:pos="794"/>
                <w:tab w:val="clear" w:pos="1191"/>
                <w:tab w:val="clear" w:pos="1588"/>
                <w:tab w:val="clear" w:pos="1985"/>
                <w:tab w:val="left" w:pos="226"/>
                <w:tab w:val="left" w:pos="510"/>
              </w:tabs>
              <w:spacing w:before="0"/>
              <w:ind w:hanging="169"/>
              <w:rPr>
                <w:rFonts w:cstheme="minorHAnsi"/>
                <w:sz w:val="22"/>
                <w:szCs w:val="18"/>
              </w:rPr>
            </w:pPr>
          </w:p>
        </w:tc>
      </w:tr>
      <w:tr w:rsidR="000A4282" w:rsidRPr="00276BA9" w14:paraId="3020B9FC" w14:textId="77777777" w:rsidTr="00BE7730">
        <w:trPr>
          <w:cantSplit/>
        </w:trPr>
        <w:tc>
          <w:tcPr>
            <w:tcW w:w="1406" w:type="dxa"/>
          </w:tcPr>
          <w:p w14:paraId="0280C1BE" w14:textId="77777777" w:rsidR="000A4282" w:rsidRPr="00276BA9" w:rsidRDefault="000A4282" w:rsidP="000A4282">
            <w:pPr>
              <w:tabs>
                <w:tab w:val="left" w:pos="4111"/>
              </w:tabs>
              <w:spacing w:before="40" w:after="40"/>
              <w:rPr>
                <w:rFonts w:cstheme="minorHAnsi"/>
                <w:sz w:val="22"/>
                <w:szCs w:val="18"/>
              </w:rPr>
            </w:pPr>
          </w:p>
        </w:tc>
        <w:tc>
          <w:tcPr>
            <w:tcW w:w="3471" w:type="dxa"/>
          </w:tcPr>
          <w:p w14:paraId="2095423C" w14:textId="77777777" w:rsidR="000A4282" w:rsidRPr="00276BA9" w:rsidRDefault="000A4282" w:rsidP="000A4282">
            <w:pPr>
              <w:tabs>
                <w:tab w:val="left" w:pos="4111"/>
              </w:tabs>
              <w:spacing w:before="40" w:after="40"/>
              <w:rPr>
                <w:rFonts w:cstheme="minorHAnsi"/>
                <w:sz w:val="22"/>
                <w:szCs w:val="18"/>
              </w:rPr>
            </w:pPr>
          </w:p>
        </w:tc>
        <w:tc>
          <w:tcPr>
            <w:tcW w:w="5329" w:type="dxa"/>
          </w:tcPr>
          <w:p w14:paraId="3FB4150C" w14:textId="77777777" w:rsidR="000A4282" w:rsidRPr="00276BA9" w:rsidRDefault="000A4282" w:rsidP="00C67C2B">
            <w:pPr>
              <w:tabs>
                <w:tab w:val="left" w:pos="4111"/>
              </w:tabs>
              <w:spacing w:before="40" w:after="20"/>
              <w:rPr>
                <w:rFonts w:cstheme="minorHAnsi"/>
                <w:sz w:val="22"/>
                <w:szCs w:val="18"/>
                <w:lang w:val="es-ES"/>
              </w:rPr>
            </w:pPr>
            <w:r w:rsidRPr="00276BA9">
              <w:rPr>
                <w:rFonts w:cstheme="minorHAnsi"/>
                <w:b/>
                <w:bCs/>
                <w:sz w:val="22"/>
                <w:szCs w:val="18"/>
                <w:lang w:val="es-ES"/>
              </w:rPr>
              <w:t>Copia:</w:t>
            </w:r>
          </w:p>
          <w:p w14:paraId="7A984506" w14:textId="647A9798" w:rsidR="000A4282" w:rsidRPr="00276BA9" w:rsidRDefault="000A4282" w:rsidP="000A4282">
            <w:pPr>
              <w:tabs>
                <w:tab w:val="clear" w:pos="794"/>
                <w:tab w:val="clear" w:pos="1191"/>
                <w:tab w:val="clear" w:pos="1588"/>
                <w:tab w:val="clear" w:pos="1985"/>
                <w:tab w:val="left" w:pos="510"/>
              </w:tabs>
              <w:spacing w:before="20" w:after="20"/>
              <w:ind w:left="510" w:hanging="510"/>
              <w:rPr>
                <w:rFonts w:cstheme="minorHAnsi"/>
                <w:sz w:val="22"/>
                <w:szCs w:val="18"/>
                <w:lang w:val="es-ES"/>
              </w:rPr>
            </w:pPr>
            <w:r w:rsidRPr="00276BA9">
              <w:rPr>
                <w:rFonts w:cstheme="minorHAnsi"/>
                <w:sz w:val="22"/>
                <w:szCs w:val="18"/>
                <w:lang w:val="es-ES"/>
              </w:rPr>
              <w:t>–</w:t>
            </w:r>
            <w:r w:rsidRPr="00276BA9">
              <w:rPr>
                <w:rFonts w:cstheme="minorHAnsi"/>
                <w:sz w:val="22"/>
                <w:szCs w:val="18"/>
                <w:lang w:val="es-ES"/>
              </w:rPr>
              <w:tab/>
              <w:t xml:space="preserve">a </w:t>
            </w:r>
            <w:r w:rsidRPr="00276BA9">
              <w:rPr>
                <w:rFonts w:cstheme="minorHAnsi"/>
                <w:sz w:val="22"/>
                <w:szCs w:val="18"/>
              </w:rPr>
              <w:t>los</w:t>
            </w:r>
            <w:r w:rsidRPr="00276BA9">
              <w:rPr>
                <w:rFonts w:cstheme="minorHAnsi"/>
                <w:sz w:val="22"/>
                <w:szCs w:val="18"/>
                <w:lang w:val="es-ES"/>
              </w:rPr>
              <w:t xml:space="preserve"> Presidentes y a los Vicepresidentes de las Comisiones de Estudio;</w:t>
            </w:r>
          </w:p>
          <w:p w14:paraId="3E9CE4F3" w14:textId="6337C0E0" w:rsidR="000A4282" w:rsidRPr="00276BA9" w:rsidRDefault="000A4282" w:rsidP="000A4282">
            <w:pPr>
              <w:tabs>
                <w:tab w:val="clear" w:pos="794"/>
                <w:tab w:val="clear" w:pos="1191"/>
                <w:tab w:val="clear" w:pos="1588"/>
                <w:tab w:val="clear" w:pos="1985"/>
                <w:tab w:val="left" w:pos="510"/>
              </w:tabs>
              <w:spacing w:before="20" w:after="20"/>
              <w:ind w:left="510" w:hanging="510"/>
              <w:rPr>
                <w:rFonts w:cstheme="minorHAnsi"/>
                <w:sz w:val="22"/>
                <w:szCs w:val="18"/>
                <w:lang w:val="es-ES"/>
              </w:rPr>
            </w:pPr>
            <w:r w:rsidRPr="00276BA9">
              <w:rPr>
                <w:rFonts w:cstheme="minorHAnsi"/>
                <w:sz w:val="22"/>
                <w:szCs w:val="18"/>
              </w:rPr>
              <w:t>–</w:t>
            </w:r>
            <w:r w:rsidRPr="00276BA9">
              <w:rPr>
                <w:rFonts w:cstheme="minorHAnsi"/>
                <w:sz w:val="22"/>
                <w:szCs w:val="18"/>
              </w:rPr>
              <w:tab/>
            </w:r>
            <w:r w:rsidRPr="00276BA9">
              <w:rPr>
                <w:rFonts w:cstheme="minorHAnsi"/>
                <w:sz w:val="22"/>
                <w:szCs w:val="18"/>
                <w:lang w:val="es-ES"/>
              </w:rPr>
              <w:t>al Director de la Oficina de Desarrollo de las Telecomunicaciones;</w:t>
            </w:r>
          </w:p>
          <w:p w14:paraId="191AB1B9" w14:textId="7CFC7826" w:rsidR="000A4282" w:rsidRPr="00276BA9" w:rsidRDefault="000A4282" w:rsidP="000A4282">
            <w:pPr>
              <w:tabs>
                <w:tab w:val="clear" w:pos="794"/>
                <w:tab w:val="clear" w:pos="1191"/>
                <w:tab w:val="clear" w:pos="1588"/>
                <w:tab w:val="clear" w:pos="1985"/>
                <w:tab w:val="left" w:pos="510"/>
              </w:tabs>
              <w:spacing w:before="20" w:after="20"/>
              <w:ind w:left="510" w:hanging="510"/>
              <w:rPr>
                <w:rFonts w:cstheme="minorHAnsi"/>
                <w:sz w:val="22"/>
                <w:szCs w:val="18"/>
              </w:rPr>
            </w:pPr>
            <w:r w:rsidRPr="00276BA9">
              <w:rPr>
                <w:rFonts w:cstheme="minorHAnsi"/>
                <w:sz w:val="22"/>
                <w:szCs w:val="18"/>
              </w:rPr>
              <w:t>–</w:t>
            </w:r>
            <w:r w:rsidRPr="00276BA9">
              <w:rPr>
                <w:rFonts w:cstheme="minorHAnsi"/>
                <w:sz w:val="22"/>
                <w:szCs w:val="18"/>
              </w:rPr>
              <w:tab/>
            </w:r>
            <w:r w:rsidRPr="00276BA9">
              <w:rPr>
                <w:rFonts w:cstheme="minorHAnsi"/>
                <w:sz w:val="22"/>
                <w:szCs w:val="18"/>
                <w:lang w:val="es-ES"/>
              </w:rPr>
              <w:t>al Director de la Oficina de Radiocomunicaciones</w:t>
            </w:r>
          </w:p>
        </w:tc>
      </w:tr>
      <w:tr w:rsidR="007B6316" w:rsidRPr="00276BA9" w14:paraId="6B38CDE5" w14:textId="77777777" w:rsidTr="00BE7730">
        <w:trPr>
          <w:cantSplit/>
        </w:trPr>
        <w:tc>
          <w:tcPr>
            <w:tcW w:w="1406" w:type="dxa"/>
          </w:tcPr>
          <w:p w14:paraId="2237659B" w14:textId="77777777" w:rsidR="007B6316" w:rsidRPr="00276BA9" w:rsidRDefault="007B6316" w:rsidP="00BE7730">
            <w:pPr>
              <w:tabs>
                <w:tab w:val="left" w:pos="4111"/>
              </w:tabs>
              <w:rPr>
                <w:rFonts w:cstheme="minorHAnsi"/>
                <w:sz w:val="22"/>
                <w:szCs w:val="18"/>
              </w:rPr>
            </w:pPr>
            <w:r w:rsidRPr="00276BA9">
              <w:rPr>
                <w:rFonts w:cstheme="minorHAnsi"/>
                <w:sz w:val="22"/>
                <w:szCs w:val="18"/>
              </w:rPr>
              <w:t>Asunto:</w:t>
            </w:r>
          </w:p>
        </w:tc>
        <w:tc>
          <w:tcPr>
            <w:tcW w:w="8800" w:type="dxa"/>
            <w:gridSpan w:val="2"/>
          </w:tcPr>
          <w:p w14:paraId="4241A3E1" w14:textId="10C3DEBD" w:rsidR="007B6316" w:rsidRPr="00276BA9" w:rsidRDefault="000A4282" w:rsidP="00BE7730">
            <w:pPr>
              <w:tabs>
                <w:tab w:val="left" w:pos="4111"/>
              </w:tabs>
              <w:rPr>
                <w:rFonts w:cstheme="minorHAnsi"/>
                <w:b/>
                <w:bCs/>
                <w:sz w:val="22"/>
                <w:szCs w:val="18"/>
              </w:rPr>
            </w:pPr>
            <w:r w:rsidRPr="00276BA9">
              <w:rPr>
                <w:rFonts w:cstheme="minorHAnsi"/>
                <w:b/>
                <w:bCs/>
                <w:sz w:val="22"/>
                <w:szCs w:val="18"/>
              </w:rPr>
              <w:t xml:space="preserve">Serie de </w:t>
            </w:r>
            <w:r w:rsidR="005004D2" w:rsidRPr="00276BA9">
              <w:rPr>
                <w:rFonts w:cstheme="minorHAnsi"/>
                <w:b/>
                <w:bCs/>
                <w:sz w:val="22"/>
                <w:szCs w:val="18"/>
              </w:rPr>
              <w:t>seminarios web</w:t>
            </w:r>
            <w:r w:rsidRPr="00276BA9">
              <w:rPr>
                <w:rFonts w:cstheme="minorHAnsi"/>
                <w:b/>
                <w:bCs/>
                <w:sz w:val="22"/>
                <w:szCs w:val="18"/>
              </w:rPr>
              <w:t xml:space="preserve"> sobre la transformación digital de ciudades y comunidades </w:t>
            </w:r>
            <w:r w:rsidR="00B82855" w:rsidRPr="00276BA9">
              <w:rPr>
                <w:rFonts w:cstheme="minorHAnsi"/>
                <w:b/>
                <w:bCs/>
                <w:sz w:val="22"/>
                <w:szCs w:val="18"/>
              </w:rPr>
              <w:br/>
            </w:r>
            <w:r w:rsidRPr="00276BA9">
              <w:rPr>
                <w:rFonts w:cstheme="minorHAnsi"/>
                <w:b/>
                <w:bCs/>
                <w:sz w:val="22"/>
                <w:szCs w:val="18"/>
              </w:rPr>
              <w:t>(reunión totalmente virtual)</w:t>
            </w:r>
          </w:p>
        </w:tc>
      </w:tr>
    </w:tbl>
    <w:p w14:paraId="7D3FBE40" w14:textId="77777777" w:rsidR="00C34772" w:rsidRPr="00276BA9" w:rsidRDefault="00C34772" w:rsidP="00BE7730">
      <w:pPr>
        <w:pStyle w:val="Normalaftertitle"/>
        <w:rPr>
          <w:rFonts w:cstheme="minorHAnsi"/>
          <w:sz w:val="22"/>
          <w:szCs w:val="18"/>
        </w:rPr>
      </w:pPr>
      <w:bookmarkStart w:id="1" w:name="StartTyping_S"/>
      <w:bookmarkStart w:id="2" w:name="suitetext"/>
      <w:bookmarkStart w:id="3" w:name="text"/>
      <w:bookmarkEnd w:id="1"/>
      <w:bookmarkEnd w:id="2"/>
      <w:bookmarkEnd w:id="3"/>
      <w:r w:rsidRPr="00276BA9">
        <w:rPr>
          <w:rFonts w:cstheme="minorHAnsi"/>
          <w:sz w:val="22"/>
          <w:szCs w:val="18"/>
        </w:rPr>
        <w:t>Muy Señora mía/Muy Señor mío:</w:t>
      </w:r>
    </w:p>
    <w:p w14:paraId="23EAF9A7" w14:textId="4DA6D3F7" w:rsidR="000A4282" w:rsidRPr="00276BA9" w:rsidRDefault="000A4282" w:rsidP="000A4282">
      <w:pPr>
        <w:rPr>
          <w:rFonts w:cstheme="minorHAnsi"/>
          <w:sz w:val="22"/>
          <w:szCs w:val="18"/>
          <w:lang w:val="es-ES"/>
        </w:rPr>
      </w:pPr>
      <w:r w:rsidRPr="00276BA9">
        <w:rPr>
          <w:rFonts w:cstheme="minorHAnsi"/>
          <w:sz w:val="22"/>
          <w:szCs w:val="18"/>
          <w:lang w:val="es-ES"/>
        </w:rPr>
        <w:t>1</w:t>
      </w:r>
      <w:r w:rsidRPr="00276BA9">
        <w:rPr>
          <w:rFonts w:cstheme="minorHAnsi"/>
          <w:sz w:val="22"/>
          <w:szCs w:val="18"/>
          <w:lang w:val="es-ES"/>
        </w:rPr>
        <w:tab/>
        <w:t xml:space="preserve">La Unión Internacional de Telecomunicaciones (UIT) ha fijado un objetivo estratégico para apoyar la transformación digital, reconociendo la importancia de las tecnologías digitales a la hora de impulsar el crecimiento económico, el desarrollo social y la sostenibilidad. Para alcanzar este objetivo estratégico, la UIT, junto con otros organismos de las Naciones Unidas, está organizando una serie de seminarios web sobre la </w:t>
      </w:r>
      <w:r w:rsidRPr="00276BA9">
        <w:rPr>
          <w:rFonts w:cstheme="minorHAnsi"/>
          <w:b/>
          <w:bCs/>
          <w:sz w:val="22"/>
          <w:szCs w:val="18"/>
          <w:lang w:val="es-ES"/>
        </w:rPr>
        <w:t>transformación digital</w:t>
      </w:r>
      <w:r w:rsidRPr="00276BA9">
        <w:rPr>
          <w:rFonts w:cstheme="minorHAnsi"/>
          <w:sz w:val="22"/>
          <w:szCs w:val="18"/>
          <w:lang w:val="es-ES"/>
        </w:rPr>
        <w:t xml:space="preserve">. En estos seminarios web se debatirán temas novedosos relacionados con la transformación digital, se facilitará la colaboración entre las distintas partes interesadas y se analizará el papel de la normalización en este proceso. La serie de seminarios web muestra el compromiso de la UIT para acelerar la transformación digital a escala mundial y también sirve de nueva plataforma para poner de relieve los últimos trabajos y resultados de las Comisiones de Estudio del UIT-T, incluida la </w:t>
      </w:r>
      <w:hyperlink r:id="rId10" w:history="1">
        <w:r w:rsidRPr="00276BA9">
          <w:rPr>
            <w:rStyle w:val="Hyperlink"/>
            <w:rFonts w:cstheme="minorHAnsi"/>
            <w:sz w:val="22"/>
            <w:szCs w:val="18"/>
            <w:lang w:val="es-ES"/>
          </w:rPr>
          <w:t>Comisión de Estudio</w:t>
        </w:r>
        <w:r w:rsidR="00B80BDB" w:rsidRPr="00276BA9">
          <w:rPr>
            <w:rStyle w:val="Hyperlink"/>
            <w:rFonts w:cstheme="minorHAnsi"/>
            <w:sz w:val="22"/>
            <w:szCs w:val="18"/>
            <w:lang w:val="es-ES"/>
          </w:rPr>
          <w:t> </w:t>
        </w:r>
        <w:r w:rsidRPr="00276BA9">
          <w:rPr>
            <w:rStyle w:val="Hyperlink"/>
            <w:rFonts w:cstheme="minorHAnsi"/>
            <w:sz w:val="22"/>
            <w:szCs w:val="18"/>
            <w:lang w:val="es-ES"/>
          </w:rPr>
          <w:t>20 del</w:t>
        </w:r>
        <w:r w:rsidR="00BE7730" w:rsidRPr="00276BA9">
          <w:rPr>
            <w:rStyle w:val="Hyperlink"/>
            <w:rFonts w:cstheme="minorHAnsi"/>
            <w:sz w:val="22"/>
            <w:szCs w:val="18"/>
            <w:lang w:val="es-ES"/>
          </w:rPr>
          <w:t> </w:t>
        </w:r>
        <w:r w:rsidRPr="00276BA9">
          <w:rPr>
            <w:rStyle w:val="Hyperlink"/>
            <w:rFonts w:cstheme="minorHAnsi"/>
            <w:sz w:val="22"/>
            <w:szCs w:val="18"/>
            <w:lang w:val="es-ES"/>
          </w:rPr>
          <w:t>UIT-T, "Internet de las cosas (IoT) y ciudades y comunidades inteligentes (C+CI)"</w:t>
        </w:r>
      </w:hyperlink>
      <w:r w:rsidRPr="00276BA9">
        <w:rPr>
          <w:rFonts w:cstheme="minorHAnsi"/>
          <w:sz w:val="22"/>
          <w:szCs w:val="18"/>
          <w:lang w:val="es-ES"/>
        </w:rPr>
        <w:t>.</w:t>
      </w:r>
    </w:p>
    <w:p w14:paraId="0878501E" w14:textId="77777777" w:rsidR="000A4282" w:rsidRPr="00276BA9" w:rsidRDefault="000A4282" w:rsidP="000A4282">
      <w:pPr>
        <w:rPr>
          <w:rFonts w:cstheme="minorHAnsi"/>
          <w:sz w:val="22"/>
          <w:szCs w:val="18"/>
          <w:lang w:val="es-ES"/>
        </w:rPr>
      </w:pPr>
      <w:r w:rsidRPr="00276BA9">
        <w:rPr>
          <w:rFonts w:cstheme="minorHAnsi"/>
          <w:sz w:val="22"/>
          <w:szCs w:val="18"/>
          <w:lang w:val="es-ES"/>
        </w:rPr>
        <w:t>2</w:t>
      </w:r>
      <w:r w:rsidRPr="00276BA9">
        <w:rPr>
          <w:rFonts w:cstheme="minorHAnsi"/>
          <w:sz w:val="22"/>
          <w:szCs w:val="18"/>
          <w:lang w:val="es-ES"/>
        </w:rPr>
        <w:tab/>
        <w:t>Los objetivos de estos seminarios web son los siguientes:</w:t>
      </w:r>
    </w:p>
    <w:p w14:paraId="0AA63737" w14:textId="36A795C0" w:rsidR="000A4282" w:rsidRPr="00276BA9" w:rsidRDefault="00BE7730" w:rsidP="00BE7730">
      <w:pPr>
        <w:pStyle w:val="enumlev1"/>
        <w:rPr>
          <w:rFonts w:cstheme="minorHAnsi"/>
          <w:sz w:val="22"/>
          <w:szCs w:val="18"/>
          <w:lang w:val="es-ES"/>
        </w:rPr>
      </w:pPr>
      <w:r w:rsidRPr="00276BA9">
        <w:rPr>
          <w:rFonts w:cstheme="minorHAnsi"/>
          <w:sz w:val="22"/>
          <w:szCs w:val="18"/>
          <w:lang w:val="es-ES"/>
        </w:rPr>
        <w:t>–</w:t>
      </w:r>
      <w:r w:rsidRPr="00276BA9">
        <w:rPr>
          <w:rFonts w:cstheme="minorHAnsi"/>
          <w:sz w:val="22"/>
          <w:szCs w:val="18"/>
          <w:lang w:val="es-ES"/>
        </w:rPr>
        <w:tab/>
      </w:r>
      <w:r w:rsidR="000A4282" w:rsidRPr="00276BA9">
        <w:rPr>
          <w:rFonts w:cstheme="minorHAnsi"/>
          <w:sz w:val="22"/>
          <w:szCs w:val="18"/>
          <w:lang w:val="es-ES"/>
        </w:rPr>
        <w:t>investigar el papel cada vez más importante de la transformación digital a la hora de impulsar la innovación, el crecimiento sostenible y la inclusión;</w:t>
      </w:r>
    </w:p>
    <w:p w14:paraId="25A0E1D1" w14:textId="141E7D9B" w:rsidR="000A4282" w:rsidRPr="00276BA9" w:rsidRDefault="00BE7730" w:rsidP="00BE7730">
      <w:pPr>
        <w:pStyle w:val="enumlev1"/>
        <w:rPr>
          <w:rFonts w:cstheme="minorHAnsi"/>
          <w:sz w:val="22"/>
          <w:szCs w:val="18"/>
          <w:lang w:val="es-ES"/>
        </w:rPr>
      </w:pPr>
      <w:r w:rsidRPr="00276BA9">
        <w:rPr>
          <w:rFonts w:cstheme="minorHAnsi"/>
          <w:sz w:val="22"/>
          <w:szCs w:val="18"/>
          <w:lang w:val="es-ES"/>
        </w:rPr>
        <w:t>–</w:t>
      </w:r>
      <w:r w:rsidRPr="00276BA9">
        <w:rPr>
          <w:rFonts w:cstheme="minorHAnsi"/>
          <w:sz w:val="22"/>
          <w:szCs w:val="18"/>
          <w:lang w:val="es-ES"/>
        </w:rPr>
        <w:tab/>
      </w:r>
      <w:r w:rsidR="000A4282" w:rsidRPr="00276BA9">
        <w:rPr>
          <w:rFonts w:cstheme="minorHAnsi"/>
          <w:sz w:val="22"/>
          <w:szCs w:val="18"/>
          <w:lang w:val="es-ES"/>
        </w:rPr>
        <w:t>promover la transformación digital de manera global en todos los sectores;</w:t>
      </w:r>
    </w:p>
    <w:p w14:paraId="2803E88B" w14:textId="25864B75" w:rsidR="000A4282" w:rsidRPr="00276BA9" w:rsidRDefault="00BE7730" w:rsidP="00BE7730">
      <w:pPr>
        <w:pStyle w:val="enumlev1"/>
        <w:rPr>
          <w:rFonts w:cstheme="minorHAnsi"/>
          <w:sz w:val="22"/>
          <w:szCs w:val="18"/>
          <w:lang w:val="es-ES"/>
        </w:rPr>
      </w:pPr>
      <w:r w:rsidRPr="00276BA9">
        <w:rPr>
          <w:rFonts w:cstheme="minorHAnsi"/>
          <w:sz w:val="22"/>
          <w:szCs w:val="18"/>
          <w:lang w:val="es-ES"/>
        </w:rPr>
        <w:t>–</w:t>
      </w:r>
      <w:r w:rsidRPr="00276BA9">
        <w:rPr>
          <w:rFonts w:cstheme="minorHAnsi"/>
          <w:sz w:val="22"/>
          <w:szCs w:val="18"/>
          <w:lang w:val="es-ES"/>
        </w:rPr>
        <w:tab/>
      </w:r>
      <w:r w:rsidR="000A4282" w:rsidRPr="00276BA9">
        <w:rPr>
          <w:rFonts w:cstheme="minorHAnsi"/>
          <w:sz w:val="22"/>
          <w:szCs w:val="18"/>
          <w:lang w:val="es-ES"/>
        </w:rPr>
        <w:t>debatir el papel de las normas para acelerar la transformación digital.</w:t>
      </w:r>
    </w:p>
    <w:p w14:paraId="38FCD944" w14:textId="77777777" w:rsidR="000A4282" w:rsidRPr="00276BA9" w:rsidRDefault="000A4282" w:rsidP="000A4282">
      <w:pPr>
        <w:rPr>
          <w:rFonts w:cstheme="minorHAnsi"/>
          <w:sz w:val="22"/>
          <w:szCs w:val="18"/>
          <w:lang w:val="es-ES"/>
        </w:rPr>
      </w:pPr>
      <w:r w:rsidRPr="00276BA9">
        <w:rPr>
          <w:rFonts w:cstheme="minorHAnsi"/>
          <w:sz w:val="22"/>
          <w:szCs w:val="18"/>
          <w:lang w:val="es-ES"/>
        </w:rPr>
        <w:t>3</w:t>
      </w:r>
      <w:r w:rsidRPr="00276BA9">
        <w:rPr>
          <w:rFonts w:cstheme="minorHAnsi"/>
          <w:sz w:val="22"/>
          <w:szCs w:val="18"/>
          <w:lang w:val="es-ES"/>
        </w:rPr>
        <w:tab/>
        <w:t>Los seminarios web permitirán intercambiar las enseñanzas extraídas de las distintas partes interesadas y servirán de plataforma para presentar las normas, directrices y publicaciones de la UIT. Está previsto celebrar los siguientes seminarios:</w:t>
      </w:r>
    </w:p>
    <w:p w14:paraId="5727C517" w14:textId="7DD86F0E" w:rsidR="000A4282" w:rsidRPr="00276BA9" w:rsidRDefault="00BE7730" w:rsidP="00BE7730">
      <w:pPr>
        <w:pStyle w:val="enumlev1"/>
        <w:rPr>
          <w:rFonts w:cstheme="minorHAnsi"/>
          <w:sz w:val="22"/>
          <w:szCs w:val="18"/>
          <w:lang w:val="es-ES"/>
        </w:rPr>
      </w:pPr>
      <w:r w:rsidRPr="00276BA9">
        <w:rPr>
          <w:rFonts w:cstheme="minorHAnsi"/>
          <w:sz w:val="22"/>
          <w:szCs w:val="18"/>
          <w:lang w:val="es-ES"/>
        </w:rPr>
        <w:t>a)</w:t>
      </w:r>
      <w:r w:rsidRPr="00276BA9">
        <w:rPr>
          <w:rFonts w:cstheme="minorHAnsi"/>
          <w:sz w:val="22"/>
          <w:szCs w:val="18"/>
          <w:lang w:val="es-ES"/>
        </w:rPr>
        <w:tab/>
      </w:r>
      <w:r w:rsidR="000A4282" w:rsidRPr="00276BA9">
        <w:rPr>
          <w:rFonts w:cstheme="minorHAnsi"/>
          <w:sz w:val="22"/>
          <w:szCs w:val="18"/>
          <w:lang w:val="es-ES"/>
        </w:rPr>
        <w:t xml:space="preserve">Está previsto que el episodio sobre </w:t>
      </w:r>
      <w:r w:rsidR="000A4282" w:rsidRPr="00276BA9">
        <w:rPr>
          <w:rFonts w:cstheme="minorHAnsi"/>
          <w:b/>
          <w:bCs/>
          <w:sz w:val="22"/>
          <w:szCs w:val="18"/>
          <w:lang w:val="es-ES"/>
        </w:rPr>
        <w:t>Transformación digital de la movilidad: abrir camino a la seguridad vial</w:t>
      </w:r>
      <w:r w:rsidR="000A4282" w:rsidRPr="00276BA9">
        <w:rPr>
          <w:rFonts w:cstheme="minorHAnsi"/>
          <w:sz w:val="22"/>
          <w:szCs w:val="18"/>
          <w:lang w:val="es-ES"/>
        </w:rPr>
        <w:t xml:space="preserve"> se celebre el 14 de junio de 2023. Se examinará la aplicación existente de tecnologías modernas como la inteligencia artificial (IA), la Internet de las cosas (IoT), los gemelos digitales para fomentar diferentes niveles de conducción autónoma de la Sociedad de Ingenieros Automotrices (SAE) y, con ello, propiciar un cambio transformador en el ámbito de la movilidad inteligente.</w:t>
      </w:r>
      <w:bookmarkStart w:id="4" w:name="_Hlk77322389"/>
      <w:bookmarkEnd w:id="4"/>
    </w:p>
    <w:p w14:paraId="2BC0F6D2" w14:textId="34F8E37E" w:rsidR="000A4282" w:rsidRPr="00276BA9" w:rsidRDefault="00BE7730" w:rsidP="00BE7730">
      <w:pPr>
        <w:pStyle w:val="enumlev1"/>
        <w:rPr>
          <w:rFonts w:cstheme="minorHAnsi"/>
          <w:sz w:val="22"/>
          <w:szCs w:val="18"/>
          <w:lang w:val="es-ES"/>
        </w:rPr>
      </w:pPr>
      <w:r w:rsidRPr="00276BA9">
        <w:rPr>
          <w:rFonts w:cstheme="minorHAnsi"/>
          <w:sz w:val="22"/>
          <w:szCs w:val="18"/>
          <w:lang w:val="es-ES"/>
        </w:rPr>
        <w:t>b)</w:t>
      </w:r>
      <w:r w:rsidRPr="00276BA9">
        <w:rPr>
          <w:rFonts w:cstheme="minorHAnsi"/>
          <w:sz w:val="22"/>
          <w:szCs w:val="18"/>
          <w:lang w:val="es-ES"/>
        </w:rPr>
        <w:tab/>
      </w:r>
      <w:r w:rsidR="000A4282" w:rsidRPr="00276BA9">
        <w:rPr>
          <w:rFonts w:cstheme="minorHAnsi"/>
          <w:sz w:val="22"/>
          <w:szCs w:val="18"/>
          <w:lang w:val="es-ES"/>
        </w:rPr>
        <w:t xml:space="preserve">Está previsto que el episodio sobre </w:t>
      </w:r>
      <w:r w:rsidR="000A4282" w:rsidRPr="00276BA9">
        <w:rPr>
          <w:rFonts w:cstheme="minorHAnsi"/>
          <w:b/>
          <w:bCs/>
          <w:sz w:val="22"/>
          <w:szCs w:val="18"/>
          <w:lang w:val="es-ES"/>
        </w:rPr>
        <w:t>Transformación digital de las pruebas: bancos de pruebas federados como servicio</w:t>
      </w:r>
      <w:r w:rsidR="000A4282" w:rsidRPr="00276BA9">
        <w:rPr>
          <w:rFonts w:cstheme="minorHAnsi"/>
          <w:sz w:val="22"/>
          <w:szCs w:val="18"/>
          <w:lang w:val="es-ES"/>
        </w:rPr>
        <w:t xml:space="preserve">, se celebre el 21 de junio de 2023. Responderá a una pregunta fundamental sobre si las actividades de prueba pueden migrar a entornos virtuales y si las pruebas </w:t>
      </w:r>
      <w:r w:rsidR="000A4282" w:rsidRPr="00276BA9">
        <w:rPr>
          <w:rFonts w:cstheme="minorHAnsi"/>
          <w:sz w:val="22"/>
          <w:szCs w:val="18"/>
          <w:lang w:val="es-ES"/>
        </w:rPr>
        <w:lastRenderedPageBreak/>
        <w:t xml:space="preserve">como servicio basadas en bancos de pruebas federados pueden facilitar un tiempo de comercialización más rápido para los productos y servicios. También examinará el ecosistema actualizado de los bancos de pruebas, incluidos los casos de utilización existentes y aclarará cómo el marco de bancos de pruebas federados definido en la Recomendación </w:t>
      </w:r>
      <w:hyperlink r:id="rId11" w:history="1">
        <w:r w:rsidR="000A4282" w:rsidRPr="00276BA9">
          <w:rPr>
            <w:rStyle w:val="Hyperlink"/>
            <w:rFonts w:cstheme="minorHAnsi"/>
            <w:sz w:val="22"/>
            <w:szCs w:val="18"/>
            <w:lang w:val="es-ES"/>
          </w:rPr>
          <w:t>UIT-T Q.4068</w:t>
        </w:r>
      </w:hyperlink>
      <w:r w:rsidR="000A4282" w:rsidRPr="00276BA9">
        <w:rPr>
          <w:rFonts w:cstheme="minorHAnsi"/>
          <w:sz w:val="22"/>
          <w:szCs w:val="18"/>
          <w:lang w:val="es-ES"/>
        </w:rPr>
        <w:t xml:space="preserve"> podría ayudar a afrontar este reto.</w:t>
      </w:r>
    </w:p>
    <w:p w14:paraId="24C9AC9C" w14:textId="7A383A0B" w:rsidR="000A4282" w:rsidRPr="00276BA9" w:rsidRDefault="00BE7730" w:rsidP="00BE7730">
      <w:pPr>
        <w:pStyle w:val="enumlev1"/>
        <w:rPr>
          <w:rFonts w:cstheme="minorHAnsi"/>
          <w:sz w:val="22"/>
          <w:szCs w:val="18"/>
          <w:lang w:val="es-ES"/>
        </w:rPr>
      </w:pPr>
      <w:r w:rsidRPr="00276BA9">
        <w:rPr>
          <w:rFonts w:cstheme="minorHAnsi"/>
          <w:sz w:val="22"/>
          <w:szCs w:val="18"/>
          <w:lang w:val="es-ES"/>
        </w:rPr>
        <w:t>c)</w:t>
      </w:r>
      <w:r w:rsidRPr="00276BA9">
        <w:rPr>
          <w:rFonts w:cstheme="minorHAnsi"/>
          <w:sz w:val="22"/>
          <w:szCs w:val="18"/>
          <w:lang w:val="es-ES"/>
        </w:rPr>
        <w:tab/>
      </w:r>
      <w:r w:rsidR="000A4282" w:rsidRPr="00276BA9">
        <w:rPr>
          <w:rFonts w:cstheme="minorHAnsi"/>
          <w:sz w:val="22"/>
          <w:szCs w:val="18"/>
          <w:lang w:val="es-ES"/>
        </w:rPr>
        <w:t xml:space="preserve">Está previsto que el episodio sobre </w:t>
      </w:r>
      <w:r w:rsidR="000A4282" w:rsidRPr="00276BA9">
        <w:rPr>
          <w:rFonts w:cstheme="minorHAnsi"/>
          <w:b/>
          <w:bCs/>
          <w:sz w:val="22"/>
          <w:szCs w:val="18"/>
          <w:lang w:val="es-ES"/>
        </w:rPr>
        <w:t>Utilización ética de la tecnología para los animales: transformación digital justa en la ganadería y conservación de la biodiversidad</w:t>
      </w:r>
      <w:r w:rsidR="000A4282" w:rsidRPr="00276BA9">
        <w:rPr>
          <w:rFonts w:cstheme="minorHAnsi"/>
          <w:sz w:val="22"/>
          <w:szCs w:val="18"/>
          <w:lang w:val="es-ES"/>
        </w:rPr>
        <w:t>, tenga lugar el 26 de julio de 2023. Este episodio tratará de responder cómo se lleva a cabo nuestra acción en la era digital para los animales no humanos. ¿Cómo podemos asegurar el uso ético de las tecnologías emergentes como la IA, la IoT, los gemelos digitales en la agricultura y la conservación de la biodiversidad?</w:t>
      </w:r>
    </w:p>
    <w:p w14:paraId="67EF99BC" w14:textId="0D901BB9" w:rsidR="000A4282" w:rsidRPr="00276BA9" w:rsidRDefault="00BE7730" w:rsidP="00BE7730">
      <w:pPr>
        <w:pStyle w:val="enumlev1"/>
        <w:rPr>
          <w:rFonts w:cstheme="minorHAnsi"/>
          <w:sz w:val="22"/>
          <w:szCs w:val="18"/>
          <w:lang w:val="es-ES"/>
        </w:rPr>
      </w:pPr>
      <w:r w:rsidRPr="00276BA9">
        <w:rPr>
          <w:rFonts w:cstheme="minorHAnsi"/>
          <w:sz w:val="22"/>
          <w:szCs w:val="18"/>
          <w:lang w:val="es-ES"/>
        </w:rPr>
        <w:t>d)</w:t>
      </w:r>
      <w:r w:rsidRPr="00276BA9">
        <w:rPr>
          <w:rFonts w:cstheme="minorHAnsi"/>
          <w:sz w:val="22"/>
          <w:szCs w:val="18"/>
          <w:lang w:val="es-ES"/>
        </w:rPr>
        <w:tab/>
      </w:r>
      <w:r w:rsidR="00860BD8" w:rsidRPr="00276BA9">
        <w:rPr>
          <w:rFonts w:cstheme="minorHAnsi"/>
          <w:sz w:val="22"/>
          <w:szCs w:val="18"/>
          <w:lang w:val="es-ES"/>
        </w:rPr>
        <w:t>El</w:t>
      </w:r>
      <w:r w:rsidR="000A4282" w:rsidRPr="00276BA9">
        <w:rPr>
          <w:rFonts w:cstheme="minorHAnsi"/>
          <w:sz w:val="22"/>
          <w:szCs w:val="18"/>
          <w:lang w:val="es-ES"/>
        </w:rPr>
        <w:t xml:space="preserve"> episodio del </w:t>
      </w:r>
      <w:r w:rsidR="000A4282" w:rsidRPr="00276BA9">
        <w:rPr>
          <w:rFonts w:cstheme="minorHAnsi"/>
          <w:b/>
          <w:bCs/>
          <w:sz w:val="22"/>
          <w:szCs w:val="18"/>
          <w:lang w:val="es-ES"/>
        </w:rPr>
        <w:t xml:space="preserve">Decenio de envejecimiento saludable: el papel de las tecnologías </w:t>
      </w:r>
      <w:r w:rsidR="00BF3EE9" w:rsidRPr="00276BA9">
        <w:rPr>
          <w:rFonts w:cstheme="minorHAnsi"/>
          <w:b/>
          <w:bCs/>
          <w:sz w:val="22"/>
          <w:szCs w:val="18"/>
          <w:lang w:val="es-ES"/>
        </w:rPr>
        <w:t>digitales</w:t>
      </w:r>
      <w:r w:rsidR="000A4282" w:rsidRPr="00276BA9">
        <w:rPr>
          <w:rFonts w:cstheme="minorHAnsi"/>
          <w:sz w:val="22"/>
          <w:szCs w:val="18"/>
          <w:lang w:val="es-ES"/>
        </w:rPr>
        <w:t xml:space="preserve"> ten</w:t>
      </w:r>
      <w:r w:rsidR="00860BD8" w:rsidRPr="00276BA9">
        <w:rPr>
          <w:rFonts w:cstheme="minorHAnsi"/>
          <w:sz w:val="22"/>
          <w:szCs w:val="18"/>
          <w:lang w:val="es-ES"/>
        </w:rPr>
        <w:t>drá</w:t>
      </w:r>
      <w:r w:rsidR="000A4282" w:rsidRPr="00276BA9">
        <w:rPr>
          <w:rFonts w:cstheme="minorHAnsi"/>
          <w:sz w:val="22"/>
          <w:szCs w:val="18"/>
          <w:lang w:val="es-ES"/>
        </w:rPr>
        <w:t xml:space="preserve"> lugar el 22 de agosto de 2023. El próximo decenio ofrece una oportunidad única para aprovechar las tecnologías digitales a fin de promover un envejecimiento saludable. En este seminario web analizaremos el papel de las tecnologías digitales en la promoción del envejecimiento saludable y entablar</w:t>
      </w:r>
      <w:r w:rsidR="00BF3EE9" w:rsidRPr="00276BA9">
        <w:rPr>
          <w:rFonts w:cstheme="minorHAnsi"/>
          <w:sz w:val="22"/>
          <w:szCs w:val="18"/>
          <w:lang w:val="es-ES"/>
        </w:rPr>
        <w:t>emos</w:t>
      </w:r>
      <w:r w:rsidR="000A4282" w:rsidRPr="00276BA9">
        <w:rPr>
          <w:rFonts w:cstheme="minorHAnsi"/>
          <w:sz w:val="22"/>
          <w:szCs w:val="18"/>
          <w:lang w:val="es-ES"/>
        </w:rPr>
        <w:t xml:space="preserve"> debates sobre cómo estas tecnologías pueden facilitar estrategias de tratamiento y prevención y ayudar a las personas a vivir durante más tiempo una vida mejor.</w:t>
      </w:r>
    </w:p>
    <w:p w14:paraId="6DE9C2EC" w14:textId="1C1C55F6" w:rsidR="000A4282" w:rsidRPr="00276BA9" w:rsidRDefault="00BE7730" w:rsidP="00BE7730">
      <w:pPr>
        <w:pStyle w:val="enumlev1"/>
        <w:rPr>
          <w:rFonts w:cstheme="minorHAnsi"/>
          <w:sz w:val="22"/>
          <w:szCs w:val="18"/>
          <w:lang w:val="es-ES"/>
        </w:rPr>
      </w:pPr>
      <w:r w:rsidRPr="00276BA9">
        <w:rPr>
          <w:rFonts w:cstheme="minorHAnsi"/>
          <w:sz w:val="22"/>
          <w:szCs w:val="18"/>
          <w:lang w:val="es-ES"/>
        </w:rPr>
        <w:t>e)</w:t>
      </w:r>
      <w:r w:rsidRPr="00276BA9">
        <w:rPr>
          <w:rFonts w:cstheme="minorHAnsi"/>
          <w:sz w:val="22"/>
          <w:szCs w:val="18"/>
          <w:lang w:val="es-ES"/>
        </w:rPr>
        <w:tab/>
      </w:r>
      <w:r w:rsidR="000A4282" w:rsidRPr="00276BA9">
        <w:rPr>
          <w:rFonts w:cstheme="minorHAnsi"/>
          <w:sz w:val="22"/>
          <w:szCs w:val="18"/>
          <w:lang w:val="es-ES"/>
        </w:rPr>
        <w:t xml:space="preserve">Está previsto que el 4 de septiembre de 2023 se celebre el episodio sobre </w:t>
      </w:r>
      <w:r w:rsidR="000A4282" w:rsidRPr="00276BA9">
        <w:rPr>
          <w:rFonts w:cstheme="minorHAnsi"/>
          <w:b/>
          <w:bCs/>
          <w:sz w:val="22"/>
          <w:szCs w:val="18"/>
          <w:lang w:val="es-ES"/>
        </w:rPr>
        <w:t>ChatGPT: riesgos y recompensas de la IA generativa en las ciudades</w:t>
      </w:r>
      <w:r w:rsidR="000A4282" w:rsidRPr="00276BA9">
        <w:rPr>
          <w:rFonts w:cstheme="minorHAnsi"/>
          <w:sz w:val="22"/>
          <w:szCs w:val="18"/>
          <w:lang w:val="es-ES"/>
        </w:rPr>
        <w:t>. Este episodio estudiará la creciente aplicación de la IA generativa en las ciudades y profundizará en cómo equilibrar las cuestiones éticas y de transparencia que giran en torno a esta tecnología en todos los sectores, incluida la sanidad y la educación.</w:t>
      </w:r>
    </w:p>
    <w:p w14:paraId="3BE7BAB7" w14:textId="3519E9C8" w:rsidR="000A4282" w:rsidRPr="00276BA9" w:rsidRDefault="00BE7730" w:rsidP="00BE7730">
      <w:pPr>
        <w:pStyle w:val="enumlev1"/>
        <w:rPr>
          <w:rFonts w:cstheme="minorHAnsi"/>
          <w:sz w:val="22"/>
          <w:szCs w:val="18"/>
          <w:lang w:val="es-ES"/>
        </w:rPr>
      </w:pPr>
      <w:r w:rsidRPr="00276BA9">
        <w:rPr>
          <w:rFonts w:cstheme="minorHAnsi"/>
          <w:sz w:val="22"/>
          <w:szCs w:val="18"/>
          <w:lang w:val="es-ES"/>
        </w:rPr>
        <w:t>f)</w:t>
      </w:r>
      <w:r w:rsidRPr="00276BA9">
        <w:rPr>
          <w:rFonts w:cstheme="minorHAnsi"/>
          <w:sz w:val="22"/>
          <w:szCs w:val="18"/>
          <w:lang w:val="es-ES"/>
        </w:rPr>
        <w:tab/>
      </w:r>
      <w:r w:rsidR="000A4282" w:rsidRPr="00276BA9">
        <w:rPr>
          <w:rFonts w:cstheme="minorHAnsi"/>
          <w:sz w:val="22"/>
          <w:szCs w:val="18"/>
          <w:lang w:val="es-ES"/>
        </w:rPr>
        <w:t xml:space="preserve">Se prevé que el episodio sobre </w:t>
      </w:r>
      <w:r w:rsidR="000A4282" w:rsidRPr="00276BA9">
        <w:rPr>
          <w:rFonts w:cstheme="minorHAnsi"/>
          <w:b/>
          <w:bCs/>
          <w:sz w:val="22"/>
          <w:szCs w:val="18"/>
          <w:lang w:val="es-ES"/>
        </w:rPr>
        <w:t>Turismo digital: reducir la brecha entre comunidades y destinos</w:t>
      </w:r>
      <w:r w:rsidR="000A4282" w:rsidRPr="00276BA9">
        <w:rPr>
          <w:rFonts w:cstheme="minorHAnsi"/>
          <w:sz w:val="22"/>
          <w:szCs w:val="18"/>
          <w:lang w:val="es-ES"/>
        </w:rPr>
        <w:t xml:space="preserve"> se celebre el 27 de septiembre de 2023. Este episodio explorará el impacto de las tecnologías incipientes en el turismo de las ciudades, al tiempo que subrayará las estrategias fundamentales necesarias para que las ciudades utilicen tecnologías digitales a fin de mejorar la calidad de los servicios para los turistas y reducir el tiempo de funcionamiento y el costo de los servicios relacionados con el turismo.</w:t>
      </w:r>
    </w:p>
    <w:p w14:paraId="43F2D65F" w14:textId="5D07911B" w:rsidR="000A4282" w:rsidRPr="00276BA9" w:rsidRDefault="00BE7730" w:rsidP="00BE7730">
      <w:pPr>
        <w:pStyle w:val="enumlev1"/>
        <w:rPr>
          <w:rFonts w:cstheme="minorHAnsi"/>
          <w:sz w:val="22"/>
          <w:szCs w:val="18"/>
          <w:lang w:val="es-ES"/>
        </w:rPr>
      </w:pPr>
      <w:r w:rsidRPr="00276BA9">
        <w:rPr>
          <w:rFonts w:cstheme="minorHAnsi"/>
          <w:sz w:val="22"/>
          <w:szCs w:val="18"/>
          <w:lang w:val="es-ES"/>
        </w:rPr>
        <w:t>g)</w:t>
      </w:r>
      <w:r w:rsidRPr="00276BA9">
        <w:rPr>
          <w:rFonts w:cstheme="minorHAnsi"/>
          <w:sz w:val="22"/>
          <w:szCs w:val="18"/>
          <w:lang w:val="es-ES"/>
        </w:rPr>
        <w:tab/>
      </w:r>
      <w:r w:rsidR="000A4282" w:rsidRPr="00276BA9">
        <w:rPr>
          <w:rFonts w:cstheme="minorHAnsi"/>
          <w:sz w:val="22"/>
          <w:szCs w:val="18"/>
          <w:lang w:val="es-ES"/>
        </w:rPr>
        <w:t xml:space="preserve">Se prevé que el 2 de octubre de 2023 se celebre el episodio </w:t>
      </w:r>
      <w:r w:rsidR="000A4282" w:rsidRPr="00276BA9">
        <w:rPr>
          <w:rFonts w:cstheme="minorHAnsi"/>
          <w:b/>
          <w:bCs/>
          <w:sz w:val="22"/>
          <w:szCs w:val="18"/>
          <w:lang w:val="es-ES"/>
        </w:rPr>
        <w:t>"Modelar" el metaverso para acelerar la transformación digital: tendencias obsoletas</w:t>
      </w:r>
      <w:r w:rsidR="000A4282" w:rsidRPr="00276BA9">
        <w:rPr>
          <w:rFonts w:cstheme="minorHAnsi"/>
          <w:sz w:val="22"/>
          <w:szCs w:val="18"/>
          <w:lang w:val="es-ES"/>
        </w:rPr>
        <w:t>. Este episodio proporcionará información sobre cómo la industria de la moda está adoptando el metaverso para mejorar los procesos comerciales y minoristas y las experiencias de los clientes a lo largo de sus cadenas de valor.</w:t>
      </w:r>
    </w:p>
    <w:p w14:paraId="5616D6D3" w14:textId="19A367A6" w:rsidR="000A4282" w:rsidRPr="00276BA9" w:rsidRDefault="00BE7730" w:rsidP="00BE7730">
      <w:pPr>
        <w:pStyle w:val="enumlev1"/>
        <w:rPr>
          <w:rFonts w:cstheme="minorHAnsi"/>
          <w:sz w:val="22"/>
          <w:szCs w:val="18"/>
          <w:lang w:val="es-ES"/>
        </w:rPr>
      </w:pPr>
      <w:r w:rsidRPr="00276BA9">
        <w:rPr>
          <w:rFonts w:cstheme="minorHAnsi"/>
          <w:sz w:val="22"/>
          <w:szCs w:val="18"/>
          <w:lang w:val="es-ES"/>
        </w:rPr>
        <w:t>h)</w:t>
      </w:r>
      <w:r w:rsidRPr="00276BA9">
        <w:rPr>
          <w:rFonts w:cstheme="minorHAnsi"/>
          <w:sz w:val="22"/>
          <w:szCs w:val="18"/>
          <w:lang w:val="es-ES"/>
        </w:rPr>
        <w:tab/>
      </w:r>
      <w:r w:rsidR="000A4282" w:rsidRPr="00276BA9">
        <w:rPr>
          <w:rFonts w:cstheme="minorHAnsi"/>
          <w:sz w:val="22"/>
          <w:szCs w:val="18"/>
          <w:lang w:val="es-ES"/>
        </w:rPr>
        <w:t xml:space="preserve">Está previsto que el episodio sobre </w:t>
      </w:r>
      <w:r w:rsidR="000A4282" w:rsidRPr="00276BA9">
        <w:rPr>
          <w:rFonts w:cstheme="minorHAnsi"/>
          <w:b/>
          <w:bCs/>
          <w:sz w:val="22"/>
          <w:szCs w:val="18"/>
          <w:lang w:val="es-ES"/>
        </w:rPr>
        <w:t>Reducción del riesgo de catástrofe en la era de la transformación digital</w:t>
      </w:r>
      <w:r w:rsidR="000A4282" w:rsidRPr="00276BA9">
        <w:rPr>
          <w:rFonts w:cstheme="minorHAnsi"/>
          <w:sz w:val="22"/>
          <w:szCs w:val="18"/>
          <w:lang w:val="es-ES"/>
        </w:rPr>
        <w:t xml:space="preserve"> tenga lugar el 13 de octubre de 2023. Este episodio fomentará la toma de decisiones con base empírica para las estrategias de reducción del riesgo de catástrofes mediante la adopción de tecnologías tales como la IA, la IoT, los gemelos digital</w:t>
      </w:r>
      <w:r w:rsidR="003875E5" w:rsidRPr="00276BA9">
        <w:rPr>
          <w:rFonts w:cstheme="minorHAnsi"/>
          <w:sz w:val="22"/>
          <w:szCs w:val="18"/>
          <w:lang w:val="es-ES"/>
        </w:rPr>
        <w:t>es</w:t>
      </w:r>
      <w:r w:rsidR="000A4282" w:rsidRPr="00276BA9">
        <w:rPr>
          <w:rFonts w:cstheme="minorHAnsi"/>
          <w:sz w:val="22"/>
          <w:szCs w:val="18"/>
          <w:lang w:val="es-ES"/>
        </w:rPr>
        <w:t xml:space="preserve"> e incluso el metaverso.</w:t>
      </w:r>
    </w:p>
    <w:p w14:paraId="453C2E19" w14:textId="7152B60E" w:rsidR="000A4282" w:rsidRPr="00276BA9" w:rsidRDefault="00BE7730" w:rsidP="00BE7730">
      <w:pPr>
        <w:pStyle w:val="enumlev1"/>
        <w:keepNext/>
        <w:keepLines/>
        <w:rPr>
          <w:rFonts w:cstheme="minorHAnsi"/>
          <w:sz w:val="22"/>
          <w:szCs w:val="18"/>
          <w:lang w:val="es-ES"/>
        </w:rPr>
      </w:pPr>
      <w:r w:rsidRPr="00276BA9">
        <w:rPr>
          <w:rFonts w:cstheme="minorHAnsi"/>
          <w:sz w:val="22"/>
          <w:szCs w:val="18"/>
          <w:lang w:val="es-ES"/>
        </w:rPr>
        <w:t>i)</w:t>
      </w:r>
      <w:r w:rsidRPr="00276BA9">
        <w:rPr>
          <w:rFonts w:cstheme="minorHAnsi"/>
          <w:sz w:val="22"/>
          <w:szCs w:val="18"/>
          <w:lang w:val="es-ES"/>
        </w:rPr>
        <w:tab/>
      </w:r>
      <w:r w:rsidR="000A4282" w:rsidRPr="00276BA9">
        <w:rPr>
          <w:rFonts w:cstheme="minorHAnsi"/>
          <w:sz w:val="22"/>
          <w:szCs w:val="18"/>
          <w:lang w:val="es-ES"/>
        </w:rPr>
        <w:t xml:space="preserve">El episodio del </w:t>
      </w:r>
      <w:r w:rsidR="000A4282" w:rsidRPr="00276BA9">
        <w:rPr>
          <w:rFonts w:cstheme="minorHAnsi"/>
          <w:b/>
          <w:bCs/>
          <w:sz w:val="22"/>
          <w:szCs w:val="18"/>
          <w:lang w:val="es-ES"/>
        </w:rPr>
        <w:t>Día Mundial de las Ciudades: transformación digital para una vida urbana mejor</w:t>
      </w:r>
      <w:r w:rsidR="000A4282" w:rsidRPr="00276BA9">
        <w:rPr>
          <w:rFonts w:cstheme="minorHAnsi"/>
          <w:sz w:val="22"/>
          <w:szCs w:val="18"/>
          <w:lang w:val="es-ES"/>
        </w:rPr>
        <w:t xml:space="preserve"> ten</w:t>
      </w:r>
      <w:r w:rsidR="00860BD8" w:rsidRPr="00276BA9">
        <w:rPr>
          <w:rFonts w:cstheme="minorHAnsi"/>
          <w:sz w:val="22"/>
          <w:szCs w:val="18"/>
          <w:lang w:val="es-ES"/>
        </w:rPr>
        <w:t>drá</w:t>
      </w:r>
      <w:r w:rsidR="000A4282" w:rsidRPr="00276BA9">
        <w:rPr>
          <w:rFonts w:cstheme="minorHAnsi"/>
          <w:sz w:val="22"/>
          <w:szCs w:val="18"/>
          <w:lang w:val="es-ES"/>
        </w:rPr>
        <w:t xml:space="preserve"> lugar el 31 de octubre de 2023. Este episodio explorará cómo la transformación digital puede ayudar a mejorar la adaptabilidad y escalabilidad de las ciudades para facilitar la entrega de</w:t>
      </w:r>
      <w:r w:rsidRPr="00276BA9">
        <w:rPr>
          <w:rFonts w:cstheme="minorHAnsi"/>
          <w:sz w:val="22"/>
          <w:szCs w:val="18"/>
          <w:lang w:val="es-ES"/>
        </w:rPr>
        <w:t xml:space="preserve"> </w:t>
      </w:r>
      <w:r w:rsidR="000A4282" w:rsidRPr="00276BA9">
        <w:rPr>
          <w:rFonts w:cstheme="minorHAnsi"/>
          <w:sz w:val="22"/>
          <w:szCs w:val="18"/>
          <w:lang w:val="es-ES"/>
        </w:rPr>
        <w:t>servicios aumentando la eficiencia de las operaciones.</w:t>
      </w:r>
    </w:p>
    <w:p w14:paraId="30C15FEE" w14:textId="31724EA5" w:rsidR="000A4282" w:rsidRPr="00276BA9" w:rsidRDefault="00BE7730" w:rsidP="00BE7730">
      <w:pPr>
        <w:pStyle w:val="enumlev1"/>
        <w:rPr>
          <w:rFonts w:cstheme="minorHAnsi"/>
          <w:sz w:val="22"/>
          <w:szCs w:val="18"/>
          <w:lang w:val="es-ES"/>
        </w:rPr>
      </w:pPr>
      <w:r w:rsidRPr="00276BA9">
        <w:rPr>
          <w:rFonts w:cstheme="minorHAnsi"/>
          <w:sz w:val="22"/>
          <w:szCs w:val="18"/>
          <w:lang w:val="es-ES"/>
        </w:rPr>
        <w:t>j)</w:t>
      </w:r>
      <w:r w:rsidRPr="00276BA9">
        <w:rPr>
          <w:rFonts w:cstheme="minorHAnsi"/>
          <w:sz w:val="22"/>
          <w:szCs w:val="18"/>
          <w:lang w:val="es-ES"/>
        </w:rPr>
        <w:tab/>
      </w:r>
      <w:r w:rsidR="000A4282" w:rsidRPr="00276BA9">
        <w:rPr>
          <w:rFonts w:cstheme="minorHAnsi"/>
          <w:sz w:val="22"/>
          <w:szCs w:val="18"/>
          <w:lang w:val="es-ES"/>
        </w:rPr>
        <w:t xml:space="preserve">Está previsto que el episodio sobre </w:t>
      </w:r>
      <w:r w:rsidR="000A4282" w:rsidRPr="00276BA9">
        <w:rPr>
          <w:rFonts w:cstheme="minorHAnsi"/>
          <w:b/>
          <w:bCs/>
          <w:sz w:val="22"/>
          <w:szCs w:val="18"/>
          <w:lang w:val="es-ES"/>
        </w:rPr>
        <w:t>Transformación digital de la industria farmacéutica</w:t>
      </w:r>
      <w:r w:rsidR="000A4282" w:rsidRPr="00276BA9">
        <w:rPr>
          <w:rFonts w:cstheme="minorHAnsi"/>
          <w:sz w:val="22"/>
          <w:szCs w:val="18"/>
          <w:lang w:val="es-ES"/>
        </w:rPr>
        <w:t xml:space="preserve"> se celebre el 14 de noviembre de 2023. Este episodio explorará el cambio de paradigma experimentado por la industria farmacéutica después de la COVID-19, cuando el mundo ha pasado de las operaciones tradicionales de la cadena de valor farmacéutica a la transformación digital para satisfacer sus necesidades médicas.</w:t>
      </w:r>
    </w:p>
    <w:p w14:paraId="058A080E" w14:textId="4B29A261" w:rsidR="000A4282" w:rsidRPr="00276BA9" w:rsidRDefault="00BE7730" w:rsidP="00BE7730">
      <w:pPr>
        <w:pStyle w:val="enumlev1"/>
        <w:rPr>
          <w:rFonts w:cstheme="minorHAnsi"/>
          <w:sz w:val="22"/>
          <w:szCs w:val="18"/>
          <w:lang w:val="es-ES"/>
        </w:rPr>
      </w:pPr>
      <w:r w:rsidRPr="00276BA9">
        <w:rPr>
          <w:rFonts w:cstheme="minorHAnsi"/>
          <w:sz w:val="22"/>
          <w:szCs w:val="18"/>
          <w:lang w:val="es-ES"/>
        </w:rPr>
        <w:t>k)</w:t>
      </w:r>
      <w:r w:rsidRPr="00276BA9">
        <w:rPr>
          <w:rFonts w:cstheme="minorHAnsi"/>
          <w:sz w:val="22"/>
          <w:szCs w:val="18"/>
          <w:lang w:val="es-ES"/>
        </w:rPr>
        <w:tab/>
      </w:r>
      <w:r w:rsidR="000A4282" w:rsidRPr="00276BA9">
        <w:rPr>
          <w:rFonts w:cstheme="minorHAnsi"/>
          <w:sz w:val="22"/>
          <w:szCs w:val="18"/>
          <w:lang w:val="es-ES"/>
        </w:rPr>
        <w:t xml:space="preserve">El episodio </w:t>
      </w:r>
      <w:r w:rsidR="000A4282" w:rsidRPr="00276BA9">
        <w:rPr>
          <w:rFonts w:cstheme="minorHAnsi"/>
          <w:b/>
          <w:bCs/>
          <w:sz w:val="22"/>
          <w:szCs w:val="18"/>
          <w:lang w:val="es-ES"/>
        </w:rPr>
        <w:t>Edificios en acción: intersección de la tecnología inteligente de transformación digital y la sostenibilidad en las ciudades</w:t>
      </w:r>
      <w:r w:rsidR="000A4282" w:rsidRPr="00276BA9">
        <w:rPr>
          <w:rFonts w:cstheme="minorHAnsi"/>
          <w:sz w:val="22"/>
          <w:szCs w:val="18"/>
          <w:lang w:val="es-ES"/>
        </w:rPr>
        <w:t xml:space="preserve"> está previsto para el 28 de noviembre de 2023. Este episodio presentará los recursos esenciales disponibles para apoyar la transformación digital sostenible en el sector de los edificios a fin de facilitar la eficiencia de los recursos aprovechando las tecnologías emergentes.</w:t>
      </w:r>
    </w:p>
    <w:p w14:paraId="1B63A55B" w14:textId="517A3B6B" w:rsidR="000A4282" w:rsidRPr="00276BA9" w:rsidRDefault="00BE7730" w:rsidP="00BE7730">
      <w:pPr>
        <w:pStyle w:val="enumlev1"/>
        <w:rPr>
          <w:rFonts w:cstheme="minorHAnsi"/>
          <w:sz w:val="22"/>
          <w:szCs w:val="18"/>
          <w:lang w:val="es-ES"/>
        </w:rPr>
      </w:pPr>
      <w:r w:rsidRPr="00276BA9">
        <w:rPr>
          <w:rFonts w:cstheme="minorHAnsi"/>
          <w:sz w:val="22"/>
          <w:szCs w:val="18"/>
          <w:lang w:val="es-ES"/>
        </w:rPr>
        <w:lastRenderedPageBreak/>
        <w:t>l)</w:t>
      </w:r>
      <w:r w:rsidRPr="00276BA9">
        <w:rPr>
          <w:rFonts w:cstheme="minorHAnsi"/>
          <w:sz w:val="22"/>
          <w:szCs w:val="18"/>
          <w:lang w:val="es-ES"/>
        </w:rPr>
        <w:tab/>
      </w:r>
      <w:r w:rsidR="000A4282" w:rsidRPr="00276BA9">
        <w:rPr>
          <w:rFonts w:cstheme="minorHAnsi"/>
          <w:sz w:val="22"/>
          <w:szCs w:val="18"/>
          <w:lang w:val="es-ES"/>
        </w:rPr>
        <w:t xml:space="preserve">El episodio sobre el </w:t>
      </w:r>
      <w:r w:rsidR="000A4282" w:rsidRPr="00276BA9">
        <w:rPr>
          <w:rFonts w:cstheme="minorHAnsi"/>
          <w:b/>
          <w:bCs/>
          <w:sz w:val="22"/>
          <w:szCs w:val="18"/>
          <w:lang w:val="es-ES"/>
        </w:rPr>
        <w:t>Aprovechamiento de la transformación digital para la fabricación inteligente</w:t>
      </w:r>
      <w:r w:rsidR="000A4282" w:rsidRPr="00276BA9">
        <w:rPr>
          <w:rFonts w:cstheme="minorHAnsi"/>
          <w:sz w:val="22"/>
          <w:szCs w:val="18"/>
          <w:lang w:val="es-ES"/>
        </w:rPr>
        <w:t xml:space="preserve"> tendrá lugar el 12 de diciembre de 2023. Este episodio profundizará en el complejo carácter de la transformación digital en el contexto de la fabricación, al tiempo que examinará las tendencias relacionadas con la demanda de los clientes y la competencia del mercado, a fin de comprender mejor las ventajas y los riesgos asociados al proceso.</w:t>
      </w:r>
    </w:p>
    <w:p w14:paraId="58CB443C" w14:textId="77777777" w:rsidR="000A4282" w:rsidRPr="00276BA9" w:rsidRDefault="000A4282" w:rsidP="000A4282">
      <w:pPr>
        <w:rPr>
          <w:rFonts w:cstheme="minorHAnsi"/>
          <w:sz w:val="22"/>
          <w:szCs w:val="18"/>
          <w:lang w:val="es-ES"/>
        </w:rPr>
      </w:pPr>
      <w:r w:rsidRPr="00276BA9">
        <w:rPr>
          <w:rFonts w:cstheme="minorHAnsi"/>
          <w:sz w:val="22"/>
          <w:szCs w:val="18"/>
          <w:lang w:val="es-ES"/>
        </w:rPr>
        <w:t>4</w:t>
      </w:r>
      <w:r w:rsidRPr="00276BA9">
        <w:rPr>
          <w:rFonts w:cstheme="minorHAnsi"/>
          <w:sz w:val="22"/>
          <w:szCs w:val="18"/>
          <w:lang w:val="es-ES"/>
        </w:rPr>
        <w:tab/>
        <w:t>La participación en los episodios está abierta a los Estados Miembros, Miembros de Sector, Asociados e Instituciones Académicas de la UIT, así como a cualquier persona de un país que sea Miembro de la UIT y desee contribuir a los trabajos. Esto incluye a las personas que también sean miembros de organizaciones nacionales, regionales e internacionales. La participación es gratuita.</w:t>
      </w:r>
    </w:p>
    <w:p w14:paraId="0905AA23" w14:textId="4D90A409" w:rsidR="000A4282" w:rsidRPr="00276BA9" w:rsidRDefault="000A4282" w:rsidP="000A4282">
      <w:pPr>
        <w:rPr>
          <w:rFonts w:cstheme="minorHAnsi"/>
          <w:sz w:val="22"/>
          <w:szCs w:val="18"/>
          <w:lang w:val="es-ES"/>
        </w:rPr>
      </w:pPr>
      <w:r w:rsidRPr="00276BA9">
        <w:rPr>
          <w:rFonts w:cstheme="minorHAnsi"/>
          <w:sz w:val="22"/>
          <w:szCs w:val="18"/>
          <w:lang w:val="es-ES"/>
        </w:rPr>
        <w:t>5</w:t>
      </w:r>
      <w:r w:rsidRPr="00276BA9">
        <w:rPr>
          <w:rFonts w:cstheme="minorHAnsi"/>
          <w:sz w:val="22"/>
          <w:szCs w:val="18"/>
          <w:lang w:val="es-ES"/>
        </w:rPr>
        <w:tab/>
        <w:t xml:space="preserve">La información relativa a estos episodios, incluido el proyecto de programa, los oradores y el enlace para la inscripción se pondrán a disposición en la página web del episodio respectiva en la página principal: </w:t>
      </w:r>
      <w:hyperlink r:id="rId12" w:history="1">
        <w:r w:rsidR="00BE7730" w:rsidRPr="00276BA9">
          <w:rPr>
            <w:rStyle w:val="Hyperlink"/>
            <w:rFonts w:cstheme="minorHAnsi"/>
            <w:sz w:val="22"/>
            <w:szCs w:val="18"/>
            <w:lang w:val="es-ES"/>
          </w:rPr>
          <w:t>https://www.itu.int/cities/standards4dt/</w:t>
        </w:r>
      </w:hyperlink>
      <w:r w:rsidRPr="00276BA9">
        <w:rPr>
          <w:rFonts w:cstheme="minorHAnsi"/>
          <w:sz w:val="22"/>
          <w:szCs w:val="18"/>
          <w:lang w:val="es-ES"/>
        </w:rPr>
        <w:t>.</w:t>
      </w:r>
    </w:p>
    <w:p w14:paraId="395CA940" w14:textId="77777777" w:rsidR="000A4282" w:rsidRPr="00276BA9" w:rsidRDefault="000A4282" w:rsidP="000A4282">
      <w:pPr>
        <w:rPr>
          <w:rFonts w:cstheme="minorHAnsi"/>
          <w:sz w:val="22"/>
          <w:szCs w:val="18"/>
          <w:lang w:val="es-ES"/>
        </w:rPr>
      </w:pPr>
      <w:r w:rsidRPr="00276BA9">
        <w:rPr>
          <w:rFonts w:cstheme="minorHAnsi"/>
          <w:sz w:val="22"/>
          <w:szCs w:val="18"/>
          <w:lang w:val="es-ES"/>
        </w:rPr>
        <w:t>Estos sitios web se actualizarán periódicamente a medida que se disponga de información nueva o modificada. Se ruega a los participantes que consulten periódicamente el sitio oficial de los episodios para mantenerse al corriente de las actualizaciones.</w:t>
      </w:r>
    </w:p>
    <w:p w14:paraId="32D5E05B" w14:textId="2ACE1559" w:rsidR="000A4282" w:rsidRPr="00276BA9" w:rsidRDefault="000A4282" w:rsidP="000A4282">
      <w:pPr>
        <w:rPr>
          <w:rFonts w:cstheme="minorHAnsi"/>
          <w:sz w:val="22"/>
          <w:szCs w:val="18"/>
          <w:lang w:val="es-ES"/>
        </w:rPr>
      </w:pPr>
      <w:r w:rsidRPr="00276BA9">
        <w:rPr>
          <w:rFonts w:cstheme="minorHAnsi"/>
          <w:sz w:val="22"/>
          <w:szCs w:val="18"/>
          <w:lang w:val="es-ES"/>
        </w:rPr>
        <w:t>6</w:t>
      </w:r>
      <w:r w:rsidRPr="00276BA9">
        <w:rPr>
          <w:rFonts w:cstheme="minorHAnsi"/>
          <w:sz w:val="22"/>
          <w:szCs w:val="18"/>
          <w:lang w:val="es-ES"/>
        </w:rPr>
        <w:tab/>
        <w:t xml:space="preserve">La inscripción en línea es obligatoria para todos los participantes. Se publicará más información sobre la inscripción en la </w:t>
      </w:r>
      <w:hyperlink r:id="rId13" w:history="1">
        <w:r w:rsidRPr="00276BA9">
          <w:rPr>
            <w:rStyle w:val="Hyperlink"/>
            <w:rFonts w:cstheme="minorHAnsi"/>
            <w:sz w:val="22"/>
            <w:szCs w:val="18"/>
            <w:lang w:val="es-ES"/>
          </w:rPr>
          <w:t>página principal</w:t>
        </w:r>
      </w:hyperlink>
      <w:r w:rsidRPr="00276BA9">
        <w:rPr>
          <w:rFonts w:cstheme="minorHAnsi"/>
          <w:sz w:val="22"/>
          <w:szCs w:val="18"/>
          <w:lang w:val="es-ES"/>
        </w:rPr>
        <w:t xml:space="preserve"> de la serie de seminarios web.</w:t>
      </w:r>
    </w:p>
    <w:p w14:paraId="520CD04F" w14:textId="3FF33EF0" w:rsidR="000A4282" w:rsidRPr="00276BA9" w:rsidRDefault="000A4282" w:rsidP="00BE7730">
      <w:pPr>
        <w:spacing w:after="240"/>
        <w:rPr>
          <w:rFonts w:cstheme="minorHAnsi"/>
          <w:sz w:val="22"/>
          <w:szCs w:val="18"/>
          <w:lang w:val="es-ES"/>
        </w:rPr>
      </w:pPr>
      <w:r w:rsidRPr="00276BA9">
        <w:rPr>
          <w:rFonts w:cstheme="minorHAnsi"/>
          <w:sz w:val="22"/>
          <w:szCs w:val="18"/>
          <w:lang w:val="es-ES"/>
        </w:rPr>
        <w:t>7</w:t>
      </w:r>
      <w:r w:rsidRPr="00276BA9">
        <w:rPr>
          <w:rFonts w:cstheme="minorHAnsi"/>
          <w:sz w:val="22"/>
          <w:szCs w:val="18"/>
          <w:lang w:val="es-ES"/>
        </w:rPr>
        <w:tab/>
        <w:t xml:space="preserve">Todos los episodios anteriores de esta serie de </w:t>
      </w:r>
      <w:r w:rsidRPr="00276BA9">
        <w:rPr>
          <w:rFonts w:cstheme="minorHAnsi"/>
          <w:b/>
          <w:bCs/>
          <w:sz w:val="22"/>
          <w:szCs w:val="18"/>
          <w:lang w:val="es-ES"/>
        </w:rPr>
        <w:t>Seminarios web sobre transformación digital</w:t>
      </w:r>
      <w:r w:rsidRPr="00276BA9">
        <w:rPr>
          <w:rFonts w:cstheme="minorHAnsi"/>
          <w:sz w:val="22"/>
          <w:szCs w:val="18"/>
          <w:lang w:val="es-ES"/>
        </w:rPr>
        <w:t xml:space="preserve"> están disponibles en la página principal de acceso </w:t>
      </w:r>
      <w:hyperlink r:id="rId14" w:history="1">
        <w:r w:rsidRPr="00276BA9">
          <w:rPr>
            <w:rStyle w:val="Hyperlink"/>
            <w:rFonts w:cstheme="minorHAnsi"/>
            <w:sz w:val="22"/>
            <w:szCs w:val="18"/>
            <w:lang w:val="es-ES"/>
          </w:rPr>
          <w:t>aquí</w:t>
        </w:r>
      </w:hyperlink>
      <w:r w:rsidRPr="00276BA9">
        <w:rPr>
          <w:rFonts w:cstheme="minorHAnsi"/>
          <w:sz w:val="22"/>
          <w:szCs w:val="18"/>
          <w:lang w:val="es-ES"/>
        </w:rPr>
        <w:t>.</w:t>
      </w:r>
    </w:p>
    <w:tbl>
      <w:tblPr>
        <w:tblW w:w="9781" w:type="dxa"/>
        <w:tblLayout w:type="fixed"/>
        <w:tblLook w:val="04A0" w:firstRow="1" w:lastRow="0" w:firstColumn="1" w:lastColumn="0" w:noHBand="0" w:noVBand="1"/>
      </w:tblPr>
      <w:tblGrid>
        <w:gridCol w:w="6663"/>
        <w:gridCol w:w="3118"/>
      </w:tblGrid>
      <w:tr w:rsidR="000A4282" w:rsidRPr="00276BA9" w14:paraId="2055DEFD" w14:textId="77777777" w:rsidTr="00BE7730">
        <w:trPr>
          <w:cantSplit/>
          <w:trHeight w:val="1955"/>
        </w:trPr>
        <w:tc>
          <w:tcPr>
            <w:tcW w:w="6663" w:type="dxa"/>
            <w:vMerge w:val="restart"/>
            <w:tcBorders>
              <w:right w:val="single" w:sz="4" w:space="0" w:color="auto"/>
            </w:tcBorders>
          </w:tcPr>
          <w:p w14:paraId="275129A5" w14:textId="24D3814A" w:rsidR="000A4282" w:rsidRPr="00276BA9" w:rsidRDefault="000A4282" w:rsidP="00276BA9">
            <w:pPr>
              <w:ind w:left="-105"/>
              <w:rPr>
                <w:rFonts w:cstheme="minorHAnsi"/>
                <w:sz w:val="22"/>
                <w:szCs w:val="18"/>
                <w:lang w:val="es-ES"/>
              </w:rPr>
            </w:pPr>
            <w:r w:rsidRPr="00276BA9">
              <w:rPr>
                <w:rFonts w:cstheme="minorHAnsi"/>
                <w:sz w:val="22"/>
                <w:szCs w:val="18"/>
                <w:lang w:val="es-ES"/>
              </w:rPr>
              <w:t>Le saluda atentamente,</w:t>
            </w:r>
          </w:p>
          <w:p w14:paraId="6FB76645" w14:textId="6113BA04" w:rsidR="000A4282" w:rsidRPr="00276BA9" w:rsidRDefault="000E553B" w:rsidP="00276BA9">
            <w:pPr>
              <w:spacing w:before="960"/>
              <w:ind w:left="-108"/>
              <w:rPr>
                <w:rFonts w:cstheme="minorHAnsi"/>
                <w:sz w:val="22"/>
                <w:szCs w:val="18"/>
                <w:lang w:val="es-ES"/>
              </w:rPr>
            </w:pPr>
            <w:r>
              <w:rPr>
                <w:rFonts w:cstheme="minorHAnsi"/>
                <w:noProof/>
                <w:sz w:val="22"/>
                <w:szCs w:val="18"/>
                <w:lang w:val="es-ES"/>
              </w:rPr>
              <w:drawing>
                <wp:anchor distT="0" distB="0" distL="114300" distR="114300" simplePos="0" relativeHeight="251658240" behindDoc="1" locked="0" layoutInCell="1" allowOverlap="1" wp14:anchorId="3FC00DDB" wp14:editId="6B37212D">
                  <wp:simplePos x="0" y="0"/>
                  <wp:positionH relativeFrom="column">
                    <wp:posOffset>-64770</wp:posOffset>
                  </wp:positionH>
                  <wp:positionV relativeFrom="paragraph">
                    <wp:posOffset>148589</wp:posOffset>
                  </wp:positionV>
                  <wp:extent cx="739907" cy="333375"/>
                  <wp:effectExtent l="0" t="0" r="3175" b="0"/>
                  <wp:wrapNone/>
                  <wp:docPr id="3" name="Picture 3" descr="A picture containing font, logo, graphics,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logo, graphics, whit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42006" cy="334321"/>
                          </a:xfrm>
                          <a:prstGeom prst="rect">
                            <a:avLst/>
                          </a:prstGeom>
                        </pic:spPr>
                      </pic:pic>
                    </a:graphicData>
                  </a:graphic>
                  <wp14:sizeRelH relativeFrom="margin">
                    <wp14:pctWidth>0</wp14:pctWidth>
                  </wp14:sizeRelH>
                  <wp14:sizeRelV relativeFrom="margin">
                    <wp14:pctHeight>0</wp14:pctHeight>
                  </wp14:sizeRelV>
                </wp:anchor>
              </w:drawing>
            </w:r>
            <w:r w:rsidR="00BE7730" w:rsidRPr="00276BA9">
              <w:rPr>
                <w:rFonts w:cstheme="minorHAnsi"/>
                <w:sz w:val="22"/>
                <w:szCs w:val="18"/>
                <w:lang w:val="es-ES"/>
              </w:rPr>
              <w:t>Seizo Onoe</w:t>
            </w:r>
            <w:r w:rsidR="00BE7730" w:rsidRPr="00276BA9">
              <w:rPr>
                <w:rFonts w:cstheme="minorHAnsi"/>
                <w:sz w:val="22"/>
                <w:szCs w:val="18"/>
                <w:lang w:val="es-ES"/>
              </w:rPr>
              <w:br/>
            </w:r>
            <w:proofErr w:type="gramStart"/>
            <w:r w:rsidR="00BE7730" w:rsidRPr="00276BA9">
              <w:rPr>
                <w:rFonts w:cstheme="minorHAnsi"/>
                <w:sz w:val="22"/>
                <w:szCs w:val="18"/>
                <w:lang w:val="es-ES"/>
              </w:rPr>
              <w:t>Director</w:t>
            </w:r>
            <w:proofErr w:type="gramEnd"/>
            <w:r w:rsidR="00BE7730" w:rsidRPr="00276BA9">
              <w:rPr>
                <w:rFonts w:cstheme="minorHAnsi"/>
                <w:sz w:val="22"/>
                <w:szCs w:val="18"/>
                <w:lang w:val="es-ES"/>
              </w:rPr>
              <w:t xml:space="preserve"> de la Oficina de </w:t>
            </w:r>
            <w:r w:rsidR="00BE7730" w:rsidRPr="00276BA9">
              <w:rPr>
                <w:rFonts w:cstheme="minorHAnsi"/>
                <w:sz w:val="22"/>
                <w:szCs w:val="18"/>
                <w:lang w:val="es-ES"/>
              </w:rPr>
              <w:br/>
              <w:t>Normalización de las Telecomunicaciones</w:t>
            </w:r>
          </w:p>
        </w:tc>
        <w:tc>
          <w:tcPr>
            <w:tcW w:w="3118" w:type="dxa"/>
            <w:tcBorders>
              <w:top w:val="single" w:sz="4" w:space="0" w:color="auto"/>
              <w:left w:val="single" w:sz="4" w:space="0" w:color="auto"/>
              <w:right w:val="single" w:sz="4" w:space="0" w:color="auto"/>
            </w:tcBorders>
            <w:textDirection w:val="btLr"/>
            <w:vAlign w:val="center"/>
          </w:tcPr>
          <w:p w14:paraId="69DB6245" w14:textId="7F9C802A" w:rsidR="000A4282" w:rsidRPr="00276BA9" w:rsidRDefault="000A4282" w:rsidP="00BE7730">
            <w:pPr>
              <w:jc w:val="center"/>
              <w:rPr>
                <w:rFonts w:cstheme="minorHAnsi"/>
                <w:sz w:val="22"/>
                <w:szCs w:val="18"/>
                <w:lang w:val="en-GB"/>
              </w:rPr>
            </w:pPr>
            <w:r w:rsidRPr="00276BA9">
              <w:rPr>
                <w:rFonts w:cstheme="minorHAnsi"/>
                <w:noProof/>
                <w:sz w:val="22"/>
                <w:szCs w:val="18"/>
                <w:lang w:val="en-GB"/>
              </w:rPr>
              <w:drawing>
                <wp:inline distT="0" distB="0" distL="0" distR="0" wp14:anchorId="2B0071D5" wp14:editId="4B1BB226">
                  <wp:extent cx="1049572" cy="1049572"/>
                  <wp:effectExtent l="0" t="0" r="0" b="0"/>
                  <wp:docPr id="1674465767" name="Picture 167446576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65767" name="Picture 1" descr="Qr cod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057515" cy="1057515"/>
                          </a:xfrm>
                          <a:prstGeom prst="rect">
                            <a:avLst/>
                          </a:prstGeom>
                        </pic:spPr>
                      </pic:pic>
                    </a:graphicData>
                  </a:graphic>
                </wp:inline>
              </w:drawing>
            </w:r>
          </w:p>
        </w:tc>
      </w:tr>
      <w:tr w:rsidR="000A4282" w:rsidRPr="000A4282" w14:paraId="0F7B687A" w14:textId="77777777" w:rsidTr="00BE7730">
        <w:trPr>
          <w:cantSplit/>
          <w:trHeight w:val="227"/>
        </w:trPr>
        <w:tc>
          <w:tcPr>
            <w:tcW w:w="6663" w:type="dxa"/>
            <w:vMerge/>
          </w:tcPr>
          <w:p w14:paraId="1958554C" w14:textId="77777777" w:rsidR="000A4282" w:rsidRPr="000A4282" w:rsidRDefault="000A4282" w:rsidP="000A4282">
            <w:pPr>
              <w:rPr>
                <w:lang w:val="en-GB"/>
              </w:rPr>
            </w:pPr>
          </w:p>
        </w:tc>
        <w:tc>
          <w:tcPr>
            <w:tcW w:w="3118" w:type="dxa"/>
            <w:tcBorders>
              <w:left w:val="single" w:sz="4" w:space="0" w:color="auto"/>
              <w:bottom w:val="single" w:sz="4" w:space="0" w:color="auto"/>
              <w:right w:val="single" w:sz="4" w:space="0" w:color="auto"/>
            </w:tcBorders>
            <w:vAlign w:val="center"/>
          </w:tcPr>
          <w:p w14:paraId="6CCCFFBA" w14:textId="77777777" w:rsidR="000A4282" w:rsidRPr="000A4282" w:rsidRDefault="000A4282" w:rsidP="00BE7730">
            <w:pPr>
              <w:jc w:val="center"/>
              <w:rPr>
                <w:sz w:val="22"/>
                <w:szCs w:val="22"/>
                <w:lang w:val="es-ES"/>
              </w:rPr>
            </w:pPr>
            <w:r w:rsidRPr="000A4282">
              <w:rPr>
                <w:sz w:val="22"/>
                <w:szCs w:val="22"/>
                <w:lang w:val="es-ES"/>
              </w:rPr>
              <w:t>Serie de seminarios web sobre transformación digital</w:t>
            </w:r>
          </w:p>
        </w:tc>
      </w:tr>
    </w:tbl>
    <w:p w14:paraId="7725E4D4" w14:textId="77777777" w:rsidR="007B6316" w:rsidRDefault="007B6316" w:rsidP="007B6316"/>
    <w:sectPr w:rsidR="007B6316" w:rsidSect="00B87E9E">
      <w:headerReference w:type="default" r:id="rId17"/>
      <w:footerReference w:type="first" r:id="rId1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CA7F" w14:textId="77777777" w:rsidR="00147D11" w:rsidRDefault="00147D11">
      <w:r>
        <w:separator/>
      </w:r>
    </w:p>
  </w:endnote>
  <w:endnote w:type="continuationSeparator" w:id="0">
    <w:p w14:paraId="381153CC" w14:textId="77777777" w:rsidR="00147D11" w:rsidRDefault="0014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E7FF" w14:textId="4F9DFB7A"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Tel</w:t>
    </w:r>
    <w:r w:rsidR="000A4282">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6C7D" w14:textId="77777777" w:rsidR="00147D11" w:rsidRDefault="00147D11">
      <w:r>
        <w:t>____________________</w:t>
      </w:r>
    </w:p>
  </w:footnote>
  <w:footnote w:type="continuationSeparator" w:id="0">
    <w:p w14:paraId="214D993B" w14:textId="77777777" w:rsidR="00147D11" w:rsidRDefault="0014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C357" w14:textId="7B505FEE"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5004D2">
      <w:rPr>
        <w:rStyle w:val="PageNumber"/>
        <w:sz w:val="18"/>
        <w:szCs w:val="18"/>
      </w:rPr>
      <w:br/>
    </w:r>
    <w:r w:rsidR="005004D2" w:rsidRPr="005004D2">
      <w:rPr>
        <w:sz w:val="18"/>
        <w:szCs w:val="18"/>
      </w:rPr>
      <w:t>Circular TSB 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04B8"/>
    <w:multiLevelType w:val="hybridMultilevel"/>
    <w:tmpl w:val="5BB81A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
  </w:num>
  <w:num w:numId="2" w16cid:durableId="1345282128">
    <w:abstractNumId w:val="4"/>
  </w:num>
  <w:num w:numId="3" w16cid:durableId="1069613404">
    <w:abstractNumId w:val="3"/>
  </w:num>
  <w:num w:numId="4" w16cid:durableId="374936234">
    <w:abstractNumId w:val="2"/>
  </w:num>
  <w:num w:numId="5" w16cid:durableId="94079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11"/>
    <w:rsid w:val="00002529"/>
    <w:rsid w:val="00063EA5"/>
    <w:rsid w:val="00085662"/>
    <w:rsid w:val="000A4282"/>
    <w:rsid w:val="000C382F"/>
    <w:rsid w:val="000E553B"/>
    <w:rsid w:val="001173CC"/>
    <w:rsid w:val="001350B9"/>
    <w:rsid w:val="0014464D"/>
    <w:rsid w:val="00147D11"/>
    <w:rsid w:val="001A54CC"/>
    <w:rsid w:val="00257FB4"/>
    <w:rsid w:val="00276BA9"/>
    <w:rsid w:val="002E496E"/>
    <w:rsid w:val="00303D62"/>
    <w:rsid w:val="00335367"/>
    <w:rsid w:val="00370C2D"/>
    <w:rsid w:val="003875E5"/>
    <w:rsid w:val="003D1E8D"/>
    <w:rsid w:val="003D673B"/>
    <w:rsid w:val="003F2855"/>
    <w:rsid w:val="00401C20"/>
    <w:rsid w:val="004A7957"/>
    <w:rsid w:val="004C4144"/>
    <w:rsid w:val="005004D2"/>
    <w:rsid w:val="0055719E"/>
    <w:rsid w:val="006969B4"/>
    <w:rsid w:val="006E4F7B"/>
    <w:rsid w:val="00781E2A"/>
    <w:rsid w:val="007933A2"/>
    <w:rsid w:val="007B6316"/>
    <w:rsid w:val="00814503"/>
    <w:rsid w:val="008258C2"/>
    <w:rsid w:val="008505BD"/>
    <w:rsid w:val="00850C78"/>
    <w:rsid w:val="00860BD8"/>
    <w:rsid w:val="00876165"/>
    <w:rsid w:val="00884D12"/>
    <w:rsid w:val="008C17AD"/>
    <w:rsid w:val="008D02CD"/>
    <w:rsid w:val="0091370C"/>
    <w:rsid w:val="0095172A"/>
    <w:rsid w:val="009A0BA0"/>
    <w:rsid w:val="00A54E47"/>
    <w:rsid w:val="00AB6E3A"/>
    <w:rsid w:val="00AE7093"/>
    <w:rsid w:val="00B422BC"/>
    <w:rsid w:val="00B43F77"/>
    <w:rsid w:val="00B55A3E"/>
    <w:rsid w:val="00B80BDB"/>
    <w:rsid w:val="00B82855"/>
    <w:rsid w:val="00B87E9E"/>
    <w:rsid w:val="00B95F0A"/>
    <w:rsid w:val="00B96180"/>
    <w:rsid w:val="00BE7730"/>
    <w:rsid w:val="00BF3EE9"/>
    <w:rsid w:val="00C116FE"/>
    <w:rsid w:val="00C17AC0"/>
    <w:rsid w:val="00C27069"/>
    <w:rsid w:val="00C34772"/>
    <w:rsid w:val="00C5465A"/>
    <w:rsid w:val="00C63A2B"/>
    <w:rsid w:val="00C67C2B"/>
    <w:rsid w:val="00CE0707"/>
    <w:rsid w:val="00D54642"/>
    <w:rsid w:val="00D834E7"/>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FDAFF"/>
  <w15:docId w15:val="{9A415326-0176-4039-B1BC-B2039071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0A4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cities/standards4d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cities/standards4d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recommendations/rec.aspx?rec=14765&amp;lang=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en/ITU-T/studygroups/2022-2024/20/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gitaltransformation@itu.int" TargetMode="External"/><Relationship Id="rId14" Type="http://schemas.openxmlformats.org/officeDocument/2006/relationships/hyperlink" Target="https://www.itu.int/cities/standards4d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122</TotalTime>
  <Pages>3</Pages>
  <Words>1431</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9696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Braud, Olivia</cp:lastModifiedBy>
  <cp:revision>13</cp:revision>
  <cp:lastPrinted>2023-05-26T07:53:00Z</cp:lastPrinted>
  <dcterms:created xsi:type="dcterms:W3CDTF">2023-05-24T09:00:00Z</dcterms:created>
  <dcterms:modified xsi:type="dcterms:W3CDTF">2023-05-26T07:53:00Z</dcterms:modified>
</cp:coreProperties>
</file>