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8"/>
        <w:gridCol w:w="1126"/>
        <w:gridCol w:w="284"/>
        <w:gridCol w:w="3467"/>
        <w:gridCol w:w="2912"/>
        <w:gridCol w:w="1984"/>
      </w:tblGrid>
      <w:tr w:rsidR="003E5F3C" w:rsidRPr="0058772B" w14:paraId="585D17BA" w14:textId="77777777" w:rsidTr="00F71ACC">
        <w:trPr>
          <w:cantSplit/>
        </w:trPr>
        <w:tc>
          <w:tcPr>
            <w:tcW w:w="1418" w:type="dxa"/>
            <w:gridSpan w:val="3"/>
            <w:vAlign w:val="center"/>
          </w:tcPr>
          <w:p w14:paraId="56D86304" w14:textId="77777777" w:rsidR="003E5F3C" w:rsidRPr="0058772B" w:rsidRDefault="0010404C" w:rsidP="00CB634F">
            <w:pPr>
              <w:tabs>
                <w:tab w:val="right" w:pos="8732"/>
              </w:tabs>
              <w:spacing w:before="0"/>
              <w:rPr>
                <w:rFonts w:asciiTheme="minorHAnsi" w:hAnsiTheme="minorHAnsi"/>
                <w:b/>
                <w:bCs/>
                <w:iCs/>
                <w:color w:val="FFFFFF"/>
                <w:sz w:val="30"/>
                <w:szCs w:val="30"/>
              </w:rPr>
            </w:pPr>
            <w:r w:rsidRPr="0058772B">
              <w:rPr>
                <w:noProof/>
                <w:lang w:eastAsia="zh-CN"/>
              </w:rPr>
              <w:drawing>
                <wp:inline distT="0" distB="0" distL="0" distR="0" wp14:anchorId="744942D4" wp14:editId="3995C2D1">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465B7C46" w14:textId="77777777" w:rsidR="003E5F3C" w:rsidRPr="0058772B" w:rsidRDefault="003E5F3C" w:rsidP="00CB634F">
            <w:pPr>
              <w:spacing w:before="0"/>
              <w:rPr>
                <w:rFonts w:asciiTheme="minorHAnsi" w:hAnsiTheme="minorHAnsi" w:cs="Times New Roman Bold"/>
                <w:b/>
                <w:bCs/>
                <w:iCs/>
                <w:smallCaps/>
                <w:sz w:val="34"/>
                <w:szCs w:val="34"/>
              </w:rPr>
            </w:pPr>
            <w:r w:rsidRPr="0058772B">
              <w:rPr>
                <w:rFonts w:asciiTheme="minorHAnsi" w:hAnsiTheme="minorHAnsi" w:cs="Times New Roman Bold"/>
                <w:b/>
                <w:bCs/>
                <w:iCs/>
                <w:smallCaps/>
                <w:sz w:val="34"/>
                <w:szCs w:val="34"/>
              </w:rPr>
              <w:t>Union internationale des télécommunications</w:t>
            </w:r>
          </w:p>
          <w:p w14:paraId="3EBB71E1" w14:textId="77777777" w:rsidR="003E5F3C" w:rsidRPr="0058772B" w:rsidRDefault="003E5F3C" w:rsidP="00CB634F">
            <w:pPr>
              <w:tabs>
                <w:tab w:val="right" w:pos="8732"/>
              </w:tabs>
              <w:spacing w:before="0"/>
              <w:rPr>
                <w:rFonts w:asciiTheme="minorHAnsi" w:hAnsiTheme="minorHAnsi"/>
                <w:b/>
                <w:bCs/>
                <w:iCs/>
                <w:color w:val="FFFFFF"/>
                <w:sz w:val="30"/>
                <w:szCs w:val="30"/>
              </w:rPr>
            </w:pPr>
            <w:r w:rsidRPr="0058772B">
              <w:rPr>
                <w:rFonts w:asciiTheme="minorHAnsi" w:hAnsiTheme="minorHAnsi" w:cs="Times New Roman Bold"/>
                <w:b/>
                <w:bCs/>
                <w:iCs/>
                <w:smallCaps/>
                <w:sz w:val="28"/>
                <w:szCs w:val="28"/>
              </w:rPr>
              <w:t>B</w:t>
            </w:r>
            <w:r w:rsidRPr="0058772B">
              <w:rPr>
                <w:rFonts w:asciiTheme="minorHAnsi" w:hAnsiTheme="minorHAnsi"/>
                <w:b/>
                <w:bCs/>
                <w:iCs/>
                <w:smallCaps/>
                <w:sz w:val="28"/>
                <w:szCs w:val="28"/>
              </w:rPr>
              <w:t>ureau de la Normalisation des Télécommunications</w:t>
            </w:r>
          </w:p>
        </w:tc>
        <w:tc>
          <w:tcPr>
            <w:tcW w:w="1984" w:type="dxa"/>
            <w:vAlign w:val="center"/>
          </w:tcPr>
          <w:p w14:paraId="380CA685" w14:textId="77777777" w:rsidR="003E5F3C" w:rsidRPr="0058772B" w:rsidRDefault="003E5F3C" w:rsidP="00CB634F">
            <w:pPr>
              <w:spacing w:before="0"/>
              <w:jc w:val="right"/>
              <w:rPr>
                <w:rFonts w:asciiTheme="minorHAnsi" w:hAnsiTheme="minorHAnsi"/>
                <w:color w:val="FFFFFF"/>
                <w:sz w:val="26"/>
                <w:szCs w:val="26"/>
              </w:rPr>
            </w:pPr>
          </w:p>
        </w:tc>
      </w:tr>
      <w:tr w:rsidR="00F71ACC" w:rsidRPr="0058772B" w14:paraId="5C6F281A" w14:textId="77777777" w:rsidTr="00C83210">
        <w:trPr>
          <w:gridBefore w:val="1"/>
          <w:wBefore w:w="8" w:type="dxa"/>
          <w:cantSplit/>
          <w:trHeight w:val="340"/>
        </w:trPr>
        <w:tc>
          <w:tcPr>
            <w:tcW w:w="1126" w:type="dxa"/>
          </w:tcPr>
          <w:p w14:paraId="06642B7E" w14:textId="77777777" w:rsidR="00F71ACC" w:rsidRPr="0058772B" w:rsidRDefault="00F71ACC" w:rsidP="00C17596">
            <w:pPr>
              <w:tabs>
                <w:tab w:val="left" w:pos="4111"/>
              </w:tabs>
              <w:spacing w:before="10"/>
              <w:ind w:left="57"/>
              <w:rPr>
                <w:rFonts w:asciiTheme="minorHAnsi" w:hAnsiTheme="minorHAnsi"/>
              </w:rPr>
            </w:pPr>
          </w:p>
        </w:tc>
        <w:tc>
          <w:tcPr>
            <w:tcW w:w="3751" w:type="dxa"/>
            <w:gridSpan w:val="2"/>
          </w:tcPr>
          <w:p w14:paraId="4BE529FC" w14:textId="77777777" w:rsidR="00F71ACC" w:rsidRPr="0058772B" w:rsidRDefault="00F71ACC" w:rsidP="00C17596">
            <w:pPr>
              <w:tabs>
                <w:tab w:val="left" w:pos="4111"/>
              </w:tabs>
              <w:spacing w:before="0"/>
              <w:ind w:left="57"/>
              <w:rPr>
                <w:rFonts w:asciiTheme="minorHAnsi" w:hAnsiTheme="minorHAnsi"/>
                <w:b/>
              </w:rPr>
            </w:pPr>
          </w:p>
        </w:tc>
        <w:tc>
          <w:tcPr>
            <w:tcW w:w="4896" w:type="dxa"/>
            <w:gridSpan w:val="2"/>
          </w:tcPr>
          <w:p w14:paraId="31887EA4" w14:textId="7E64E4B3" w:rsidR="00F71ACC" w:rsidRPr="0058772B" w:rsidRDefault="00F71ACC" w:rsidP="00FD56E3">
            <w:pPr>
              <w:tabs>
                <w:tab w:val="clear" w:pos="794"/>
                <w:tab w:val="clear" w:pos="1191"/>
                <w:tab w:val="clear" w:pos="1588"/>
                <w:tab w:val="clear" w:pos="1985"/>
              </w:tabs>
              <w:spacing w:after="120"/>
              <w:ind w:left="57"/>
              <w:rPr>
                <w:rFonts w:asciiTheme="minorHAnsi" w:hAnsiTheme="minorHAnsi"/>
                <w:b/>
              </w:rPr>
            </w:pPr>
            <w:r w:rsidRPr="0058772B">
              <w:rPr>
                <w:rFonts w:asciiTheme="minorHAnsi" w:hAnsiTheme="minorHAnsi"/>
              </w:rPr>
              <w:t>Genève, le</w:t>
            </w:r>
            <w:r w:rsidR="008D6EBE" w:rsidRPr="0058772B">
              <w:rPr>
                <w:rFonts w:asciiTheme="minorHAnsi" w:hAnsiTheme="minorHAnsi"/>
              </w:rPr>
              <w:t xml:space="preserve"> 8 mai 2023</w:t>
            </w:r>
          </w:p>
        </w:tc>
      </w:tr>
      <w:tr w:rsidR="00F71ACC" w:rsidRPr="0058772B" w14:paraId="59C3D752" w14:textId="77777777" w:rsidTr="00C83210">
        <w:trPr>
          <w:gridBefore w:val="1"/>
          <w:wBefore w:w="8" w:type="dxa"/>
          <w:cantSplit/>
          <w:trHeight w:val="340"/>
        </w:trPr>
        <w:tc>
          <w:tcPr>
            <w:tcW w:w="1126" w:type="dxa"/>
          </w:tcPr>
          <w:p w14:paraId="2F625513" w14:textId="77777777" w:rsidR="00F71ACC" w:rsidRPr="0058772B" w:rsidRDefault="00F71ACC" w:rsidP="00F71ACC">
            <w:pPr>
              <w:tabs>
                <w:tab w:val="left" w:pos="4111"/>
              </w:tabs>
              <w:spacing w:before="40" w:after="40"/>
              <w:ind w:left="57"/>
              <w:rPr>
                <w:rFonts w:asciiTheme="minorHAnsi" w:hAnsiTheme="minorHAnsi"/>
                <w:b/>
                <w:bCs/>
              </w:rPr>
            </w:pPr>
            <w:r w:rsidRPr="0058772B">
              <w:rPr>
                <w:rFonts w:asciiTheme="minorHAnsi" w:hAnsiTheme="minorHAnsi"/>
                <w:b/>
                <w:bCs/>
              </w:rPr>
              <w:t>Réf.:</w:t>
            </w:r>
          </w:p>
        </w:tc>
        <w:tc>
          <w:tcPr>
            <w:tcW w:w="3751" w:type="dxa"/>
            <w:gridSpan w:val="2"/>
          </w:tcPr>
          <w:p w14:paraId="77B28612" w14:textId="3D37A02F" w:rsidR="00F71ACC" w:rsidRPr="0058772B" w:rsidRDefault="008D6EBE" w:rsidP="008D6EBE">
            <w:pPr>
              <w:tabs>
                <w:tab w:val="left" w:pos="4111"/>
              </w:tabs>
              <w:spacing w:before="40" w:after="40"/>
              <w:ind w:left="227" w:hanging="170"/>
              <w:rPr>
                <w:rFonts w:asciiTheme="minorHAnsi" w:hAnsiTheme="minorHAnsi"/>
                <w:b/>
              </w:rPr>
            </w:pPr>
            <w:r w:rsidRPr="0058772B">
              <w:rPr>
                <w:rFonts w:asciiTheme="minorHAnsi" w:hAnsiTheme="minorHAnsi"/>
                <w:b/>
              </w:rPr>
              <w:t xml:space="preserve">Circulaire </w:t>
            </w:r>
            <w:r w:rsidR="00F71ACC" w:rsidRPr="0058772B">
              <w:rPr>
                <w:rFonts w:asciiTheme="minorHAnsi" w:hAnsiTheme="minorHAnsi"/>
                <w:b/>
              </w:rPr>
              <w:t xml:space="preserve">TSB </w:t>
            </w:r>
            <w:r w:rsidRPr="0058772B">
              <w:rPr>
                <w:rFonts w:asciiTheme="minorHAnsi" w:hAnsiTheme="minorHAnsi"/>
                <w:b/>
              </w:rPr>
              <w:t>97</w:t>
            </w:r>
          </w:p>
        </w:tc>
        <w:tc>
          <w:tcPr>
            <w:tcW w:w="4896" w:type="dxa"/>
            <w:gridSpan w:val="2"/>
            <w:vMerge w:val="restart"/>
          </w:tcPr>
          <w:p w14:paraId="16CE4D56" w14:textId="09886118" w:rsidR="00F71ACC" w:rsidRPr="0058772B" w:rsidRDefault="00F71ACC" w:rsidP="00F71ACC">
            <w:pPr>
              <w:tabs>
                <w:tab w:val="clear" w:pos="794"/>
                <w:tab w:val="clear" w:pos="1191"/>
                <w:tab w:val="clear" w:pos="1588"/>
                <w:tab w:val="clear" w:pos="1985"/>
              </w:tabs>
              <w:spacing w:before="40" w:after="40"/>
              <w:ind w:left="227" w:hanging="170"/>
              <w:rPr>
                <w:rFonts w:asciiTheme="minorHAnsi" w:hAnsiTheme="minorHAnsi"/>
              </w:rPr>
            </w:pPr>
            <w:r w:rsidRPr="0058772B">
              <w:rPr>
                <w:rFonts w:asciiTheme="minorHAnsi" w:hAnsiTheme="minorHAnsi"/>
              </w:rPr>
              <w:t>–</w:t>
            </w:r>
            <w:r w:rsidRPr="0058772B">
              <w:rPr>
                <w:rFonts w:asciiTheme="minorHAnsi" w:hAnsiTheme="minorHAnsi"/>
              </w:rPr>
              <w:tab/>
              <w:t xml:space="preserve">Aux </w:t>
            </w:r>
            <w:r w:rsidR="00C83210" w:rsidRPr="0058772B">
              <w:rPr>
                <w:rFonts w:asciiTheme="minorHAnsi" w:hAnsiTheme="minorHAnsi"/>
              </w:rPr>
              <w:t>A</w:t>
            </w:r>
            <w:r w:rsidRPr="0058772B">
              <w:rPr>
                <w:rFonts w:asciiTheme="minorHAnsi" w:hAnsiTheme="minorHAnsi"/>
              </w:rPr>
              <w:t xml:space="preserve">dministrations des </w:t>
            </w:r>
            <w:r w:rsidR="008D6EBE" w:rsidRPr="0058772B">
              <w:rPr>
                <w:rFonts w:asciiTheme="minorHAnsi" w:hAnsiTheme="minorHAnsi"/>
              </w:rPr>
              <w:t>États</w:t>
            </w:r>
            <w:r w:rsidRPr="0058772B">
              <w:rPr>
                <w:rFonts w:asciiTheme="minorHAnsi" w:hAnsiTheme="minorHAnsi"/>
              </w:rPr>
              <w:t xml:space="preserve"> Membres de l'Union;</w:t>
            </w:r>
          </w:p>
          <w:p w14:paraId="0379AC32" w14:textId="50C9F2B8" w:rsidR="00F71ACC" w:rsidRPr="0058772B" w:rsidRDefault="00F71ACC" w:rsidP="00D72561">
            <w:pPr>
              <w:tabs>
                <w:tab w:val="left" w:pos="4111"/>
              </w:tabs>
              <w:spacing w:before="40" w:after="40"/>
              <w:ind w:left="227" w:hanging="170"/>
              <w:rPr>
                <w:rFonts w:asciiTheme="minorHAnsi" w:hAnsiTheme="minorHAnsi"/>
              </w:rPr>
            </w:pPr>
            <w:r w:rsidRPr="0058772B">
              <w:rPr>
                <w:rFonts w:asciiTheme="minorHAnsi" w:hAnsiTheme="minorHAnsi"/>
              </w:rPr>
              <w:t>–</w:t>
            </w:r>
            <w:r w:rsidRPr="0058772B">
              <w:rPr>
                <w:rFonts w:asciiTheme="minorHAnsi" w:hAnsiTheme="minorHAnsi"/>
              </w:rPr>
              <w:tab/>
            </w:r>
            <w:r w:rsidR="00C83210" w:rsidRPr="0058772B">
              <w:rPr>
                <w:rFonts w:asciiTheme="minorHAnsi" w:hAnsiTheme="minorHAnsi"/>
              </w:rPr>
              <w:t>A</w:t>
            </w:r>
            <w:r w:rsidRPr="0058772B">
              <w:rPr>
                <w:rFonts w:asciiTheme="minorHAnsi" w:hAnsiTheme="minorHAnsi"/>
              </w:rPr>
              <w:t xml:space="preserve">ux </w:t>
            </w:r>
            <w:r w:rsidRPr="0058772B">
              <w:rPr>
                <w:rFonts w:asciiTheme="minorHAnsi" w:hAnsiTheme="minorHAnsi"/>
                <w:szCs w:val="22"/>
              </w:rPr>
              <w:t>Membres</w:t>
            </w:r>
            <w:r w:rsidRPr="0058772B">
              <w:rPr>
                <w:rFonts w:asciiTheme="minorHAnsi" w:hAnsiTheme="minorHAnsi"/>
              </w:rPr>
              <w:t xml:space="preserve"> du Secteur UIT-T;</w:t>
            </w:r>
          </w:p>
          <w:p w14:paraId="6DCFA65F" w14:textId="1B3A6C40" w:rsidR="00F71ACC" w:rsidRPr="0058772B" w:rsidRDefault="00F71ACC" w:rsidP="00D72561">
            <w:pPr>
              <w:tabs>
                <w:tab w:val="left" w:pos="4111"/>
              </w:tabs>
              <w:spacing w:before="40" w:after="40"/>
              <w:ind w:left="227" w:hanging="170"/>
              <w:rPr>
                <w:rFonts w:asciiTheme="minorHAnsi" w:hAnsiTheme="minorHAnsi"/>
              </w:rPr>
            </w:pPr>
            <w:r w:rsidRPr="0058772B">
              <w:rPr>
                <w:rFonts w:asciiTheme="minorHAnsi" w:hAnsiTheme="minorHAnsi"/>
              </w:rPr>
              <w:t>–</w:t>
            </w:r>
            <w:r w:rsidRPr="0058772B">
              <w:rPr>
                <w:rFonts w:asciiTheme="minorHAnsi" w:hAnsiTheme="minorHAnsi"/>
              </w:rPr>
              <w:tab/>
            </w:r>
            <w:r w:rsidR="00C83210" w:rsidRPr="0058772B">
              <w:rPr>
                <w:rFonts w:asciiTheme="minorHAnsi" w:hAnsiTheme="minorHAnsi"/>
              </w:rPr>
              <w:t>A</w:t>
            </w:r>
            <w:r w:rsidRPr="0058772B">
              <w:rPr>
                <w:rFonts w:asciiTheme="minorHAnsi" w:hAnsiTheme="minorHAnsi"/>
              </w:rPr>
              <w:t>ux Associés de l'UIT-</w:t>
            </w:r>
            <w:r w:rsidR="00C83210" w:rsidRPr="0058772B">
              <w:rPr>
                <w:rFonts w:asciiTheme="minorHAnsi" w:hAnsiTheme="minorHAnsi"/>
              </w:rPr>
              <w:t>T</w:t>
            </w:r>
            <w:r w:rsidRPr="0058772B">
              <w:rPr>
                <w:rFonts w:asciiTheme="minorHAnsi" w:hAnsiTheme="minorHAnsi"/>
              </w:rPr>
              <w:t>;</w:t>
            </w:r>
          </w:p>
          <w:p w14:paraId="522E6ACB" w14:textId="59E94772" w:rsidR="00F71ACC" w:rsidRPr="0058772B" w:rsidRDefault="00F71ACC" w:rsidP="00D72561">
            <w:pPr>
              <w:spacing w:before="40"/>
              <w:ind w:left="226" w:hanging="169"/>
              <w:rPr>
                <w:rFonts w:asciiTheme="minorHAnsi" w:hAnsiTheme="minorHAnsi"/>
                <w:b/>
              </w:rPr>
            </w:pPr>
            <w:r w:rsidRPr="0058772B">
              <w:rPr>
                <w:rFonts w:asciiTheme="minorHAnsi" w:hAnsiTheme="minorHAnsi"/>
              </w:rPr>
              <w:t>–</w:t>
            </w:r>
            <w:r w:rsidRPr="0058772B">
              <w:rPr>
                <w:rFonts w:asciiTheme="minorHAnsi" w:hAnsiTheme="minorHAnsi"/>
              </w:rPr>
              <w:tab/>
            </w:r>
            <w:r w:rsidR="00C83210" w:rsidRPr="0058772B">
              <w:rPr>
                <w:rFonts w:asciiTheme="minorHAnsi" w:hAnsiTheme="minorHAnsi"/>
              </w:rPr>
              <w:t>A</w:t>
            </w:r>
            <w:r w:rsidRPr="0058772B">
              <w:rPr>
                <w:rFonts w:asciiTheme="minorHAnsi" w:hAnsiTheme="minorHAnsi"/>
              </w:rPr>
              <w:t>ux établissements universitaires participant aux travaux de l'UIT</w:t>
            </w:r>
          </w:p>
        </w:tc>
      </w:tr>
      <w:tr w:rsidR="00F71ACC" w:rsidRPr="0058772B" w14:paraId="6C2845A5" w14:textId="77777777" w:rsidTr="00C83210">
        <w:trPr>
          <w:gridBefore w:val="1"/>
          <w:wBefore w:w="8" w:type="dxa"/>
          <w:cantSplit/>
        </w:trPr>
        <w:tc>
          <w:tcPr>
            <w:tcW w:w="1126" w:type="dxa"/>
          </w:tcPr>
          <w:p w14:paraId="49283C01" w14:textId="77777777" w:rsidR="00F71ACC" w:rsidRPr="0058772B" w:rsidRDefault="00F71ACC" w:rsidP="00F71ACC">
            <w:pPr>
              <w:tabs>
                <w:tab w:val="left" w:pos="4111"/>
              </w:tabs>
              <w:spacing w:before="40" w:after="40"/>
              <w:ind w:left="57"/>
              <w:rPr>
                <w:rFonts w:asciiTheme="minorHAnsi" w:hAnsiTheme="minorHAnsi"/>
                <w:b/>
                <w:bCs/>
              </w:rPr>
            </w:pPr>
            <w:r w:rsidRPr="0058772B">
              <w:rPr>
                <w:rFonts w:asciiTheme="minorHAnsi" w:hAnsiTheme="minorHAnsi"/>
                <w:b/>
                <w:bCs/>
              </w:rPr>
              <w:t>Tél.:</w:t>
            </w:r>
          </w:p>
        </w:tc>
        <w:tc>
          <w:tcPr>
            <w:tcW w:w="3751" w:type="dxa"/>
            <w:gridSpan w:val="2"/>
          </w:tcPr>
          <w:p w14:paraId="2792DCB0" w14:textId="769CC286" w:rsidR="00F71ACC" w:rsidRPr="0058772B" w:rsidRDefault="00D72561" w:rsidP="00F71ACC">
            <w:pPr>
              <w:tabs>
                <w:tab w:val="left" w:pos="4111"/>
              </w:tabs>
              <w:spacing w:before="40" w:after="40"/>
              <w:ind w:left="227" w:hanging="170"/>
              <w:rPr>
                <w:rFonts w:asciiTheme="minorHAnsi" w:hAnsiTheme="minorHAnsi"/>
                <w:szCs w:val="22"/>
              </w:rPr>
            </w:pPr>
            <w:r w:rsidRPr="0058772B">
              <w:rPr>
                <w:rFonts w:cs="Calibri"/>
                <w:szCs w:val="22"/>
              </w:rPr>
              <w:t>+41 22 730 6301</w:t>
            </w:r>
          </w:p>
        </w:tc>
        <w:tc>
          <w:tcPr>
            <w:tcW w:w="4896" w:type="dxa"/>
            <w:gridSpan w:val="2"/>
            <w:vMerge/>
          </w:tcPr>
          <w:p w14:paraId="48291C1C" w14:textId="77777777" w:rsidR="00F71ACC" w:rsidRPr="0058772B" w:rsidRDefault="00F71ACC" w:rsidP="00C17596">
            <w:pPr>
              <w:spacing w:before="0"/>
              <w:ind w:left="226" w:hanging="169"/>
              <w:rPr>
                <w:rFonts w:asciiTheme="minorHAnsi" w:hAnsiTheme="minorHAnsi"/>
              </w:rPr>
            </w:pPr>
          </w:p>
        </w:tc>
      </w:tr>
      <w:tr w:rsidR="00F71ACC" w:rsidRPr="0058772B" w14:paraId="1BEC5B4F" w14:textId="77777777" w:rsidTr="00C83210">
        <w:trPr>
          <w:gridBefore w:val="1"/>
          <w:wBefore w:w="8" w:type="dxa"/>
          <w:cantSplit/>
        </w:trPr>
        <w:tc>
          <w:tcPr>
            <w:tcW w:w="1126" w:type="dxa"/>
          </w:tcPr>
          <w:p w14:paraId="6004C539" w14:textId="77777777" w:rsidR="00F71ACC" w:rsidRPr="0058772B" w:rsidRDefault="00295B1F" w:rsidP="00F71ACC">
            <w:pPr>
              <w:tabs>
                <w:tab w:val="left" w:pos="4111"/>
              </w:tabs>
              <w:spacing w:before="40" w:after="40"/>
              <w:ind w:left="57"/>
              <w:rPr>
                <w:rFonts w:asciiTheme="minorHAnsi" w:hAnsiTheme="minorHAnsi"/>
                <w:b/>
                <w:bCs/>
              </w:rPr>
            </w:pPr>
            <w:r w:rsidRPr="0058772B">
              <w:rPr>
                <w:rFonts w:asciiTheme="minorHAnsi" w:hAnsiTheme="minorHAnsi"/>
                <w:b/>
                <w:bCs/>
              </w:rPr>
              <w:t>Télécopie</w:t>
            </w:r>
            <w:r w:rsidR="00F71ACC" w:rsidRPr="0058772B">
              <w:rPr>
                <w:rFonts w:asciiTheme="minorHAnsi" w:hAnsiTheme="minorHAnsi"/>
                <w:b/>
                <w:bCs/>
              </w:rPr>
              <w:t>:</w:t>
            </w:r>
          </w:p>
        </w:tc>
        <w:tc>
          <w:tcPr>
            <w:tcW w:w="3751" w:type="dxa"/>
            <w:gridSpan w:val="2"/>
          </w:tcPr>
          <w:p w14:paraId="320F0655" w14:textId="73541531" w:rsidR="00F71ACC" w:rsidRPr="0058772B" w:rsidRDefault="00D72561" w:rsidP="00F71ACC">
            <w:pPr>
              <w:tabs>
                <w:tab w:val="left" w:pos="4111"/>
              </w:tabs>
              <w:spacing w:before="40" w:after="40"/>
              <w:ind w:left="227" w:hanging="170"/>
              <w:rPr>
                <w:rFonts w:asciiTheme="minorHAnsi" w:hAnsiTheme="minorHAnsi"/>
              </w:rPr>
            </w:pPr>
            <w:r w:rsidRPr="0058772B">
              <w:rPr>
                <w:rFonts w:cs="Calibri"/>
                <w:szCs w:val="22"/>
              </w:rPr>
              <w:t>+41 22 730 5853</w:t>
            </w:r>
          </w:p>
        </w:tc>
        <w:tc>
          <w:tcPr>
            <w:tcW w:w="4896" w:type="dxa"/>
            <w:gridSpan w:val="2"/>
            <w:vMerge/>
          </w:tcPr>
          <w:p w14:paraId="0572B091" w14:textId="77777777" w:rsidR="00F71ACC" w:rsidRPr="0058772B"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58772B" w14:paraId="0AAEE585" w14:textId="77777777" w:rsidTr="00C83210">
        <w:trPr>
          <w:gridBefore w:val="1"/>
          <w:wBefore w:w="8" w:type="dxa"/>
          <w:cantSplit/>
        </w:trPr>
        <w:tc>
          <w:tcPr>
            <w:tcW w:w="1126" w:type="dxa"/>
          </w:tcPr>
          <w:p w14:paraId="557794C1" w14:textId="77777777" w:rsidR="00F71ACC" w:rsidRPr="0058772B" w:rsidRDefault="00295B1F" w:rsidP="00F71ACC">
            <w:pPr>
              <w:tabs>
                <w:tab w:val="left" w:pos="4111"/>
              </w:tabs>
              <w:spacing w:before="40" w:after="40"/>
              <w:ind w:left="57"/>
              <w:rPr>
                <w:rFonts w:asciiTheme="minorHAnsi" w:hAnsiTheme="minorHAnsi"/>
                <w:b/>
                <w:bCs/>
              </w:rPr>
            </w:pPr>
            <w:r w:rsidRPr="0058772B">
              <w:rPr>
                <w:rFonts w:asciiTheme="minorHAnsi" w:hAnsiTheme="minorHAnsi"/>
                <w:b/>
                <w:bCs/>
              </w:rPr>
              <w:t>Courriel</w:t>
            </w:r>
            <w:r w:rsidR="00F71ACC" w:rsidRPr="0058772B">
              <w:rPr>
                <w:rFonts w:asciiTheme="minorHAnsi" w:hAnsiTheme="minorHAnsi"/>
                <w:b/>
                <w:bCs/>
              </w:rPr>
              <w:t>:</w:t>
            </w:r>
          </w:p>
        </w:tc>
        <w:tc>
          <w:tcPr>
            <w:tcW w:w="3751" w:type="dxa"/>
            <w:gridSpan w:val="2"/>
          </w:tcPr>
          <w:p w14:paraId="67928CA6" w14:textId="21C1CD69" w:rsidR="00F71ACC" w:rsidRPr="0058772B" w:rsidRDefault="004A5BE0" w:rsidP="00F71ACC">
            <w:pPr>
              <w:tabs>
                <w:tab w:val="left" w:pos="4111"/>
              </w:tabs>
              <w:spacing w:before="40" w:after="40"/>
              <w:ind w:left="227" w:hanging="170"/>
            </w:pPr>
            <w:hyperlink r:id="rId9" w:history="1">
              <w:r w:rsidR="008D6EBE" w:rsidRPr="0058772B">
                <w:rPr>
                  <w:rStyle w:val="Hyperlink"/>
                </w:rPr>
                <w:t>digitaltransformation@itu.int</w:t>
              </w:r>
            </w:hyperlink>
          </w:p>
        </w:tc>
        <w:tc>
          <w:tcPr>
            <w:tcW w:w="4896" w:type="dxa"/>
            <w:gridSpan w:val="2"/>
            <w:vMerge/>
          </w:tcPr>
          <w:p w14:paraId="7C2AA2A7" w14:textId="77777777" w:rsidR="00F71ACC" w:rsidRPr="0058772B"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8D6EBE" w:rsidRPr="0058772B" w14:paraId="4ABF8CE2" w14:textId="77777777" w:rsidTr="00C83210">
        <w:trPr>
          <w:gridBefore w:val="1"/>
          <w:wBefore w:w="8" w:type="dxa"/>
          <w:cantSplit/>
        </w:trPr>
        <w:tc>
          <w:tcPr>
            <w:tcW w:w="1126" w:type="dxa"/>
          </w:tcPr>
          <w:p w14:paraId="22F1E358" w14:textId="77777777" w:rsidR="008D6EBE" w:rsidRPr="0058772B" w:rsidRDefault="008D6EBE" w:rsidP="00F71ACC">
            <w:pPr>
              <w:tabs>
                <w:tab w:val="left" w:pos="4111"/>
              </w:tabs>
              <w:spacing w:before="40" w:after="40"/>
              <w:ind w:left="57"/>
              <w:rPr>
                <w:rFonts w:asciiTheme="minorHAnsi" w:hAnsiTheme="minorHAnsi"/>
                <w:b/>
                <w:bCs/>
              </w:rPr>
            </w:pPr>
          </w:p>
        </w:tc>
        <w:tc>
          <w:tcPr>
            <w:tcW w:w="3751" w:type="dxa"/>
            <w:gridSpan w:val="2"/>
          </w:tcPr>
          <w:p w14:paraId="34AB7DBD" w14:textId="77777777" w:rsidR="008D6EBE" w:rsidRPr="0058772B" w:rsidRDefault="008D6EBE" w:rsidP="00F71ACC">
            <w:pPr>
              <w:tabs>
                <w:tab w:val="left" w:pos="4111"/>
              </w:tabs>
              <w:spacing w:before="40" w:after="40"/>
              <w:ind w:left="227" w:hanging="170"/>
              <w:rPr>
                <w:rFonts w:asciiTheme="minorHAnsi" w:hAnsiTheme="minorHAnsi"/>
              </w:rPr>
            </w:pPr>
          </w:p>
        </w:tc>
        <w:tc>
          <w:tcPr>
            <w:tcW w:w="4896" w:type="dxa"/>
            <w:gridSpan w:val="2"/>
          </w:tcPr>
          <w:p w14:paraId="179ACE0D" w14:textId="7F148DEE" w:rsidR="008D6EBE" w:rsidRPr="0058772B" w:rsidRDefault="008D6EBE" w:rsidP="003C1522">
            <w:pPr>
              <w:pStyle w:val="Tabletext0"/>
              <w:ind w:left="283" w:hanging="204"/>
              <w:rPr>
                <w:rFonts w:asciiTheme="minorHAnsi" w:hAnsiTheme="minorHAnsi" w:cstheme="minorHAnsi"/>
                <w:sz w:val="22"/>
                <w:szCs w:val="22"/>
                <w:lang w:val="fr-FR"/>
              </w:rPr>
            </w:pPr>
            <w:r w:rsidRPr="0058772B">
              <w:rPr>
                <w:rFonts w:asciiTheme="minorHAnsi" w:hAnsiTheme="minorHAnsi" w:cstheme="minorHAnsi"/>
                <w:b/>
                <w:bCs/>
                <w:sz w:val="22"/>
                <w:szCs w:val="22"/>
                <w:lang w:val="fr-FR"/>
              </w:rPr>
              <w:t>Copie:</w:t>
            </w:r>
          </w:p>
          <w:p w14:paraId="28DF8424" w14:textId="7065F7A4" w:rsidR="008D6EBE" w:rsidRPr="0058772B" w:rsidRDefault="00C83210" w:rsidP="00C83210">
            <w:pPr>
              <w:pStyle w:val="Tabletext0"/>
              <w:tabs>
                <w:tab w:val="clear" w:pos="284"/>
              </w:tabs>
              <w:ind w:left="283" w:hanging="204"/>
              <w:rPr>
                <w:rFonts w:asciiTheme="minorHAnsi" w:hAnsiTheme="minorHAnsi" w:cstheme="minorHAnsi"/>
                <w:sz w:val="22"/>
                <w:szCs w:val="22"/>
                <w:lang w:val="fr-FR"/>
              </w:rPr>
            </w:pPr>
            <w:r w:rsidRPr="0058772B">
              <w:rPr>
                <w:rFonts w:asciiTheme="minorHAnsi" w:hAnsiTheme="minorHAnsi"/>
                <w:lang w:val="fr-FR"/>
              </w:rPr>
              <w:t>–</w:t>
            </w:r>
            <w:r w:rsidRPr="0058772B">
              <w:rPr>
                <w:rFonts w:asciiTheme="minorHAnsi" w:hAnsiTheme="minorHAnsi"/>
                <w:lang w:val="fr-FR"/>
              </w:rPr>
              <w:tab/>
            </w:r>
            <w:r w:rsidR="008D6EBE" w:rsidRPr="0058772B">
              <w:rPr>
                <w:rFonts w:asciiTheme="minorHAnsi" w:hAnsiTheme="minorHAnsi" w:cstheme="minorHAnsi"/>
                <w:sz w:val="22"/>
                <w:szCs w:val="22"/>
                <w:lang w:val="fr-FR"/>
              </w:rPr>
              <w:t>Aux Présidents et Vice-Présidents des commissions d'études;</w:t>
            </w:r>
          </w:p>
          <w:p w14:paraId="21DD347E" w14:textId="35B808F6" w:rsidR="008D6EBE" w:rsidRPr="0058772B" w:rsidRDefault="00C83210" w:rsidP="00C83210">
            <w:pPr>
              <w:pStyle w:val="Tabletext0"/>
              <w:tabs>
                <w:tab w:val="clear" w:pos="284"/>
              </w:tabs>
              <w:ind w:left="283" w:hanging="204"/>
              <w:rPr>
                <w:rFonts w:asciiTheme="minorHAnsi" w:hAnsiTheme="minorHAnsi" w:cstheme="minorHAnsi"/>
                <w:sz w:val="22"/>
                <w:szCs w:val="22"/>
                <w:lang w:val="fr-FR"/>
              </w:rPr>
            </w:pPr>
            <w:r w:rsidRPr="0058772B">
              <w:rPr>
                <w:rFonts w:asciiTheme="minorHAnsi" w:hAnsiTheme="minorHAnsi"/>
                <w:lang w:val="fr-FR"/>
              </w:rPr>
              <w:t>–</w:t>
            </w:r>
            <w:r w:rsidRPr="0058772B">
              <w:rPr>
                <w:rFonts w:asciiTheme="minorHAnsi" w:hAnsiTheme="minorHAnsi"/>
                <w:lang w:val="fr-FR"/>
              </w:rPr>
              <w:tab/>
            </w:r>
            <w:r w:rsidR="008D6EBE" w:rsidRPr="0058772B">
              <w:rPr>
                <w:rFonts w:asciiTheme="minorHAnsi" w:hAnsiTheme="minorHAnsi" w:cstheme="minorHAnsi"/>
                <w:sz w:val="22"/>
                <w:szCs w:val="22"/>
                <w:lang w:val="fr-FR"/>
              </w:rPr>
              <w:t>Au Directeur du Bureau de développement des télécommunications;</w:t>
            </w:r>
          </w:p>
          <w:p w14:paraId="32037C2D" w14:textId="12D50809" w:rsidR="008D6EBE" w:rsidRPr="0058772B" w:rsidRDefault="00C83210" w:rsidP="00C83210">
            <w:pPr>
              <w:tabs>
                <w:tab w:val="clear" w:pos="794"/>
                <w:tab w:val="clear" w:pos="1191"/>
                <w:tab w:val="clear" w:pos="1588"/>
                <w:tab w:val="clear" w:pos="1985"/>
              </w:tabs>
              <w:spacing w:before="0"/>
              <w:ind w:left="226" w:hanging="147"/>
              <w:rPr>
                <w:rFonts w:asciiTheme="minorHAnsi" w:hAnsiTheme="minorHAnsi"/>
              </w:rPr>
            </w:pPr>
            <w:r w:rsidRPr="0058772B">
              <w:rPr>
                <w:rFonts w:asciiTheme="minorHAnsi" w:hAnsiTheme="minorHAnsi"/>
              </w:rPr>
              <w:t>–</w:t>
            </w:r>
            <w:r w:rsidRPr="0058772B">
              <w:rPr>
                <w:rFonts w:asciiTheme="minorHAnsi" w:hAnsiTheme="minorHAnsi"/>
              </w:rPr>
              <w:tab/>
            </w:r>
            <w:r w:rsidR="008D6EBE" w:rsidRPr="0058772B">
              <w:rPr>
                <w:rFonts w:asciiTheme="minorHAnsi" w:hAnsiTheme="minorHAnsi" w:cstheme="minorHAnsi"/>
                <w:szCs w:val="22"/>
              </w:rPr>
              <w:t>Au Directeur du Bureau des radiocommunications</w:t>
            </w:r>
          </w:p>
        </w:tc>
      </w:tr>
      <w:tr w:rsidR="00AC5975" w:rsidRPr="0058772B" w14:paraId="010E1217" w14:textId="77777777" w:rsidTr="00C83210">
        <w:trPr>
          <w:gridBefore w:val="1"/>
          <w:wBefore w:w="8" w:type="dxa"/>
          <w:cantSplit/>
        </w:trPr>
        <w:tc>
          <w:tcPr>
            <w:tcW w:w="1126" w:type="dxa"/>
          </w:tcPr>
          <w:p w14:paraId="345CF306" w14:textId="77777777" w:rsidR="00AC5975" w:rsidRPr="0058772B" w:rsidRDefault="00AC5975" w:rsidP="00F71ACC">
            <w:pPr>
              <w:tabs>
                <w:tab w:val="left" w:pos="4111"/>
              </w:tabs>
              <w:spacing w:before="40" w:after="40"/>
              <w:ind w:left="57"/>
              <w:rPr>
                <w:rFonts w:asciiTheme="minorHAnsi" w:hAnsiTheme="minorHAnsi"/>
                <w:b/>
                <w:bCs/>
                <w:sz w:val="20"/>
              </w:rPr>
            </w:pPr>
            <w:r w:rsidRPr="0058772B">
              <w:rPr>
                <w:rFonts w:asciiTheme="minorHAnsi" w:hAnsiTheme="minorHAnsi"/>
                <w:b/>
                <w:bCs/>
              </w:rPr>
              <w:t>Objet:</w:t>
            </w:r>
          </w:p>
        </w:tc>
        <w:tc>
          <w:tcPr>
            <w:tcW w:w="8647" w:type="dxa"/>
            <w:gridSpan w:val="4"/>
          </w:tcPr>
          <w:p w14:paraId="6CE3FA81" w14:textId="06F9D0F8" w:rsidR="00AC5975" w:rsidRPr="0058772B" w:rsidRDefault="00C83210" w:rsidP="00F71ACC">
            <w:pPr>
              <w:tabs>
                <w:tab w:val="left" w:pos="4111"/>
              </w:tabs>
              <w:spacing w:before="40" w:after="40"/>
              <w:ind w:left="57"/>
              <w:rPr>
                <w:rFonts w:asciiTheme="minorHAnsi" w:hAnsiTheme="minorHAnsi"/>
              </w:rPr>
            </w:pPr>
            <w:r w:rsidRPr="0058772B">
              <w:rPr>
                <w:rFonts w:asciiTheme="minorHAnsi" w:hAnsiTheme="minorHAnsi"/>
                <w:b/>
                <w:bCs/>
              </w:rPr>
              <w:t>Série de webinaires sur la transformation numérique</w:t>
            </w:r>
            <w:r w:rsidRPr="0058772B">
              <w:rPr>
                <w:rFonts w:asciiTheme="minorHAnsi" w:hAnsiTheme="minorHAnsi"/>
                <w:b/>
                <w:bCs/>
              </w:rPr>
              <w:br/>
              <w:t>(réunions entièrement virtuelles)</w:t>
            </w:r>
          </w:p>
        </w:tc>
      </w:tr>
    </w:tbl>
    <w:p w14:paraId="13D8AD23" w14:textId="77777777" w:rsidR="00AC5975" w:rsidRPr="0058772B" w:rsidRDefault="00AC5975" w:rsidP="00C17596">
      <w:pPr>
        <w:pStyle w:val="ITUintr"/>
        <w:tabs>
          <w:tab w:val="clear" w:pos="737"/>
          <w:tab w:val="clear" w:pos="1134"/>
          <w:tab w:val="left" w:pos="794"/>
        </w:tabs>
        <w:spacing w:before="120"/>
        <w:ind w:right="92"/>
        <w:rPr>
          <w:rFonts w:asciiTheme="minorHAnsi" w:hAnsiTheme="minorHAnsi"/>
          <w:sz w:val="22"/>
          <w:szCs w:val="18"/>
        </w:rPr>
      </w:pPr>
      <w:r w:rsidRPr="0058772B">
        <w:rPr>
          <w:rFonts w:asciiTheme="minorHAnsi" w:hAnsiTheme="minorHAnsi"/>
          <w:sz w:val="22"/>
          <w:szCs w:val="18"/>
        </w:rPr>
        <w:t>Madame, Monsieur,</w:t>
      </w:r>
    </w:p>
    <w:p w14:paraId="07D0D053" w14:textId="4A41058D" w:rsidR="00C83210" w:rsidRPr="0058772B" w:rsidRDefault="00C83210" w:rsidP="00C83210">
      <w:bookmarkStart w:id="0" w:name="suitetext"/>
      <w:bookmarkEnd w:id="0"/>
      <w:r w:rsidRPr="0058772B">
        <w:t>1</w:t>
      </w:r>
      <w:r w:rsidRPr="0058772B">
        <w:tab/>
        <w:t xml:space="preserve">Consciente de l'importance des technologies numériques pour favoriser la croissance économique, le développement social et la durabilité, l'Union internationale des télécommunications (UIT) s'est notamment fixé l'objectif stratégique d'appuyer la transformation numérique. En vue d'atteindre cet objectif, l'UIT, en collaboration avec d'autres organisations et institutions des Nations Unies, organise une série de webinaires sur la </w:t>
      </w:r>
      <w:r w:rsidRPr="0058772B">
        <w:rPr>
          <w:b/>
          <w:bCs/>
        </w:rPr>
        <w:t>transformation numérique</w:t>
      </w:r>
      <w:r w:rsidRPr="0058772B">
        <w:t xml:space="preserve">. Cette série de webinaires vise à aborder de nouveaux sujets liés à la transformation numérique, à faciliter la collaboration entre les parties prenantes et à étudier le rôle de la normalisation dans ce processus. Elle met en lumière l'engagement de l'UIT afin d'accélérer la transformation numérique partout dans le monde et offre également un nouveau cadre permettant de mettre en avant les travaux et les résultats les plus récents de la </w:t>
      </w:r>
      <w:hyperlink r:id="rId10" w:history="1">
        <w:r w:rsidR="003C1522" w:rsidRPr="0058772B">
          <w:rPr>
            <w:rStyle w:val="Hyperlink"/>
          </w:rPr>
          <w:t>Commission d'études 20 de l'UIT-T chargée d'étudier "l'Internet des objets (IoT) et les villes et les communautés intelligentes (SC&amp;C)"</w:t>
        </w:r>
      </w:hyperlink>
      <w:r w:rsidRPr="0058772B">
        <w:t>.</w:t>
      </w:r>
    </w:p>
    <w:p w14:paraId="70D4BA12" w14:textId="77777777" w:rsidR="00C83210" w:rsidRPr="0058772B" w:rsidRDefault="00C83210" w:rsidP="00C83210">
      <w:r w:rsidRPr="0058772B">
        <w:t>2</w:t>
      </w:r>
      <w:r w:rsidRPr="0058772B">
        <w:tab/>
        <w:t>Les objectifs de ces épisode sont les suivants:</w:t>
      </w:r>
    </w:p>
    <w:p w14:paraId="209E7973" w14:textId="7AEB8752" w:rsidR="00C83210" w:rsidRPr="0058772B" w:rsidRDefault="00C83210" w:rsidP="00C83210">
      <w:pPr>
        <w:pStyle w:val="enumlev1"/>
      </w:pPr>
      <w:r w:rsidRPr="0058772B">
        <w:t>–</w:t>
      </w:r>
      <w:r w:rsidRPr="0058772B">
        <w:tab/>
      </w:r>
      <w:r w:rsidR="003C1522" w:rsidRPr="0058772B">
        <w:t>é</w:t>
      </w:r>
      <w:r w:rsidRPr="0058772B">
        <w:t>tudier le rôle grandissant que joue la transformation numérique pour favoriser l'innovation, la croissance durable et l'inclusion</w:t>
      </w:r>
      <w:r w:rsidR="003C1522" w:rsidRPr="0058772B">
        <w:t>;</w:t>
      </w:r>
    </w:p>
    <w:p w14:paraId="7AA5EC44" w14:textId="2B3D9AC4" w:rsidR="00C83210" w:rsidRPr="0058772B" w:rsidRDefault="00C83210" w:rsidP="00C83210">
      <w:pPr>
        <w:pStyle w:val="enumlev1"/>
      </w:pPr>
      <w:r w:rsidRPr="0058772B">
        <w:t>–</w:t>
      </w:r>
      <w:r w:rsidRPr="0058772B">
        <w:tab/>
      </w:r>
      <w:r w:rsidR="003C1522" w:rsidRPr="0058772B">
        <w:t>p</w:t>
      </w:r>
      <w:r w:rsidRPr="0058772B">
        <w:t>romouvoir la transformation numérique de manière globale dans tous les secteurs</w:t>
      </w:r>
      <w:r w:rsidR="003C1522" w:rsidRPr="0058772B">
        <w:t>;</w:t>
      </w:r>
    </w:p>
    <w:p w14:paraId="4A65F572" w14:textId="10C303FE" w:rsidR="00C83210" w:rsidRPr="0058772B" w:rsidRDefault="00C83210" w:rsidP="00C83210">
      <w:pPr>
        <w:pStyle w:val="enumlev1"/>
      </w:pPr>
      <w:r w:rsidRPr="0058772B">
        <w:t>–</w:t>
      </w:r>
      <w:r w:rsidRPr="0058772B">
        <w:tab/>
      </w:r>
      <w:r w:rsidR="003C1522" w:rsidRPr="0058772B">
        <w:t>e</w:t>
      </w:r>
      <w:r w:rsidRPr="0058772B">
        <w:t>xaminer le rôle que jouent les normes dans l'accélération de la transformation numérique.</w:t>
      </w:r>
    </w:p>
    <w:p w14:paraId="54530FCB" w14:textId="77777777" w:rsidR="00C83210" w:rsidRPr="0058772B" w:rsidRDefault="00C83210" w:rsidP="00C83210">
      <w:r w:rsidRPr="0058772B">
        <w:t>3</w:t>
      </w:r>
      <w:r w:rsidRPr="0058772B">
        <w:tab/>
        <w:t>Les épisodes permettront de partager les enseignements tirés par les parties prenantes et serviront de plate-forme pour présenter les normes, les lignes directrices et les publications de l'UIT. Les épisodes suivants sont prévus:</w:t>
      </w:r>
    </w:p>
    <w:p w14:paraId="5192D85D" w14:textId="4278CF07" w:rsidR="00C83210" w:rsidRPr="0058772B" w:rsidRDefault="00C83210" w:rsidP="00C83210">
      <w:pPr>
        <w:pStyle w:val="enumlev1"/>
      </w:pPr>
      <w:r w:rsidRPr="0058772B">
        <w:t>a)</w:t>
      </w:r>
      <w:r w:rsidRPr="0058772B">
        <w:tab/>
        <w:t xml:space="preserve">L'épisode sur le thème </w:t>
      </w:r>
      <w:r w:rsidRPr="0058772B">
        <w:rPr>
          <w:b/>
          <w:bCs/>
        </w:rPr>
        <w:t>Transformation numérique et mobilité: ouvrir la voie à la sécurité routière</w:t>
      </w:r>
      <w:r w:rsidRPr="0058772B">
        <w:t xml:space="preserve"> se tiendra le 14 juin 2023. Il portera sur la manière dont les technologies modernes, telles que l'intelligence artificielle (IA), l'Internet des objets (IoT) ou les jumeaux numériques, sont appliquées aujourd'hui pour améliorer les différents niveaux de conduite autonome définis par la Society of Automotive Engineers (SAE) et, partant, transformer en profondeur la mobilité intelligente.</w:t>
      </w:r>
      <w:bookmarkStart w:id="1" w:name="_Hlk77322389"/>
      <w:bookmarkEnd w:id="1"/>
    </w:p>
    <w:p w14:paraId="24A695AE" w14:textId="77777777" w:rsidR="00582C67" w:rsidRPr="0058772B" w:rsidRDefault="00C83210" w:rsidP="00C83210">
      <w:pPr>
        <w:pStyle w:val="enumlev1"/>
      </w:pPr>
      <w:r w:rsidRPr="0058772B">
        <w:t>b)</w:t>
      </w:r>
      <w:r w:rsidRPr="0058772B">
        <w:tab/>
        <w:t xml:space="preserve">L'épisode sur le thème </w:t>
      </w:r>
      <w:r w:rsidRPr="0058772B">
        <w:rPr>
          <w:b/>
          <w:bCs/>
        </w:rPr>
        <w:t>Transformation numérique et tests: bancs d'essai fédérés en tant que service</w:t>
      </w:r>
      <w:r w:rsidRPr="0058772B">
        <w:t xml:space="preserve"> est prévu le 21 juin 2023. Il visera à répondre à une question essentielle, à savoir si les activités de test peuvent passer à des environnements virtuels et si les tests en tant que service fondés sur des bancs de tests fédérés peuvent permettre d'accélérer la mise sur le marché des produits et des services. Cet </w:t>
      </w:r>
      <w:r w:rsidR="00582C67" w:rsidRPr="0058772B">
        <w:br w:type="page"/>
      </w:r>
    </w:p>
    <w:p w14:paraId="098345AD" w14:textId="13E7F65A" w:rsidR="00C83210" w:rsidRPr="0058772B" w:rsidRDefault="00C83210" w:rsidP="00D72561">
      <w:pPr>
        <w:pStyle w:val="enumlev1"/>
        <w:ind w:firstLine="0"/>
      </w:pPr>
      <w:r w:rsidRPr="0058772B">
        <w:lastRenderedPageBreak/>
        <w:t xml:space="preserve">épisode sera en outre l'occasion d'examiner l'écosystème des bancs d'essai dans sa forme actuelle, avec des cas d'utilisation existants, et d'expliquer de quelle manière le cadre pour les bancs d'essai fédérés défini dans la Recommandation </w:t>
      </w:r>
      <w:hyperlink r:id="rId11" w:history="1">
        <w:r w:rsidRPr="0058772B">
          <w:rPr>
            <w:rStyle w:val="Hyperlink"/>
          </w:rPr>
          <w:t>UIT-T Q.4068</w:t>
        </w:r>
      </w:hyperlink>
      <w:r w:rsidRPr="0058772B">
        <w:t xml:space="preserve"> pourrait contribuer à relever ce défi.</w:t>
      </w:r>
    </w:p>
    <w:p w14:paraId="0C14A1D1" w14:textId="1DA53869" w:rsidR="00C83210" w:rsidRPr="0058772B" w:rsidRDefault="00C83210" w:rsidP="00C83210">
      <w:pPr>
        <w:pStyle w:val="enumlev1"/>
      </w:pPr>
      <w:r w:rsidRPr="0058772B">
        <w:t>c)</w:t>
      </w:r>
      <w:r w:rsidRPr="0058772B">
        <w:tab/>
        <w:t xml:space="preserve">L'épisode sur le thème </w:t>
      </w:r>
      <w:r w:rsidRPr="0058772B">
        <w:rPr>
          <w:b/>
          <w:bCs/>
        </w:rPr>
        <w:t>Utilisation éthique des technologies pour les animaux: la transformation numérique est-elle juste dans les domaines de l'élevage et de la préservation de la biodiversité</w:t>
      </w:r>
      <w:r w:rsidRPr="0058772B">
        <w:t xml:space="preserve"> est prévu le 26 juillet 2023. Cet épisode visera à répondre à la question suivante: quelles sont les répercussions de nos actions à l'ère du numérique sur les êtres vivants autres que les hommes? Comment garantir l'utilisation éthique des technologies émergentes telles que l'intelligence artificielle, l'Internet des objets ou les jumeaux numériques dans les domaines de l'agriculture et de la préservation de la biodiversité?</w:t>
      </w:r>
    </w:p>
    <w:p w14:paraId="0E908999" w14:textId="087ED389" w:rsidR="00C83210" w:rsidRPr="0058772B" w:rsidRDefault="00C83210" w:rsidP="00C83210">
      <w:pPr>
        <w:pStyle w:val="enumlev1"/>
      </w:pPr>
      <w:r w:rsidRPr="0058772B">
        <w:t>d)</w:t>
      </w:r>
      <w:r w:rsidRPr="0058772B">
        <w:tab/>
        <w:t xml:space="preserve">L'épisode sur le thème </w:t>
      </w:r>
      <w:r w:rsidRPr="0058772B">
        <w:rPr>
          <w:b/>
          <w:bCs/>
        </w:rPr>
        <w:t>Décennie d'action sur le v</w:t>
      </w:r>
      <w:r w:rsidR="00582C67" w:rsidRPr="0058772B">
        <w:rPr>
          <w:b/>
          <w:bCs/>
        </w:rPr>
        <w:t>i</w:t>
      </w:r>
      <w:r w:rsidRPr="0058772B">
        <w:rPr>
          <w:b/>
          <w:bCs/>
        </w:rPr>
        <w:t>eillissement en bonne santé: le rôle des technologies numériques</w:t>
      </w:r>
      <w:r w:rsidRPr="0058772B">
        <w:t xml:space="preserve"> est programmé le 22 août 2023. La prochaine décennie offre une occasion unique de mettre à profit les technologies numériques pour promouvoir le vieillissement en bonne santé. Lors de ce webinaire, nous examinerons le rôle que jouent les technologies numériques pour promouvoir un vieillissement en bonne santé et nous nous interrogerons sur la manière d'utiliser ces technologies pour mettre en </w:t>
      </w:r>
      <w:r w:rsidR="003C1522" w:rsidRPr="0058772B">
        <w:t>œuvre</w:t>
      </w:r>
      <w:r w:rsidRPr="0058772B">
        <w:t xml:space="preserve"> des stratégies de traitement et de prévention et aider les personnes à vivre plus longtemps avec une meilleure qualité de vie.</w:t>
      </w:r>
    </w:p>
    <w:p w14:paraId="59FB6EAC" w14:textId="0485E3AC" w:rsidR="00C83210" w:rsidRPr="0058772B" w:rsidRDefault="00C83210" w:rsidP="00C83210">
      <w:pPr>
        <w:pStyle w:val="enumlev1"/>
      </w:pPr>
      <w:r w:rsidRPr="0058772B">
        <w:t>e)</w:t>
      </w:r>
      <w:r w:rsidRPr="0058772B">
        <w:tab/>
        <w:t xml:space="preserve">L'épisode sur le thème </w:t>
      </w:r>
      <w:r w:rsidRPr="0058772B">
        <w:rPr>
          <w:b/>
          <w:bCs/>
        </w:rPr>
        <w:t>ChatGPT: les risques et les avantage de l'IA générative dans les villes</w:t>
      </w:r>
      <w:r w:rsidRPr="0058772B">
        <w:t xml:space="preserve"> se tiendra le 4 septembre 2023. Cet épisode portera sur l'application croissante de l'intelligence artificielle générative dans les villes et offrira en outre l'occasion de réfléchir à la manière de concilier les questions d'éthique et de transparence liées à cette technologie dans tous les secteurs, y compris dans ceux de la santé et de l'éducation.</w:t>
      </w:r>
    </w:p>
    <w:p w14:paraId="1DD1B040" w14:textId="31682E72" w:rsidR="00C83210" w:rsidRPr="0058772B" w:rsidRDefault="00C83210" w:rsidP="00C83210">
      <w:pPr>
        <w:pStyle w:val="enumlev1"/>
      </w:pPr>
      <w:r w:rsidRPr="0058772B">
        <w:t>f)</w:t>
      </w:r>
      <w:r w:rsidRPr="0058772B">
        <w:tab/>
        <w:t xml:space="preserve">L'épisode sur le thème </w:t>
      </w:r>
      <w:r w:rsidRPr="0058772B">
        <w:rPr>
          <w:b/>
          <w:bCs/>
        </w:rPr>
        <w:t>Tourisme numérique: rapprocher les communautés et les destinations</w:t>
      </w:r>
      <w:r w:rsidRPr="0058772B">
        <w:t xml:space="preserve"> est prévu le 27 septembre 2023. Cet épisode traitera des incidences qu'ont les technologies émergentes sur le tourisme dans les villes et mettra en avant les stratégies clés que doivent suivre les villes pour utiliser les technologies numériques afin d'améliorer la qualité des services offerts aux touristes et de réduire les délais et les coûts des services liés au tourisme.</w:t>
      </w:r>
    </w:p>
    <w:p w14:paraId="10635315" w14:textId="65622298" w:rsidR="00C83210" w:rsidRPr="0058772B" w:rsidRDefault="00C83210" w:rsidP="00C83210">
      <w:pPr>
        <w:pStyle w:val="enumlev1"/>
      </w:pPr>
      <w:r w:rsidRPr="0058772B">
        <w:t>g)</w:t>
      </w:r>
      <w:r w:rsidRPr="0058772B">
        <w:tab/>
        <w:t xml:space="preserve">L'épisode sur le thème </w:t>
      </w:r>
      <w:r w:rsidRPr="0058772B">
        <w:rPr>
          <w:b/>
          <w:bCs/>
        </w:rPr>
        <w:t>Mettre le métavers au goût du jour pour accélérer</w:t>
      </w:r>
      <w:r w:rsidR="00020E27">
        <w:rPr>
          <w:b/>
          <w:bCs/>
        </w:rPr>
        <w:t xml:space="preserve"> la transformation numérique</w:t>
      </w:r>
      <w:r w:rsidRPr="0058772B">
        <w:rPr>
          <w:b/>
          <w:bCs/>
        </w:rPr>
        <w:t>: ce qui est passé de mode</w:t>
      </w:r>
      <w:r w:rsidRPr="0058772B">
        <w:t xml:space="preserve"> est prévu le 2 octobre 2023. Cet épisode offrira un aperçu de la manière dont le secteur de la mode ouvre aujourd'hui grand la porte au métavers pour améliorer les processus commerciaux et de vente au détail ainsi que l'expérience client dans l'ensemble de ses chaînes de valeur.</w:t>
      </w:r>
    </w:p>
    <w:p w14:paraId="4D76F936" w14:textId="7FBC0095" w:rsidR="00C83210" w:rsidRPr="0058772B" w:rsidRDefault="00C83210" w:rsidP="00C83210">
      <w:pPr>
        <w:pStyle w:val="enumlev1"/>
      </w:pPr>
      <w:r w:rsidRPr="0058772B">
        <w:t>h)</w:t>
      </w:r>
      <w:r w:rsidRPr="0058772B">
        <w:tab/>
        <w:t xml:space="preserve">L'épisode sur le thème </w:t>
      </w:r>
      <w:r w:rsidRPr="0058772B">
        <w:rPr>
          <w:b/>
          <w:bCs/>
        </w:rPr>
        <w:t>Réduction des risques de catastrophe à l'ère de la transformation numérique</w:t>
      </w:r>
      <w:r w:rsidRPr="0058772B">
        <w:t xml:space="preserve"> se tiendra le 13 octobre 2023. Cet épisode encouragera la prise de décisions fondées sur des données factuelles pour les stratégies de réduction des risques de catastrophe grâce à l'adoption de technologies telles que l'intelligence artificielle, l'Internet des objets, les jumeaux numériques et même le métavers.</w:t>
      </w:r>
    </w:p>
    <w:p w14:paraId="68436960" w14:textId="5A64A76A" w:rsidR="00C83210" w:rsidRPr="0058772B" w:rsidRDefault="00C83210" w:rsidP="00C83210">
      <w:pPr>
        <w:pStyle w:val="enumlev1"/>
      </w:pPr>
      <w:r w:rsidRPr="0058772B">
        <w:t>i)</w:t>
      </w:r>
      <w:r w:rsidRPr="0058772B">
        <w:tab/>
        <w:t xml:space="preserve">L'épisode sur le thème </w:t>
      </w:r>
      <w:r w:rsidRPr="0058772B">
        <w:rPr>
          <w:b/>
          <w:bCs/>
        </w:rPr>
        <w:t>Journée mondiale des villes: la transformation numérique pour mieux vivre en ville</w:t>
      </w:r>
      <w:r w:rsidRPr="0058772B">
        <w:t xml:space="preserve"> est programmé le 31 octobre 2023. Cet épisode sera consacré à la façon dont la transformation numérique peut contribuer à améliorer l'adaptabilité et l'évolutivité des villes pour faciliter la fourniture de services collectifs tout en renforçant l'efficacité de fonctionnement.</w:t>
      </w:r>
    </w:p>
    <w:p w14:paraId="7D2E8321" w14:textId="04E0846D" w:rsidR="00C83210" w:rsidRPr="0058772B" w:rsidRDefault="00C83210" w:rsidP="00C83210">
      <w:pPr>
        <w:pStyle w:val="enumlev1"/>
      </w:pPr>
      <w:r w:rsidRPr="0058772B">
        <w:t>j)</w:t>
      </w:r>
      <w:r w:rsidRPr="0058772B">
        <w:tab/>
        <w:t>L'épisode sur le thème</w:t>
      </w:r>
      <w:r w:rsidRPr="0058772B">
        <w:rPr>
          <w:b/>
          <w:bCs/>
        </w:rPr>
        <w:t xml:space="preserve"> La transformation numérique dans l'industrie pharmaceutique</w:t>
      </w:r>
      <w:r w:rsidRPr="0058772B">
        <w:t xml:space="preserve"> se tiendra le</w:t>
      </w:r>
      <w:r w:rsidR="00582C67" w:rsidRPr="0058772B">
        <w:t> </w:t>
      </w:r>
      <w:r w:rsidRPr="0058772B">
        <w:t>14</w:t>
      </w:r>
      <w:r w:rsidR="00582C67" w:rsidRPr="0058772B">
        <w:t> </w:t>
      </w:r>
      <w:r w:rsidRPr="0058772B">
        <w:t>novembre 2023. Cet épisode portera sur le changement de paradigme qu'a connu l'industrie pharmaceutique après le COVID-19, alors que le monde abandonne progressivement le modèle traditionnel de fonctionnement de la chaîne de valeur pharmaceutique au profit de la transformation numérique pour répondre à ses besoins médicaux.</w:t>
      </w:r>
    </w:p>
    <w:p w14:paraId="7C698178" w14:textId="55B9130E" w:rsidR="00C83210" w:rsidRPr="0058772B" w:rsidRDefault="00C83210" w:rsidP="00C83210">
      <w:pPr>
        <w:pStyle w:val="enumlev1"/>
      </w:pPr>
      <w:r w:rsidRPr="0058772B">
        <w:t>k)</w:t>
      </w:r>
      <w:r w:rsidRPr="0058772B">
        <w:tab/>
        <w:t xml:space="preserve">L'épisode sur le thème </w:t>
      </w:r>
      <w:r w:rsidRPr="0058772B">
        <w:rPr>
          <w:b/>
          <w:bCs/>
        </w:rPr>
        <w:t>Des bâtiments en action: lorsque technologies intelligentes pour la transformation numérique et villes durables se rejoignent</w:t>
      </w:r>
      <w:r w:rsidRPr="0058772B">
        <w:t xml:space="preserve"> se tiendra le 28 novembre 2023. Cet épisode visera à présenter les ressources essentielles disponibles pour appuyer la transformation numérique durable dans le secteur de la construction, afin de faciliter l'utilisation efficace des ressources en mettant à profit les technologies émergentes.</w:t>
      </w:r>
    </w:p>
    <w:p w14:paraId="7698DBCA" w14:textId="33C2BBA1" w:rsidR="00C83210" w:rsidRPr="0058772B" w:rsidRDefault="00C83210" w:rsidP="00582C67">
      <w:pPr>
        <w:pStyle w:val="enumlev1"/>
        <w:keepLines/>
      </w:pPr>
      <w:r w:rsidRPr="0058772B">
        <w:lastRenderedPageBreak/>
        <w:t>l)</w:t>
      </w:r>
      <w:r w:rsidRPr="0058772B">
        <w:tab/>
        <w:t xml:space="preserve">L'épisode sur le thème </w:t>
      </w:r>
      <w:r w:rsidRPr="0058772B">
        <w:rPr>
          <w:b/>
          <w:bCs/>
        </w:rPr>
        <w:t>Mettre la transformation numérique au service de la fabrication intelligente</w:t>
      </w:r>
      <w:r w:rsidRPr="0058772B">
        <w:t xml:space="preserve"> est programmé le 12 décembre 2023. Cet épisode sera l'occasion de se pencher sur la nature complexe de la transformation numérique dans le contexte de la fabrication et d'examiner les tendances en ce qui concerne la demande des clients et la concurrence sur le marché, afin de mieux comprendre les avantages et les risques associés au processus.</w:t>
      </w:r>
    </w:p>
    <w:p w14:paraId="474AA7CF" w14:textId="77777777" w:rsidR="00C83210" w:rsidRPr="0058772B" w:rsidRDefault="00C83210" w:rsidP="00C83210">
      <w:pPr>
        <w:rPr>
          <w:rFonts w:asciiTheme="minorHAnsi" w:hAnsiTheme="minorHAnsi" w:cstheme="minorHAnsi"/>
          <w:szCs w:val="22"/>
        </w:rPr>
      </w:pPr>
      <w:r w:rsidRPr="0058772B">
        <w:rPr>
          <w:rFonts w:asciiTheme="minorHAnsi" w:hAnsiTheme="minorHAnsi" w:cstheme="minorHAnsi"/>
          <w:szCs w:val="22"/>
        </w:rPr>
        <w:t>4</w:t>
      </w:r>
      <w:r w:rsidRPr="0058772B">
        <w:rPr>
          <w:rFonts w:asciiTheme="minorHAnsi" w:hAnsiTheme="minorHAnsi" w:cstheme="minorHAnsi"/>
          <w:szCs w:val="22"/>
        </w:rPr>
        <w:tab/>
        <w:t>La participation aux épisodes est ouverte aux États Membres, aux Membres de Secteur et aux Associés de l'UIT ainsi qu'aux établissements universitaires participant aux travaux de l'UIT, et à toute personne issue d'un pays membre de l'UIT qui souhaite contribuer aux travaux. Il peut s'agir de personnes qui sont aussi membres d'organisations internationales, régionales ou nationales. La participation est gratuite.</w:t>
      </w:r>
    </w:p>
    <w:p w14:paraId="16148D6A" w14:textId="07FC6E98" w:rsidR="00C83210" w:rsidRPr="0058772B" w:rsidRDefault="00C83210" w:rsidP="00C83210">
      <w:pPr>
        <w:rPr>
          <w:rFonts w:asciiTheme="minorHAnsi" w:hAnsiTheme="minorHAnsi" w:cstheme="minorHAnsi"/>
          <w:szCs w:val="22"/>
        </w:rPr>
      </w:pPr>
      <w:r w:rsidRPr="0058772B">
        <w:rPr>
          <w:rFonts w:asciiTheme="minorHAnsi" w:hAnsiTheme="minorHAnsi" w:cstheme="minorHAnsi"/>
          <w:szCs w:val="22"/>
        </w:rPr>
        <w:t>5</w:t>
      </w:r>
      <w:r w:rsidRPr="0058772B">
        <w:rPr>
          <w:rFonts w:asciiTheme="minorHAnsi" w:hAnsiTheme="minorHAnsi" w:cstheme="minorHAnsi"/>
          <w:szCs w:val="22"/>
        </w:rPr>
        <w:tab/>
        <w:t xml:space="preserve">Des informations relatives à ces épisodes, y compris le projet de programme, les intervenants et le lien pour l'inscription, seront publiées sur les pages web des différents épisodes accessibles depuis la page d'accueil principale à l'adresse </w:t>
      </w:r>
      <w:hyperlink r:id="rId12" w:history="1">
        <w:r w:rsidRPr="0058772B">
          <w:rPr>
            <w:rStyle w:val="Hyperlink"/>
            <w:rFonts w:asciiTheme="minorHAnsi" w:hAnsiTheme="minorHAnsi" w:cstheme="minorHAnsi"/>
            <w:szCs w:val="22"/>
          </w:rPr>
          <w:t>https://www.itu.int/cities/standards4dt/</w:t>
        </w:r>
      </w:hyperlink>
      <w:r w:rsidRPr="0058772B">
        <w:rPr>
          <w:rFonts w:asciiTheme="minorHAnsi" w:hAnsiTheme="minorHAnsi" w:cstheme="minorHAnsi"/>
          <w:szCs w:val="22"/>
        </w:rPr>
        <w:t>.</w:t>
      </w:r>
    </w:p>
    <w:p w14:paraId="2D81CD7D" w14:textId="77777777" w:rsidR="00C83210" w:rsidRPr="0058772B" w:rsidRDefault="00C83210" w:rsidP="00C83210">
      <w:pPr>
        <w:tabs>
          <w:tab w:val="left" w:pos="709"/>
        </w:tabs>
        <w:rPr>
          <w:rFonts w:asciiTheme="minorHAnsi" w:hAnsiTheme="minorHAnsi" w:cstheme="minorHAnsi"/>
          <w:szCs w:val="22"/>
        </w:rPr>
      </w:pPr>
      <w:r w:rsidRPr="0058772B">
        <w:rPr>
          <w:rFonts w:asciiTheme="minorHAnsi" w:hAnsiTheme="minorHAnsi" w:cstheme="minorHAnsi"/>
          <w:szCs w:val="22"/>
        </w:rPr>
        <w:t>Ces sites web seront régulièrement actualisés à mesure que parviendront des informations nouvelles ou modifiées. Il est recommandé aux participants de consulter régulièrement les pages web relatives aux épisodes pour prendre connaissance des dernières informations.</w:t>
      </w:r>
    </w:p>
    <w:p w14:paraId="67B4EDCE" w14:textId="0DD6491A" w:rsidR="00C83210" w:rsidRPr="0058772B" w:rsidRDefault="00C83210" w:rsidP="00C83210">
      <w:pPr>
        <w:tabs>
          <w:tab w:val="left" w:pos="709"/>
        </w:tabs>
        <w:rPr>
          <w:rFonts w:asciiTheme="minorHAnsi" w:hAnsiTheme="minorHAnsi" w:cstheme="minorHAnsi"/>
          <w:szCs w:val="22"/>
        </w:rPr>
      </w:pPr>
      <w:r w:rsidRPr="0058772B">
        <w:rPr>
          <w:rFonts w:asciiTheme="minorHAnsi" w:hAnsiTheme="minorHAnsi" w:cstheme="minorHAnsi"/>
          <w:szCs w:val="22"/>
        </w:rPr>
        <w:t>6</w:t>
      </w:r>
      <w:r w:rsidRPr="0058772B">
        <w:rPr>
          <w:rFonts w:asciiTheme="minorHAnsi" w:hAnsiTheme="minorHAnsi" w:cstheme="minorHAnsi"/>
          <w:szCs w:val="22"/>
        </w:rPr>
        <w:tab/>
        <w:t xml:space="preserve">L'inscription en ligne est obligatoire pour tous les participants. Des informations supplémentaires concernant l'inscription seront publiées sur la </w:t>
      </w:r>
      <w:hyperlink r:id="rId13" w:history="1">
        <w:r w:rsidRPr="0058772B">
          <w:rPr>
            <w:rStyle w:val="Hyperlink"/>
            <w:rFonts w:asciiTheme="minorHAnsi" w:hAnsiTheme="minorHAnsi" w:cstheme="minorHAnsi"/>
            <w:szCs w:val="22"/>
          </w:rPr>
          <w:t>page d'accueil principale</w:t>
        </w:r>
      </w:hyperlink>
      <w:r w:rsidRPr="0058772B">
        <w:rPr>
          <w:rFonts w:asciiTheme="minorHAnsi" w:hAnsiTheme="minorHAnsi" w:cstheme="minorHAnsi"/>
          <w:szCs w:val="22"/>
        </w:rPr>
        <w:t xml:space="preserve"> de la série de webinaires.</w:t>
      </w:r>
    </w:p>
    <w:p w14:paraId="2313D6EC" w14:textId="51738E36" w:rsidR="00C83210" w:rsidRPr="0058772B" w:rsidRDefault="00C83210" w:rsidP="00C83210">
      <w:pPr>
        <w:rPr>
          <w:rFonts w:asciiTheme="minorHAnsi" w:hAnsiTheme="minorHAnsi" w:cstheme="minorHAnsi"/>
          <w:szCs w:val="22"/>
        </w:rPr>
      </w:pPr>
      <w:r w:rsidRPr="0058772B">
        <w:rPr>
          <w:rFonts w:asciiTheme="minorHAnsi" w:hAnsiTheme="minorHAnsi" w:cstheme="minorHAnsi"/>
          <w:szCs w:val="22"/>
        </w:rPr>
        <w:t>7</w:t>
      </w:r>
      <w:r w:rsidRPr="0058772B">
        <w:rPr>
          <w:rFonts w:asciiTheme="minorHAnsi" w:hAnsiTheme="minorHAnsi" w:cstheme="minorHAnsi"/>
          <w:szCs w:val="22"/>
        </w:rPr>
        <w:tab/>
        <w:t xml:space="preserve">Tous les précédents épisodes de cette </w:t>
      </w:r>
      <w:r w:rsidRPr="0058772B">
        <w:rPr>
          <w:rFonts w:asciiTheme="minorHAnsi" w:hAnsiTheme="minorHAnsi" w:cstheme="minorHAnsi"/>
          <w:b/>
          <w:bCs/>
          <w:szCs w:val="22"/>
        </w:rPr>
        <w:t>série de webinaires sur la transformation numérique</w:t>
      </w:r>
      <w:r w:rsidRPr="0058772B">
        <w:rPr>
          <w:rFonts w:asciiTheme="minorHAnsi" w:hAnsiTheme="minorHAnsi" w:cstheme="minorHAnsi"/>
          <w:szCs w:val="22"/>
        </w:rPr>
        <w:t xml:space="preserve"> sont disponibles sur la page d'accueil principale </w:t>
      </w:r>
      <w:hyperlink r:id="rId14" w:history="1">
        <w:r w:rsidRPr="0058772B">
          <w:rPr>
            <w:rStyle w:val="Hyperlink"/>
            <w:rFonts w:asciiTheme="minorHAnsi" w:hAnsiTheme="minorHAnsi" w:cstheme="minorHAnsi"/>
            <w:szCs w:val="22"/>
          </w:rPr>
          <w:t>ici</w:t>
        </w:r>
      </w:hyperlink>
      <w:r w:rsidRPr="0058772B">
        <w:rPr>
          <w:rFonts w:asciiTheme="minorHAnsi" w:hAnsiTheme="minorHAnsi" w:cstheme="minorHAnsi"/>
          <w:szCs w:val="22"/>
        </w:rPr>
        <w:t>.</w:t>
      </w:r>
    </w:p>
    <w:p w14:paraId="580C761F" w14:textId="5E9EB5FF" w:rsidR="00815A6F" w:rsidRPr="0058772B" w:rsidRDefault="004A5BE0" w:rsidP="00815A6F">
      <w:pPr>
        <w:spacing w:after="600"/>
        <w:rPr>
          <w:rFonts w:asciiTheme="minorHAnsi" w:hAnsiTheme="minorHAnsi"/>
        </w:rPr>
      </w:pPr>
      <w:r>
        <w:rPr>
          <w:rFonts w:asciiTheme="minorHAnsi" w:hAnsiTheme="minorHAnsi"/>
          <w:noProof/>
        </w:rPr>
        <w:drawing>
          <wp:anchor distT="0" distB="0" distL="114300" distR="114300" simplePos="0" relativeHeight="251658240" behindDoc="1" locked="0" layoutInCell="1" allowOverlap="1" wp14:anchorId="09B8CDA8" wp14:editId="025C1BE2">
            <wp:simplePos x="0" y="0"/>
            <wp:positionH relativeFrom="column">
              <wp:posOffset>69215</wp:posOffset>
            </wp:positionH>
            <wp:positionV relativeFrom="paragraph">
              <wp:posOffset>373380</wp:posOffset>
            </wp:positionV>
            <wp:extent cx="596265" cy="447199"/>
            <wp:effectExtent l="0" t="0" r="0" b="0"/>
            <wp:wrapNone/>
            <wp:docPr id="3" name="Picture 3" descr="A picture containing font, graphics,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graphics, white, 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9565" cy="449674"/>
                    </a:xfrm>
                    <a:prstGeom prst="rect">
                      <a:avLst/>
                    </a:prstGeom>
                  </pic:spPr>
                </pic:pic>
              </a:graphicData>
            </a:graphic>
            <wp14:sizeRelH relativeFrom="margin">
              <wp14:pctWidth>0</wp14:pctWidth>
            </wp14:sizeRelH>
            <wp14:sizeRelV relativeFrom="margin">
              <wp14:pctHeight>0</wp14:pctHeight>
            </wp14:sizeRelV>
          </wp:anchor>
        </w:drawing>
      </w:r>
      <w:r w:rsidR="00815A6F" w:rsidRPr="0058772B">
        <w:rPr>
          <w:rFonts w:asciiTheme="minorHAnsi" w:hAnsiTheme="minorHAnsi"/>
        </w:rPr>
        <w:t xml:space="preserve">Veuillez agréer, Madame, Monsieur, l'assurance de ma </w:t>
      </w:r>
      <w:r w:rsidR="003C1522" w:rsidRPr="0058772B">
        <w:rPr>
          <w:rFonts w:asciiTheme="minorHAnsi" w:hAnsiTheme="minorHAnsi"/>
        </w:rPr>
        <w:t xml:space="preserve">haute </w:t>
      </w:r>
      <w:r w:rsidR="00815A6F" w:rsidRPr="0058772B">
        <w:rPr>
          <w:rFonts w:asciiTheme="minorHAnsi" w:hAnsiTheme="minorHAnsi"/>
        </w:rPr>
        <w:t>considératio</w:t>
      </w:r>
      <w:r w:rsidR="003C1522" w:rsidRPr="0058772B">
        <w:rPr>
          <w:rFonts w:asciiTheme="minorHAnsi" w:hAnsiTheme="minorHAnsi"/>
        </w:rPr>
        <w:t>n</w:t>
      </w:r>
      <w:r w:rsidR="00815A6F" w:rsidRPr="0058772B">
        <w:rPr>
          <w:rFonts w:asciiTheme="minorHAnsi" w:hAnsiTheme="minorHAnsi"/>
        </w:rPr>
        <w:t>.</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615"/>
        <w:gridCol w:w="3109"/>
      </w:tblGrid>
      <w:tr w:rsidR="00815A6F" w:rsidRPr="0058772B" w14:paraId="4511448A" w14:textId="77777777" w:rsidTr="002C58A4">
        <w:trPr>
          <w:cantSplit/>
          <w:trHeight w:val="1955"/>
        </w:trPr>
        <w:tc>
          <w:tcPr>
            <w:tcW w:w="6615" w:type="dxa"/>
            <w:vMerge w:val="restart"/>
            <w:tcBorders>
              <w:right w:val="single" w:sz="4" w:space="0" w:color="auto"/>
            </w:tcBorders>
          </w:tcPr>
          <w:p w14:paraId="711C6950" w14:textId="34938D49" w:rsidR="00815A6F" w:rsidRPr="0058772B" w:rsidRDefault="00295B1F" w:rsidP="00D72561">
            <w:pPr>
              <w:spacing w:before="480"/>
              <w:rPr>
                <w:rFonts w:asciiTheme="minorHAnsi" w:hAnsiTheme="minorHAnsi"/>
              </w:rPr>
            </w:pPr>
            <w:r w:rsidRPr="0058772B">
              <w:rPr>
                <w:rFonts w:cstheme="minorHAnsi"/>
                <w:szCs w:val="22"/>
              </w:rPr>
              <w:t>Seizo Onoe</w:t>
            </w:r>
            <w:r w:rsidR="00815A6F" w:rsidRPr="0058772B">
              <w:rPr>
                <w:rFonts w:asciiTheme="minorHAnsi" w:hAnsiTheme="minorHAnsi"/>
              </w:rPr>
              <w:br/>
              <w:t xml:space="preserve">Directeur du Bureau de la normalisation </w:t>
            </w:r>
            <w:r w:rsidR="00815A6F" w:rsidRPr="0058772B">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6A010B09" w14:textId="70E7AC41" w:rsidR="00815A6F" w:rsidRPr="0058772B" w:rsidRDefault="008D6EBE" w:rsidP="002C58A4">
            <w:pPr>
              <w:spacing w:before="0"/>
              <w:ind w:left="113" w:right="113"/>
              <w:jc w:val="center"/>
              <w:rPr>
                <w:rFonts w:asciiTheme="minorHAnsi" w:hAnsiTheme="minorHAnsi"/>
              </w:rPr>
            </w:pPr>
            <w:r w:rsidRPr="0058772B">
              <w:rPr>
                <w:rFonts w:asciiTheme="minorHAnsi" w:hAnsiTheme="minorHAnsi" w:cstheme="minorHAnsi"/>
                <w:noProof/>
                <w:szCs w:val="22"/>
              </w:rPr>
              <w:drawing>
                <wp:inline distT="0" distB="0" distL="0" distR="0" wp14:anchorId="02C83074" wp14:editId="54F7944D">
                  <wp:extent cx="1049572" cy="1049572"/>
                  <wp:effectExtent l="0" t="0" r="0" b="0"/>
                  <wp:docPr id="1674465767" name="Picture 167446576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65767" name="Picture 1" descr="Qr cod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057515" cy="1057515"/>
                          </a:xfrm>
                          <a:prstGeom prst="rect">
                            <a:avLst/>
                          </a:prstGeom>
                        </pic:spPr>
                      </pic:pic>
                    </a:graphicData>
                  </a:graphic>
                </wp:inline>
              </w:drawing>
            </w:r>
          </w:p>
        </w:tc>
      </w:tr>
      <w:tr w:rsidR="00D72561" w:rsidRPr="0058772B" w14:paraId="67122807" w14:textId="77777777" w:rsidTr="002C58A4">
        <w:trPr>
          <w:cantSplit/>
          <w:trHeight w:val="227"/>
        </w:trPr>
        <w:tc>
          <w:tcPr>
            <w:tcW w:w="6615" w:type="dxa"/>
            <w:vMerge/>
            <w:tcBorders>
              <w:right w:val="single" w:sz="4" w:space="0" w:color="auto"/>
            </w:tcBorders>
          </w:tcPr>
          <w:p w14:paraId="427F4E08" w14:textId="77777777" w:rsidR="00D72561" w:rsidRPr="0058772B" w:rsidRDefault="00D72561" w:rsidP="00D72561">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28E151F7" w14:textId="2822506D" w:rsidR="00D72561" w:rsidRPr="0058772B" w:rsidRDefault="00D72561" w:rsidP="00D72561">
            <w:pPr>
              <w:spacing w:before="0"/>
              <w:jc w:val="center"/>
              <w:rPr>
                <w:rFonts w:asciiTheme="minorHAnsi" w:eastAsia="SimSun" w:hAnsiTheme="minorHAnsi" w:cs="Arial"/>
                <w:sz w:val="16"/>
                <w:szCs w:val="16"/>
                <w:lang w:eastAsia="zh-CN"/>
              </w:rPr>
            </w:pPr>
            <w:r w:rsidRPr="0058772B">
              <w:t>Série de webinaires sur la transformation numérique</w:t>
            </w:r>
          </w:p>
        </w:tc>
      </w:tr>
    </w:tbl>
    <w:p w14:paraId="7916A1C7" w14:textId="77777777" w:rsidR="00526114" w:rsidRPr="0058772B" w:rsidRDefault="00526114" w:rsidP="008D6EBE"/>
    <w:sectPr w:rsidR="00526114" w:rsidRPr="0058772B" w:rsidSect="00582C67">
      <w:headerReference w:type="even" r:id="rId17"/>
      <w:headerReference w:type="default" r:id="rId18"/>
      <w:footerReference w:type="even" r:id="rId19"/>
      <w:footerReference w:type="first" r:id="rId20"/>
      <w:type w:val="continuous"/>
      <w:pgSz w:w="11907" w:h="16840" w:code="9"/>
      <w:pgMar w:top="1134" w:right="851" w:bottom="567" w:left="851" w:header="567" w:footer="66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7EB9" w14:textId="77777777" w:rsidR="007B06F0" w:rsidRDefault="007B06F0">
      <w:r>
        <w:separator/>
      </w:r>
    </w:p>
  </w:endnote>
  <w:endnote w:type="continuationSeparator" w:id="0">
    <w:p w14:paraId="6B40519C" w14:textId="77777777" w:rsidR="007B06F0" w:rsidRDefault="007B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DF36" w14:textId="7FFFC891" w:rsidR="00C64E19" w:rsidRPr="004A5BE0" w:rsidRDefault="00815A6F" w:rsidP="00F71ACC">
    <w:pPr>
      <w:pStyle w:val="Footer"/>
      <w:rPr>
        <w:lang w:val="en-GB"/>
      </w:rPr>
    </w:pPr>
    <w:r w:rsidRPr="00CF60E8">
      <w:rPr>
        <w:rStyle w:val="Hyperlink"/>
        <w:rFonts w:cs="Calibri"/>
        <w:caps w:val="0"/>
        <w:color w:val="auto"/>
        <w:szCs w:val="18"/>
        <w:u w:val="none"/>
        <w:lang w:val="fr-CH"/>
      </w:rPr>
      <w:fldChar w:fldCharType="begin"/>
    </w:r>
    <w:r w:rsidRPr="004A5BE0">
      <w:rPr>
        <w:rStyle w:val="Hyperlink"/>
        <w:rFonts w:cs="Calibri"/>
        <w:caps w:val="0"/>
        <w:color w:val="auto"/>
        <w:szCs w:val="18"/>
        <w:u w:val="none"/>
        <w:lang w:val="en-GB"/>
      </w:rPr>
      <w:instrText xml:space="preserve"> FILENAME \p  \* MERGEFORMAT </w:instrText>
    </w:r>
    <w:r w:rsidRPr="00CF60E8">
      <w:rPr>
        <w:rStyle w:val="Hyperlink"/>
        <w:rFonts w:cs="Calibri"/>
        <w:caps w:val="0"/>
        <w:color w:val="auto"/>
        <w:szCs w:val="18"/>
        <w:u w:val="none"/>
        <w:lang w:val="fr-CH"/>
      </w:rPr>
      <w:fldChar w:fldCharType="separate"/>
    </w:r>
    <w:r w:rsidR="004A5BE0" w:rsidRPr="004A5BE0">
      <w:rPr>
        <w:rStyle w:val="Hyperlink"/>
        <w:rFonts w:cs="Calibri"/>
        <w:caps w:val="0"/>
        <w:noProof/>
        <w:color w:val="auto"/>
        <w:sz w:val="16"/>
        <w:szCs w:val="18"/>
        <w:u w:val="none"/>
        <w:lang w:val="en-GB"/>
      </w:rPr>
      <w:t>M</w:t>
    </w:r>
    <w:r w:rsidR="004A5BE0" w:rsidRPr="004A5BE0">
      <w:rPr>
        <w:rStyle w:val="Hyperlink"/>
        <w:rFonts w:cs="Calibri"/>
        <w:caps w:val="0"/>
        <w:noProof/>
        <w:color w:val="auto"/>
        <w:szCs w:val="18"/>
        <w:u w:val="none"/>
        <w:lang w:val="en-GB"/>
      </w:rPr>
      <w:t>:\OFFICE\Correspondence\Circular\Study Period 2022-2024\097 - Digital transformation webinar series\097F.docx</w:t>
    </w:r>
    <w:r w:rsidRPr="00CF60E8">
      <w:rPr>
        <w:rStyle w:val="Hyperlink"/>
        <w:rFonts w:cs="Calibri"/>
        <w:caps w:val="0"/>
        <w:noProof/>
        <w:color w:val="auto"/>
        <w:szCs w:val="18"/>
        <w:u w:val="none"/>
        <w:lang w:val="fr-CH"/>
      </w:rPr>
      <w:fldChar w:fldCharType="end"/>
    </w:r>
    <w:r w:rsidRPr="004A5BE0">
      <w:rPr>
        <w:rStyle w:val="Hyperlink"/>
        <w:rFonts w:cs="Calibri"/>
        <w:caps w:val="0"/>
        <w:noProof/>
        <w:color w:val="auto"/>
        <w:sz w:val="16"/>
        <w:szCs w:val="18"/>
        <w:u w:val="none"/>
        <w:lang w:val="en-GB"/>
      </w:rPr>
      <w:t xml:space="preserve"> (</w:t>
    </w:r>
    <w:r w:rsidR="00F71ACC" w:rsidRPr="004A5BE0">
      <w:rPr>
        <w:rStyle w:val="Hyperlink"/>
        <w:rFonts w:cs="Calibri"/>
        <w:caps w:val="0"/>
        <w:noProof/>
        <w:color w:val="auto"/>
        <w:sz w:val="16"/>
        <w:szCs w:val="18"/>
        <w:u w:val="none"/>
        <w:lang w:val="en-GB"/>
      </w:rPr>
      <w:t>...</w:t>
    </w:r>
    <w:r w:rsidRPr="004A5BE0">
      <w:rPr>
        <w:rStyle w:val="Hyperlink"/>
        <w:rFonts w:cs="Calibri"/>
        <w:caps w:val="0"/>
        <w:noProof/>
        <w:color w:val="auto"/>
        <w:sz w:val="16"/>
        <w:szCs w:val="18"/>
        <w:u w:val="none"/>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E6C8"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t xml:space="preserve">Tél.: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92E2" w14:textId="77777777" w:rsidR="007B06F0" w:rsidRDefault="007B06F0">
      <w:r>
        <w:t>____________________</w:t>
      </w:r>
    </w:p>
  </w:footnote>
  <w:footnote w:type="continuationSeparator" w:id="0">
    <w:p w14:paraId="3B3B2B51" w14:textId="77777777" w:rsidR="007B06F0" w:rsidRDefault="007B0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66013"/>
      <w:docPartObj>
        <w:docPartGallery w:val="Page Numbers (Top of Page)"/>
        <w:docPartUnique/>
      </w:docPartObj>
    </w:sdtPr>
    <w:sdtEndPr>
      <w:rPr>
        <w:noProof/>
      </w:rPr>
    </w:sdtEndPr>
    <w:sdtContent>
      <w:p w14:paraId="7D4E0391"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34EBBDB9"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5645089"/>
      <w:docPartObj>
        <w:docPartGallery w:val="Page Numbers (Top of Page)"/>
        <w:docPartUnique/>
      </w:docPartObj>
    </w:sdtPr>
    <w:sdtEndPr>
      <w:rPr>
        <w:noProof/>
      </w:rPr>
    </w:sdtEndPr>
    <w:sdtContent>
      <w:p w14:paraId="18D6EEB1" w14:textId="77777777" w:rsidR="00815A6F" w:rsidRPr="00FD56E3" w:rsidRDefault="00C64E19" w:rsidP="00C358D5">
        <w:pPr>
          <w:pStyle w:val="Header"/>
          <w:rPr>
            <w:rFonts w:asciiTheme="minorHAnsi" w:hAnsiTheme="minorHAnsi"/>
            <w:sz w:val="18"/>
            <w:szCs w:val="18"/>
          </w:rPr>
        </w:pPr>
        <w:r w:rsidRPr="00FD56E3">
          <w:rPr>
            <w:rFonts w:asciiTheme="minorHAnsi" w:hAnsiTheme="minorHAnsi"/>
            <w:sz w:val="18"/>
            <w:szCs w:val="18"/>
          </w:rPr>
          <w:t xml:space="preserve">- </w:t>
        </w:r>
        <w:r w:rsidRPr="00FD56E3">
          <w:rPr>
            <w:rFonts w:asciiTheme="minorHAnsi" w:hAnsiTheme="minorHAnsi"/>
            <w:sz w:val="18"/>
            <w:szCs w:val="18"/>
          </w:rPr>
          <w:fldChar w:fldCharType="begin"/>
        </w:r>
        <w:r w:rsidRPr="00FD56E3">
          <w:rPr>
            <w:rFonts w:asciiTheme="minorHAnsi" w:hAnsiTheme="minorHAnsi"/>
            <w:sz w:val="18"/>
            <w:szCs w:val="18"/>
          </w:rPr>
          <w:instrText xml:space="preserve"> PAGE   \* MERGEFORMAT </w:instrText>
        </w:r>
        <w:r w:rsidRPr="00FD56E3">
          <w:rPr>
            <w:rFonts w:asciiTheme="minorHAnsi" w:hAnsiTheme="minorHAnsi"/>
            <w:sz w:val="18"/>
            <w:szCs w:val="18"/>
          </w:rPr>
          <w:fldChar w:fldCharType="separate"/>
        </w:r>
        <w:r w:rsidR="006162E7" w:rsidRPr="00FD56E3">
          <w:rPr>
            <w:rFonts w:asciiTheme="minorHAnsi" w:hAnsiTheme="minorHAnsi"/>
            <w:noProof/>
            <w:sz w:val="18"/>
            <w:szCs w:val="18"/>
          </w:rPr>
          <w:t>7</w:t>
        </w:r>
        <w:r w:rsidRPr="00FD56E3">
          <w:rPr>
            <w:rFonts w:asciiTheme="minorHAnsi" w:hAnsiTheme="minorHAnsi"/>
            <w:sz w:val="18"/>
            <w:szCs w:val="18"/>
          </w:rPr>
          <w:fldChar w:fldCharType="end"/>
        </w:r>
        <w:r w:rsidRPr="00FD56E3">
          <w:rPr>
            <w:rFonts w:asciiTheme="minorHAnsi" w:hAnsiTheme="minorHAnsi"/>
            <w:sz w:val="18"/>
            <w:szCs w:val="18"/>
          </w:rPr>
          <w:t xml:space="preserve"> -</w:t>
        </w:r>
      </w:p>
      <w:p w14:paraId="088FAA3C" w14:textId="6B003072" w:rsidR="00C64E19" w:rsidRPr="003222B0" w:rsidRDefault="00C83210" w:rsidP="00C358D5">
        <w:pPr>
          <w:pStyle w:val="Header"/>
          <w:rPr>
            <w:noProof/>
            <w:sz w:val="18"/>
            <w:szCs w:val="18"/>
          </w:rPr>
        </w:pPr>
        <w:r w:rsidRPr="00FD56E3">
          <w:rPr>
            <w:rFonts w:asciiTheme="minorHAnsi" w:hAnsiTheme="minorHAnsi"/>
            <w:sz w:val="18"/>
            <w:szCs w:val="18"/>
          </w:rPr>
          <w:t>Circulaire TSB 97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05A04B8"/>
    <w:multiLevelType w:val="hybridMultilevel"/>
    <w:tmpl w:val="5BB81A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5"/>
  </w:num>
  <w:num w:numId="2" w16cid:durableId="1708019909">
    <w:abstractNumId w:val="7"/>
  </w:num>
  <w:num w:numId="3" w16cid:durableId="370543197">
    <w:abstractNumId w:val="8"/>
  </w:num>
  <w:num w:numId="4" w16cid:durableId="1954897288">
    <w:abstractNumId w:val="4"/>
  </w:num>
  <w:num w:numId="5" w16cid:durableId="678702089">
    <w:abstractNumId w:val="9"/>
  </w:num>
  <w:num w:numId="6" w16cid:durableId="1988583809">
    <w:abstractNumId w:val="2"/>
  </w:num>
  <w:num w:numId="7" w16cid:durableId="20859553">
    <w:abstractNumId w:val="6"/>
  </w:num>
  <w:num w:numId="8" w16cid:durableId="705180833">
    <w:abstractNumId w:val="0"/>
  </w:num>
  <w:num w:numId="9" w16cid:durableId="1535115622">
    <w:abstractNumId w:val="1"/>
  </w:num>
  <w:num w:numId="10" w16cid:durableId="766971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F0"/>
    <w:rsid w:val="00002622"/>
    <w:rsid w:val="00016DA6"/>
    <w:rsid w:val="00020E27"/>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575C7"/>
    <w:rsid w:val="00263E6C"/>
    <w:rsid w:val="002747F9"/>
    <w:rsid w:val="0028019C"/>
    <w:rsid w:val="00281F88"/>
    <w:rsid w:val="0029340B"/>
    <w:rsid w:val="00295B1F"/>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592A"/>
    <w:rsid w:val="003B7123"/>
    <w:rsid w:val="003C1522"/>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A5BE0"/>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2C67"/>
    <w:rsid w:val="0058584A"/>
    <w:rsid w:val="0058772B"/>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06F0"/>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D6EBE"/>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3210"/>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72561"/>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56E3"/>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C05AD"/>
  <w15:docId w15:val="{22E6AD28-7F7A-43A2-BDD2-5D672AE4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E6C"/>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263E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263E6C"/>
    <w:pPr>
      <w:spacing w:before="320"/>
      <w:outlineLvl w:val="1"/>
    </w:pPr>
  </w:style>
  <w:style w:type="paragraph" w:styleId="Heading3">
    <w:name w:val="heading 3"/>
    <w:basedOn w:val="Heading1"/>
    <w:next w:val="Normal"/>
    <w:qFormat/>
    <w:rsid w:val="00263E6C"/>
    <w:pPr>
      <w:spacing w:before="200"/>
      <w:outlineLvl w:val="2"/>
    </w:pPr>
  </w:style>
  <w:style w:type="paragraph" w:styleId="Heading4">
    <w:name w:val="heading 4"/>
    <w:basedOn w:val="Heading3"/>
    <w:next w:val="Normal"/>
    <w:qFormat/>
    <w:rsid w:val="00263E6C"/>
    <w:pPr>
      <w:tabs>
        <w:tab w:val="clear" w:pos="794"/>
        <w:tab w:val="left" w:pos="1191"/>
      </w:tabs>
      <w:ind w:left="993" w:hanging="993"/>
      <w:outlineLvl w:val="3"/>
    </w:pPr>
  </w:style>
  <w:style w:type="paragraph" w:styleId="Heading5">
    <w:name w:val="heading 5"/>
    <w:basedOn w:val="Heading3"/>
    <w:next w:val="Normal"/>
    <w:qFormat/>
    <w:rsid w:val="00263E6C"/>
    <w:pPr>
      <w:tabs>
        <w:tab w:val="clear" w:pos="794"/>
        <w:tab w:val="left" w:pos="1191"/>
      </w:tabs>
      <w:outlineLvl w:val="4"/>
    </w:pPr>
  </w:style>
  <w:style w:type="paragraph" w:styleId="Heading6">
    <w:name w:val="heading 6"/>
    <w:basedOn w:val="Heading3"/>
    <w:next w:val="Normal"/>
    <w:qFormat/>
    <w:rsid w:val="00263E6C"/>
    <w:pPr>
      <w:tabs>
        <w:tab w:val="clear" w:pos="794"/>
        <w:tab w:val="left" w:pos="1191"/>
      </w:tabs>
      <w:outlineLvl w:val="5"/>
    </w:pPr>
  </w:style>
  <w:style w:type="paragraph" w:styleId="Heading7">
    <w:name w:val="heading 7"/>
    <w:basedOn w:val="Heading3"/>
    <w:next w:val="Normal"/>
    <w:qFormat/>
    <w:rsid w:val="00263E6C"/>
    <w:pPr>
      <w:tabs>
        <w:tab w:val="clear" w:pos="794"/>
        <w:tab w:val="left" w:pos="1191"/>
      </w:tabs>
      <w:outlineLvl w:val="6"/>
    </w:pPr>
  </w:style>
  <w:style w:type="paragraph" w:styleId="Heading8">
    <w:name w:val="heading 8"/>
    <w:basedOn w:val="Heading3"/>
    <w:next w:val="Normal"/>
    <w:qFormat/>
    <w:rsid w:val="00263E6C"/>
    <w:pPr>
      <w:tabs>
        <w:tab w:val="clear" w:pos="794"/>
        <w:tab w:val="left" w:pos="1191"/>
      </w:tabs>
      <w:outlineLvl w:val="7"/>
    </w:pPr>
  </w:style>
  <w:style w:type="paragraph" w:styleId="Heading9">
    <w:name w:val="heading 9"/>
    <w:basedOn w:val="Heading3"/>
    <w:next w:val="Normal"/>
    <w:qFormat/>
    <w:rsid w:val="00263E6C"/>
    <w:pPr>
      <w:tabs>
        <w:tab w:val="clear" w:pos="794"/>
        <w:tab w:val="left" w:pos="1191"/>
      </w:tabs>
      <w:outlineLvl w:val="8"/>
    </w:pPr>
  </w:style>
  <w:style w:type="character" w:default="1" w:styleId="DefaultParagraphFont">
    <w:name w:val="Default Paragraph Font"/>
    <w:uiPriority w:val="1"/>
    <w:semiHidden/>
    <w:unhideWhenUsed/>
    <w:rsid w:val="00263E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3E6C"/>
  </w:style>
  <w:style w:type="paragraph" w:styleId="TOC8">
    <w:name w:val="toc 8"/>
    <w:basedOn w:val="TOC3"/>
    <w:semiHidden/>
    <w:rsid w:val="00263E6C"/>
  </w:style>
  <w:style w:type="paragraph" w:styleId="TOC7">
    <w:name w:val="toc 7"/>
    <w:basedOn w:val="TOC3"/>
    <w:semiHidden/>
    <w:rsid w:val="00263E6C"/>
  </w:style>
  <w:style w:type="paragraph" w:styleId="TOC6">
    <w:name w:val="toc 6"/>
    <w:basedOn w:val="TOC3"/>
    <w:semiHidden/>
    <w:rsid w:val="00263E6C"/>
  </w:style>
  <w:style w:type="paragraph" w:styleId="TOC5">
    <w:name w:val="toc 5"/>
    <w:basedOn w:val="TOC3"/>
    <w:semiHidden/>
    <w:rsid w:val="00263E6C"/>
  </w:style>
  <w:style w:type="paragraph" w:styleId="TOC4">
    <w:name w:val="toc 4"/>
    <w:basedOn w:val="TOC3"/>
    <w:semiHidden/>
    <w:rsid w:val="00263E6C"/>
  </w:style>
  <w:style w:type="paragraph" w:styleId="TOC3">
    <w:name w:val="toc 3"/>
    <w:basedOn w:val="TOC2"/>
    <w:semiHidden/>
    <w:rsid w:val="00263E6C"/>
    <w:pPr>
      <w:spacing w:before="80"/>
    </w:pPr>
  </w:style>
  <w:style w:type="paragraph" w:styleId="TOC2">
    <w:name w:val="toc 2"/>
    <w:basedOn w:val="TOC1"/>
    <w:semiHidden/>
    <w:rsid w:val="00263E6C"/>
    <w:pPr>
      <w:spacing w:before="120"/>
    </w:pPr>
  </w:style>
  <w:style w:type="paragraph" w:styleId="TOC1">
    <w:name w:val="toc 1"/>
    <w:basedOn w:val="Normal"/>
    <w:semiHidden/>
    <w:rsid w:val="00263E6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263E6C"/>
    <w:pPr>
      <w:ind w:left="1698"/>
    </w:pPr>
  </w:style>
  <w:style w:type="paragraph" w:styleId="Index6">
    <w:name w:val="index 6"/>
    <w:basedOn w:val="Normal"/>
    <w:next w:val="Normal"/>
    <w:semiHidden/>
    <w:rsid w:val="00263E6C"/>
    <w:pPr>
      <w:ind w:left="1415"/>
    </w:pPr>
  </w:style>
  <w:style w:type="paragraph" w:styleId="Index5">
    <w:name w:val="index 5"/>
    <w:basedOn w:val="Normal"/>
    <w:next w:val="Normal"/>
    <w:semiHidden/>
    <w:rsid w:val="00263E6C"/>
    <w:pPr>
      <w:ind w:left="1132"/>
    </w:pPr>
  </w:style>
  <w:style w:type="paragraph" w:styleId="Index4">
    <w:name w:val="index 4"/>
    <w:basedOn w:val="Normal"/>
    <w:next w:val="Normal"/>
    <w:semiHidden/>
    <w:rsid w:val="00263E6C"/>
    <w:pPr>
      <w:ind w:left="849"/>
    </w:pPr>
  </w:style>
  <w:style w:type="paragraph" w:styleId="Index3">
    <w:name w:val="index 3"/>
    <w:basedOn w:val="Normal"/>
    <w:next w:val="Normal"/>
    <w:semiHidden/>
    <w:rsid w:val="00263E6C"/>
    <w:pPr>
      <w:ind w:left="566"/>
    </w:pPr>
  </w:style>
  <w:style w:type="paragraph" w:styleId="Index2">
    <w:name w:val="index 2"/>
    <w:basedOn w:val="Normal"/>
    <w:next w:val="Normal"/>
    <w:semiHidden/>
    <w:rsid w:val="00263E6C"/>
    <w:pPr>
      <w:ind w:left="283"/>
    </w:pPr>
  </w:style>
  <w:style w:type="paragraph" w:styleId="Index1">
    <w:name w:val="index 1"/>
    <w:basedOn w:val="Normal"/>
    <w:next w:val="Normal"/>
    <w:semiHidden/>
    <w:rsid w:val="00263E6C"/>
  </w:style>
  <w:style w:type="character" w:styleId="LineNumber">
    <w:name w:val="line number"/>
    <w:basedOn w:val="DefaultParagraphFont"/>
    <w:rsid w:val="00263E6C"/>
  </w:style>
  <w:style w:type="paragraph" w:styleId="IndexHeading">
    <w:name w:val="index heading"/>
    <w:basedOn w:val="Normal"/>
    <w:next w:val="Index1"/>
    <w:semiHidden/>
    <w:rsid w:val="00263E6C"/>
  </w:style>
  <w:style w:type="paragraph" w:styleId="Footer">
    <w:name w:val="footer"/>
    <w:basedOn w:val="Normal"/>
    <w:link w:val="FooterChar"/>
    <w:rsid w:val="00263E6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263E6C"/>
    <w:pPr>
      <w:tabs>
        <w:tab w:val="clear" w:pos="794"/>
        <w:tab w:val="clear" w:pos="1191"/>
        <w:tab w:val="clear" w:pos="1588"/>
        <w:tab w:val="clear" w:pos="1985"/>
      </w:tabs>
      <w:spacing w:before="0"/>
      <w:jc w:val="center"/>
    </w:pPr>
  </w:style>
  <w:style w:type="character" w:styleId="FootnoteReference">
    <w:name w:val="footnote reference"/>
    <w:semiHidden/>
    <w:rsid w:val="00263E6C"/>
    <w:rPr>
      <w:position w:val="6"/>
      <w:sz w:val="16"/>
    </w:rPr>
  </w:style>
  <w:style w:type="paragraph" w:styleId="FootnoteText">
    <w:name w:val="footnote text"/>
    <w:basedOn w:val="Normal"/>
    <w:semiHidden/>
    <w:rsid w:val="00263E6C"/>
    <w:pPr>
      <w:keepLines/>
      <w:tabs>
        <w:tab w:val="left" w:pos="256"/>
      </w:tabs>
      <w:ind w:left="256" w:hanging="256"/>
    </w:pPr>
  </w:style>
  <w:style w:type="paragraph" w:styleId="NormalIndent">
    <w:name w:val="Normal Indent"/>
    <w:basedOn w:val="Normal"/>
    <w:rsid w:val="00263E6C"/>
    <w:pPr>
      <w:ind w:left="794"/>
    </w:pPr>
  </w:style>
  <w:style w:type="paragraph" w:customStyle="1" w:styleId="TableLegend">
    <w:name w:val="Table_Legend"/>
    <w:basedOn w:val="TableText"/>
    <w:rsid w:val="00263E6C"/>
    <w:pPr>
      <w:spacing w:before="120"/>
    </w:pPr>
  </w:style>
  <w:style w:type="paragraph" w:customStyle="1" w:styleId="TableText">
    <w:name w:val="Table_Text"/>
    <w:basedOn w:val="Normal"/>
    <w:rsid w:val="00263E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263E6C"/>
    <w:pPr>
      <w:keepLines/>
      <w:spacing w:before="0"/>
    </w:pPr>
    <w:rPr>
      <w:b/>
      <w:caps w:val="0"/>
    </w:rPr>
  </w:style>
  <w:style w:type="paragraph" w:customStyle="1" w:styleId="Table">
    <w:name w:val="Table_#"/>
    <w:basedOn w:val="Normal"/>
    <w:next w:val="TableTitle"/>
    <w:rsid w:val="00263E6C"/>
    <w:pPr>
      <w:keepNext/>
      <w:spacing w:before="560" w:after="120"/>
      <w:jc w:val="center"/>
    </w:pPr>
    <w:rPr>
      <w:caps/>
    </w:rPr>
  </w:style>
  <w:style w:type="paragraph" w:customStyle="1" w:styleId="enumlev1">
    <w:name w:val="enumlev1"/>
    <w:basedOn w:val="Normal"/>
    <w:rsid w:val="00263E6C"/>
    <w:pPr>
      <w:spacing w:before="80"/>
      <w:ind w:left="794" w:hanging="794"/>
    </w:pPr>
  </w:style>
  <w:style w:type="paragraph" w:customStyle="1" w:styleId="enumlev2">
    <w:name w:val="enumlev2"/>
    <w:basedOn w:val="enumlev1"/>
    <w:rsid w:val="00263E6C"/>
    <w:pPr>
      <w:ind w:left="1191" w:hanging="397"/>
    </w:pPr>
  </w:style>
  <w:style w:type="paragraph" w:customStyle="1" w:styleId="enumlev3">
    <w:name w:val="enumlev3"/>
    <w:basedOn w:val="enumlev2"/>
    <w:rsid w:val="00263E6C"/>
    <w:pPr>
      <w:ind w:left="1588"/>
    </w:pPr>
  </w:style>
  <w:style w:type="paragraph" w:customStyle="1" w:styleId="TableHead">
    <w:name w:val="Table_Head"/>
    <w:basedOn w:val="TableText"/>
    <w:rsid w:val="00263E6C"/>
    <w:pPr>
      <w:keepNext/>
      <w:spacing w:before="80" w:after="80"/>
      <w:jc w:val="center"/>
    </w:pPr>
    <w:rPr>
      <w:b/>
    </w:rPr>
  </w:style>
  <w:style w:type="paragraph" w:customStyle="1" w:styleId="FigureLegend">
    <w:name w:val="Figure_Legend"/>
    <w:basedOn w:val="Normal"/>
    <w:rsid w:val="00263E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263E6C"/>
    <w:pPr>
      <w:spacing w:before="480"/>
    </w:pPr>
  </w:style>
  <w:style w:type="paragraph" w:customStyle="1" w:styleId="FigureTitle">
    <w:name w:val="Figure_Title"/>
    <w:basedOn w:val="TableTitle"/>
    <w:next w:val="Normal"/>
    <w:rsid w:val="00263E6C"/>
    <w:pPr>
      <w:keepNext w:val="0"/>
      <w:spacing w:after="480"/>
    </w:pPr>
  </w:style>
  <w:style w:type="paragraph" w:customStyle="1" w:styleId="Annex">
    <w:name w:val="Annex_#"/>
    <w:basedOn w:val="Normal"/>
    <w:next w:val="AnnexRef"/>
    <w:rsid w:val="00263E6C"/>
    <w:pPr>
      <w:keepNext/>
      <w:keepLines/>
      <w:spacing w:before="480" w:after="80"/>
      <w:jc w:val="center"/>
    </w:pPr>
    <w:rPr>
      <w:caps/>
    </w:rPr>
  </w:style>
  <w:style w:type="paragraph" w:customStyle="1" w:styleId="AnnexRef">
    <w:name w:val="Annex_Ref"/>
    <w:basedOn w:val="Normal"/>
    <w:next w:val="AnnexTitle"/>
    <w:rsid w:val="00263E6C"/>
    <w:pPr>
      <w:keepNext/>
      <w:keepLines/>
      <w:jc w:val="center"/>
    </w:pPr>
  </w:style>
  <w:style w:type="paragraph" w:customStyle="1" w:styleId="AnnexTitle">
    <w:name w:val="Annex_Title"/>
    <w:basedOn w:val="Normal"/>
    <w:next w:val="Normal"/>
    <w:rsid w:val="00263E6C"/>
    <w:pPr>
      <w:keepNext/>
      <w:keepLines/>
      <w:spacing w:before="240" w:after="280"/>
      <w:jc w:val="center"/>
    </w:pPr>
    <w:rPr>
      <w:b/>
    </w:rPr>
  </w:style>
  <w:style w:type="paragraph" w:customStyle="1" w:styleId="Appendix">
    <w:name w:val="Appendix_#"/>
    <w:basedOn w:val="Annex"/>
    <w:next w:val="AppendixRef"/>
    <w:rsid w:val="00263E6C"/>
  </w:style>
  <w:style w:type="paragraph" w:customStyle="1" w:styleId="AppendixRef">
    <w:name w:val="Appendix_Ref"/>
    <w:basedOn w:val="AnnexRef"/>
    <w:next w:val="AppendixTitle"/>
    <w:rsid w:val="00263E6C"/>
  </w:style>
  <w:style w:type="paragraph" w:customStyle="1" w:styleId="AppendixTitle">
    <w:name w:val="Appendix_Title"/>
    <w:basedOn w:val="AnnexTitle"/>
    <w:next w:val="Normal"/>
    <w:rsid w:val="00263E6C"/>
  </w:style>
  <w:style w:type="paragraph" w:customStyle="1" w:styleId="RefTitle">
    <w:name w:val="Ref_Title"/>
    <w:basedOn w:val="Normal"/>
    <w:next w:val="RefText"/>
    <w:rsid w:val="00263E6C"/>
    <w:pPr>
      <w:spacing w:before="480"/>
      <w:jc w:val="center"/>
    </w:pPr>
    <w:rPr>
      <w:caps/>
    </w:rPr>
  </w:style>
  <w:style w:type="paragraph" w:customStyle="1" w:styleId="RefText">
    <w:name w:val="Ref_Text"/>
    <w:basedOn w:val="Normal"/>
    <w:rsid w:val="00263E6C"/>
    <w:pPr>
      <w:ind w:left="794" w:hanging="794"/>
    </w:pPr>
  </w:style>
  <w:style w:type="paragraph" w:customStyle="1" w:styleId="Equation">
    <w:name w:val="Equation"/>
    <w:basedOn w:val="Normal"/>
    <w:rsid w:val="00263E6C"/>
    <w:pPr>
      <w:tabs>
        <w:tab w:val="clear" w:pos="1191"/>
        <w:tab w:val="clear" w:pos="1588"/>
        <w:tab w:val="clear" w:pos="1985"/>
        <w:tab w:val="center" w:pos="4876"/>
        <w:tab w:val="right" w:pos="9752"/>
      </w:tabs>
    </w:pPr>
  </w:style>
  <w:style w:type="paragraph" w:customStyle="1" w:styleId="Head">
    <w:name w:val="Head"/>
    <w:basedOn w:val="Normal"/>
    <w:rsid w:val="00263E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263E6C"/>
    <w:pPr>
      <w:keepNext/>
      <w:keepLines/>
      <w:spacing w:before="240"/>
      <w:jc w:val="center"/>
    </w:pPr>
    <w:rPr>
      <w:b/>
      <w:caps/>
    </w:rPr>
  </w:style>
  <w:style w:type="paragraph" w:customStyle="1" w:styleId="Normalaftertitle">
    <w:name w:val="Normal after title"/>
    <w:basedOn w:val="Normal"/>
    <w:next w:val="Normal"/>
    <w:rsid w:val="00263E6C"/>
    <w:pPr>
      <w:spacing w:before="320"/>
    </w:pPr>
  </w:style>
  <w:style w:type="paragraph" w:customStyle="1" w:styleId="call">
    <w:name w:val="call"/>
    <w:basedOn w:val="Normal"/>
    <w:next w:val="Normal"/>
    <w:rsid w:val="00263E6C"/>
    <w:pPr>
      <w:keepNext/>
      <w:keepLines/>
      <w:spacing w:before="160"/>
      <w:ind w:left="794"/>
    </w:pPr>
    <w:rPr>
      <w:i/>
    </w:rPr>
  </w:style>
  <w:style w:type="paragraph" w:customStyle="1" w:styleId="Rec">
    <w:name w:val="Rec_#"/>
    <w:basedOn w:val="Normal"/>
    <w:next w:val="RecTitle"/>
    <w:rsid w:val="00263E6C"/>
    <w:pPr>
      <w:keepNext/>
      <w:keepLines/>
      <w:spacing w:before="480"/>
      <w:jc w:val="center"/>
    </w:pPr>
    <w:rPr>
      <w:caps/>
    </w:rPr>
  </w:style>
  <w:style w:type="paragraph" w:customStyle="1" w:styleId="toc0">
    <w:name w:val="toc 0"/>
    <w:basedOn w:val="Normal"/>
    <w:next w:val="TOC1"/>
    <w:rsid w:val="00263E6C"/>
    <w:pPr>
      <w:tabs>
        <w:tab w:val="clear" w:pos="794"/>
        <w:tab w:val="clear" w:pos="1191"/>
        <w:tab w:val="clear" w:pos="1588"/>
        <w:tab w:val="clear" w:pos="1985"/>
        <w:tab w:val="right" w:pos="9781"/>
      </w:tabs>
    </w:pPr>
    <w:rPr>
      <w:b/>
    </w:rPr>
  </w:style>
  <w:style w:type="paragraph" w:styleId="List">
    <w:name w:val="List"/>
    <w:basedOn w:val="Normal"/>
    <w:rsid w:val="00263E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263E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263E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263E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263E6C"/>
    <w:pPr>
      <w:spacing w:before="160"/>
      <w:ind w:left="0" w:firstLine="0"/>
      <w:outlineLvl w:val="9"/>
    </w:pPr>
  </w:style>
  <w:style w:type="paragraph" w:customStyle="1" w:styleId="Keywords">
    <w:name w:val="Keywords"/>
    <w:basedOn w:val="Normal"/>
    <w:rsid w:val="00263E6C"/>
    <w:pPr>
      <w:tabs>
        <w:tab w:val="clear" w:pos="1191"/>
        <w:tab w:val="clear" w:pos="1588"/>
      </w:tabs>
      <w:ind w:left="794" w:hanging="794"/>
    </w:pPr>
  </w:style>
  <w:style w:type="paragraph" w:customStyle="1" w:styleId="ASN1">
    <w:name w:val="ASN.1"/>
    <w:basedOn w:val="Normal"/>
    <w:rsid w:val="00263E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263E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263E6C"/>
    <w:pPr>
      <w:tabs>
        <w:tab w:val="clear" w:pos="794"/>
        <w:tab w:val="clear" w:pos="1191"/>
        <w:tab w:val="clear" w:pos="1588"/>
        <w:tab w:val="clear" w:pos="1985"/>
      </w:tabs>
      <w:spacing w:before="480"/>
      <w:ind w:left="4961"/>
    </w:pPr>
  </w:style>
  <w:style w:type="paragraph" w:customStyle="1" w:styleId="meeting">
    <w:name w:val="meeting"/>
    <w:basedOn w:val="Head"/>
    <w:next w:val="Head"/>
    <w:rsid w:val="00263E6C"/>
    <w:pPr>
      <w:tabs>
        <w:tab w:val="left" w:pos="7371"/>
      </w:tabs>
      <w:spacing w:after="560"/>
    </w:pPr>
  </w:style>
  <w:style w:type="paragraph" w:customStyle="1" w:styleId="BodyText">
    <w:name w:val="BodyText"/>
    <w:basedOn w:val="Normal"/>
    <w:rsid w:val="00263E6C"/>
    <w:pPr>
      <w:tabs>
        <w:tab w:val="clear" w:pos="794"/>
        <w:tab w:val="clear" w:pos="1191"/>
        <w:tab w:val="clear" w:pos="1588"/>
        <w:tab w:val="clear" w:pos="1985"/>
      </w:tabs>
      <w:spacing w:before="240"/>
    </w:pPr>
  </w:style>
  <w:style w:type="paragraph" w:customStyle="1" w:styleId="ITUadres">
    <w:name w:val="ITU_adres"/>
    <w:basedOn w:val="Normal"/>
    <w:rsid w:val="00263E6C"/>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263E6C"/>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263E6C"/>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263E6C"/>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263E6C"/>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263E6C"/>
  </w:style>
  <w:style w:type="paragraph" w:customStyle="1" w:styleId="ITUbureau">
    <w:name w:val="ITU_bureau"/>
    <w:basedOn w:val="Normal"/>
    <w:rsid w:val="00263E6C"/>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263E6C"/>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263E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263E6C"/>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263E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263E6C"/>
    <w:pPr>
      <w:tabs>
        <w:tab w:val="left" w:pos="1418"/>
        <w:tab w:val="left" w:pos="1985"/>
        <w:tab w:val="left" w:pos="2268"/>
      </w:tabs>
      <w:ind w:firstLine="1304"/>
    </w:pPr>
  </w:style>
  <w:style w:type="paragraph" w:customStyle="1" w:styleId="Tiret">
    <w:name w:val="Tiret"/>
    <w:basedOn w:val="Normal"/>
    <w:rsid w:val="00263E6C"/>
    <w:pPr>
      <w:tabs>
        <w:tab w:val="clear" w:pos="794"/>
        <w:tab w:val="clear" w:pos="1191"/>
        <w:tab w:val="clear" w:pos="1588"/>
        <w:tab w:val="clear" w:pos="1985"/>
      </w:tabs>
      <w:ind w:left="-680"/>
    </w:pPr>
  </w:style>
  <w:style w:type="paragraph" w:customStyle="1" w:styleId="NormFoot">
    <w:name w:val="Norm_Foot"/>
    <w:basedOn w:val="Normal"/>
    <w:rsid w:val="00263E6C"/>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263E6C"/>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263E6C"/>
    <w:pPr>
      <w:keepLines/>
      <w:tabs>
        <w:tab w:val="left" w:pos="1361"/>
        <w:tab w:val="left" w:pos="1758"/>
        <w:tab w:val="left" w:pos="2155"/>
        <w:tab w:val="left" w:pos="2552"/>
      </w:tabs>
      <w:ind w:left="567"/>
    </w:pPr>
  </w:style>
  <w:style w:type="paragraph" w:customStyle="1" w:styleId="headingi">
    <w:name w:val="heading_i"/>
    <w:basedOn w:val="Heading3"/>
    <w:next w:val="Normal"/>
    <w:rsid w:val="00263E6C"/>
    <w:pPr>
      <w:spacing w:before="160"/>
      <w:ind w:left="0" w:firstLine="0"/>
      <w:outlineLvl w:val="9"/>
    </w:pPr>
    <w:rPr>
      <w:b w:val="0"/>
      <w:i/>
    </w:rPr>
  </w:style>
  <w:style w:type="character" w:styleId="Hyperlink">
    <w:name w:val="Hyperlink"/>
    <w:uiPriority w:val="99"/>
    <w:rsid w:val="00263E6C"/>
    <w:rPr>
      <w:color w:val="0000FF"/>
      <w:u w:val="single"/>
    </w:rPr>
  </w:style>
  <w:style w:type="paragraph" w:customStyle="1" w:styleId="Qlist">
    <w:name w:val="Qlist"/>
    <w:basedOn w:val="Normal"/>
    <w:rsid w:val="00263E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263E6C"/>
    <w:pPr>
      <w:tabs>
        <w:tab w:val="left" w:pos="397"/>
      </w:tabs>
    </w:pPr>
  </w:style>
  <w:style w:type="paragraph" w:customStyle="1" w:styleId="FirstFooter">
    <w:name w:val="FirstFooter"/>
    <w:basedOn w:val="Footer"/>
    <w:rsid w:val="00263E6C"/>
    <w:pPr>
      <w:tabs>
        <w:tab w:val="clear" w:pos="5954"/>
        <w:tab w:val="clear" w:pos="9639"/>
      </w:tabs>
    </w:pPr>
    <w:rPr>
      <w:caps w:val="0"/>
    </w:rPr>
  </w:style>
  <w:style w:type="paragraph" w:styleId="TOC9">
    <w:name w:val="toc 9"/>
    <w:basedOn w:val="TOC3"/>
    <w:semiHidden/>
    <w:rsid w:val="00263E6C"/>
  </w:style>
  <w:style w:type="paragraph" w:styleId="BodyText0">
    <w:name w:val="Body Text"/>
    <w:basedOn w:val="Normal"/>
    <w:rsid w:val="00263E6C"/>
    <w:pPr>
      <w:spacing w:after="120"/>
    </w:pPr>
  </w:style>
  <w:style w:type="character" w:styleId="PageNumber">
    <w:name w:val="page number"/>
    <w:basedOn w:val="DefaultParagraphFont"/>
    <w:rsid w:val="00263E6C"/>
  </w:style>
  <w:style w:type="paragraph" w:customStyle="1" w:styleId="AnnexNo">
    <w:name w:val="Annex_No"/>
    <w:basedOn w:val="Normal"/>
    <w:next w:val="Normal"/>
    <w:rsid w:val="00263E6C"/>
    <w:pPr>
      <w:keepNext/>
      <w:keepLines/>
      <w:spacing w:before="480" w:after="80"/>
      <w:jc w:val="center"/>
    </w:pPr>
    <w:rPr>
      <w:caps/>
      <w:sz w:val="28"/>
    </w:rPr>
  </w:style>
  <w:style w:type="character" w:styleId="FollowedHyperlink">
    <w:name w:val="FollowedHyperlink"/>
    <w:basedOn w:val="DefaultParagraphFont"/>
    <w:rsid w:val="00263E6C"/>
    <w:rPr>
      <w:color w:val="800080" w:themeColor="followedHyperlink"/>
      <w:u w:val="single"/>
    </w:rPr>
  </w:style>
  <w:style w:type="paragraph" w:customStyle="1" w:styleId="pnew">
    <w:name w:val="pnew"/>
    <w:basedOn w:val="Normal"/>
    <w:rsid w:val="00263E6C"/>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263E6C"/>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263E6C"/>
    <w:rPr>
      <w:rFonts w:ascii="Tahoma" w:hAnsi="Tahoma" w:cs="Tahoma"/>
      <w:sz w:val="16"/>
      <w:szCs w:val="16"/>
    </w:rPr>
  </w:style>
  <w:style w:type="table" w:styleId="TableGrid">
    <w:name w:val="Table Grid"/>
    <w:basedOn w:val="TableNormal"/>
    <w:rsid w:val="00263E6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263E6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263E6C"/>
    <w:rPr>
      <w:rFonts w:ascii="Calibri" w:hAnsi="Calibri"/>
      <w:sz w:val="22"/>
      <w:lang w:val="fr-FR" w:eastAsia="en-US"/>
    </w:rPr>
  </w:style>
  <w:style w:type="paragraph" w:customStyle="1" w:styleId="itu">
    <w:name w:val="itu"/>
    <w:basedOn w:val="Normal"/>
    <w:rsid w:val="00263E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263E6C"/>
    <w:rPr>
      <w:rFonts w:ascii="Calibri" w:hAnsi="Calibri"/>
      <w:caps/>
      <w:sz w:val="18"/>
      <w:lang w:val="fr-FR" w:eastAsia="en-US"/>
    </w:rPr>
  </w:style>
  <w:style w:type="paragraph" w:customStyle="1" w:styleId="Reasons">
    <w:name w:val="Reasons"/>
    <w:basedOn w:val="Normal"/>
    <w:qFormat/>
    <w:rsid w:val="00263E6C"/>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26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263E6C"/>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8D6EBE"/>
    <w:rPr>
      <w:color w:val="605E5C"/>
      <w:shd w:val="clear" w:color="auto" w:fill="E1DFDD"/>
    </w:rPr>
  </w:style>
  <w:style w:type="paragraph" w:customStyle="1" w:styleId="Tabletext0">
    <w:name w:val="Table_text"/>
    <w:basedOn w:val="Normal"/>
    <w:rsid w:val="008D6EB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cities/standards4d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cities/standards4d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recommendations/rec.aspx?rec=14765&amp;lang=f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fr/ITU-T/studygroups/2022-2024/20/Pages/default.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gitaltransformation@itu.int" TargetMode="External"/><Relationship Id="rId14" Type="http://schemas.openxmlformats.org/officeDocument/2006/relationships/hyperlink" Target="https://www.itu.int/cities/standards4d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106</TotalTime>
  <Pages>3</Pages>
  <Words>1438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10188</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FrenchVS</dc:creator>
  <cp:lastModifiedBy>Braud, Olivia</cp:lastModifiedBy>
  <cp:revision>7</cp:revision>
  <cp:lastPrinted>2023-05-26T07:54:00Z</cp:lastPrinted>
  <dcterms:created xsi:type="dcterms:W3CDTF">2023-05-16T11:30:00Z</dcterms:created>
  <dcterms:modified xsi:type="dcterms:W3CDTF">2023-05-26T07:54:00Z</dcterms:modified>
</cp:coreProperties>
</file>