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CD199A" w14:paraId="0C2C0F0E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1BD38234" w14:textId="77777777" w:rsidR="007B6316" w:rsidRPr="00CD199A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CD199A">
              <w:rPr>
                <w:noProof/>
                <w:lang w:eastAsia="zh-CN"/>
              </w:rPr>
              <w:drawing>
                <wp:inline distT="0" distB="0" distL="0" distR="0" wp14:anchorId="39321E76" wp14:editId="52C7770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1C36B78C" w14:textId="77777777" w:rsidR="007B6316" w:rsidRPr="00CD199A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D199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7A2C2FA0" w14:textId="77777777" w:rsidR="007B6316" w:rsidRPr="00CD199A" w:rsidRDefault="007B6316" w:rsidP="007B6316">
            <w:pPr>
              <w:spacing w:before="0"/>
            </w:pPr>
            <w:r w:rsidRPr="00CD199A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CD199A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CD199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CD199A" w14:paraId="1D33F62C" w14:textId="77777777" w:rsidTr="00303D62">
        <w:trPr>
          <w:cantSplit/>
          <w:trHeight w:val="340"/>
        </w:trPr>
        <w:tc>
          <w:tcPr>
            <w:tcW w:w="993" w:type="dxa"/>
          </w:tcPr>
          <w:p w14:paraId="114A3E5E" w14:textId="77777777" w:rsidR="007B6316" w:rsidRPr="00CD199A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68474B0D" w14:textId="77777777" w:rsidR="007B6316" w:rsidRPr="00CD199A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121726B0" w14:textId="5139BBC7" w:rsidR="007B6316" w:rsidRPr="00CD199A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CD199A">
              <w:rPr>
                <w:szCs w:val="24"/>
              </w:rPr>
              <w:t>Ginebra,</w:t>
            </w:r>
            <w:r w:rsidR="00C002B3" w:rsidRPr="00CD199A">
              <w:rPr>
                <w:szCs w:val="24"/>
              </w:rPr>
              <w:t xml:space="preserve"> </w:t>
            </w:r>
            <w:r w:rsidR="0094226F" w:rsidRPr="00CD199A">
              <w:rPr>
                <w:szCs w:val="24"/>
              </w:rPr>
              <w:t>06 de abril</w:t>
            </w:r>
            <w:r w:rsidR="00C002B3" w:rsidRPr="00CD199A">
              <w:rPr>
                <w:szCs w:val="24"/>
              </w:rPr>
              <w:t xml:space="preserve"> de 2023</w:t>
            </w:r>
          </w:p>
        </w:tc>
      </w:tr>
      <w:tr w:rsidR="007B6316" w:rsidRPr="00CD199A" w14:paraId="35F92B8A" w14:textId="77777777" w:rsidTr="00303D62">
        <w:trPr>
          <w:cantSplit/>
          <w:trHeight w:val="340"/>
        </w:trPr>
        <w:tc>
          <w:tcPr>
            <w:tcW w:w="993" w:type="dxa"/>
          </w:tcPr>
          <w:p w14:paraId="23425ED1" w14:textId="30A2C4C8" w:rsidR="007B6316" w:rsidRPr="00CD199A" w:rsidRDefault="007B6316" w:rsidP="004739E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CD199A">
              <w:rPr>
                <w:b/>
                <w:bCs/>
                <w:sz w:val="22"/>
              </w:rPr>
              <w:t>Ref.:</w:t>
            </w:r>
          </w:p>
        </w:tc>
        <w:tc>
          <w:tcPr>
            <w:tcW w:w="3884" w:type="dxa"/>
            <w:gridSpan w:val="2"/>
          </w:tcPr>
          <w:p w14:paraId="443C3AFD" w14:textId="198F216F" w:rsidR="007B6316" w:rsidRPr="0030224D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30224D">
              <w:rPr>
                <w:b/>
                <w:lang w:val="en-GB"/>
              </w:rPr>
              <w:t xml:space="preserve">Circular TSB </w:t>
            </w:r>
            <w:r w:rsidR="004739E3" w:rsidRPr="0030224D">
              <w:rPr>
                <w:b/>
                <w:lang w:val="en-GB"/>
              </w:rPr>
              <w:t>9</w:t>
            </w:r>
            <w:r w:rsidR="0094226F" w:rsidRPr="0030224D">
              <w:rPr>
                <w:b/>
                <w:lang w:val="en-GB"/>
              </w:rPr>
              <w:t>0</w:t>
            </w:r>
          </w:p>
          <w:p w14:paraId="532CB501" w14:textId="50793066" w:rsidR="007B6316" w:rsidRPr="0030224D" w:rsidRDefault="004739E3" w:rsidP="004739E3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en-GB"/>
              </w:rPr>
            </w:pPr>
            <w:r w:rsidRPr="0030224D">
              <w:rPr>
                <w:b/>
                <w:bCs/>
                <w:lang w:val="en-GB"/>
              </w:rPr>
              <w:t>FG-MV/CB</w:t>
            </w:r>
          </w:p>
        </w:tc>
        <w:tc>
          <w:tcPr>
            <w:tcW w:w="5329" w:type="dxa"/>
            <w:vMerge w:val="restart"/>
          </w:tcPr>
          <w:p w14:paraId="052D35AC" w14:textId="77777777" w:rsidR="004739E3" w:rsidRPr="00CD199A" w:rsidRDefault="004739E3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CD199A">
              <w:rPr>
                <w:b/>
                <w:bCs/>
              </w:rPr>
              <w:t>A:</w:t>
            </w:r>
          </w:p>
          <w:p w14:paraId="7BE23034" w14:textId="3270CD52" w:rsidR="007B6316" w:rsidRPr="00CD199A" w:rsidRDefault="007B6316" w:rsidP="00C276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13" w:hanging="227"/>
            </w:pPr>
            <w:r w:rsidRPr="00CD199A">
              <w:t>-</w:t>
            </w:r>
            <w:r w:rsidRPr="00CD199A">
              <w:tab/>
              <w:t>las Administraciones de los Estados Miembros de la Unión</w:t>
            </w:r>
          </w:p>
          <w:p w14:paraId="78B0D012" w14:textId="21482E4E" w:rsidR="004739E3" w:rsidRPr="00CD199A" w:rsidRDefault="004739E3" w:rsidP="004739E3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CD199A">
              <w:t>-</w:t>
            </w:r>
            <w:r w:rsidRPr="00CD199A">
              <w:tab/>
              <w:t>los Miembros de Sector</w:t>
            </w:r>
            <w:r w:rsidR="002545F8" w:rsidRPr="00CD199A">
              <w:t xml:space="preserve"> del</w:t>
            </w:r>
            <w:r w:rsidRPr="00CD199A">
              <w:t xml:space="preserve"> UIT</w:t>
            </w:r>
            <w:r w:rsidRPr="00CD199A">
              <w:noBreakHyphen/>
              <w:t>T;</w:t>
            </w:r>
          </w:p>
          <w:p w14:paraId="322B37E1" w14:textId="6B440903" w:rsidR="004739E3" w:rsidRPr="00CD199A" w:rsidRDefault="004739E3" w:rsidP="004739E3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CD199A">
              <w:t>-</w:t>
            </w:r>
            <w:r w:rsidRPr="00CD199A">
              <w:tab/>
              <w:t>los Asociados del UIT</w:t>
            </w:r>
            <w:r w:rsidRPr="00CD199A">
              <w:noBreakHyphen/>
              <w:t>T;</w:t>
            </w:r>
          </w:p>
          <w:p w14:paraId="7528B6C9" w14:textId="319100C2" w:rsidR="004739E3" w:rsidRPr="00CD199A" w:rsidRDefault="004739E3" w:rsidP="004739E3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CD199A">
              <w:t>-</w:t>
            </w:r>
            <w:r w:rsidRPr="00CD199A">
              <w:tab/>
              <w:t>las Instituciones Académicas de</w:t>
            </w:r>
            <w:r w:rsidR="002545F8" w:rsidRPr="00CD199A">
              <w:t xml:space="preserve"> </w:t>
            </w:r>
            <w:r w:rsidRPr="00CD199A">
              <w:t>l</w:t>
            </w:r>
            <w:r w:rsidR="002545F8" w:rsidRPr="00CD199A">
              <w:t>a</w:t>
            </w:r>
            <w:r w:rsidRPr="00CD199A">
              <w:t xml:space="preserve"> UIT</w:t>
            </w:r>
          </w:p>
        </w:tc>
      </w:tr>
      <w:tr w:rsidR="007B6316" w:rsidRPr="00CD199A" w14:paraId="7B16FE59" w14:textId="77777777" w:rsidTr="00303D62">
        <w:trPr>
          <w:cantSplit/>
        </w:trPr>
        <w:tc>
          <w:tcPr>
            <w:tcW w:w="993" w:type="dxa"/>
          </w:tcPr>
          <w:p w14:paraId="330823FA" w14:textId="77777777" w:rsidR="007B6316" w:rsidRPr="00CD199A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CD199A">
              <w:rPr>
                <w:b/>
                <w:bCs/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5A58F54D" w14:textId="0B83A614" w:rsidR="007B6316" w:rsidRPr="00CD199A" w:rsidRDefault="004739E3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CD199A">
              <w:t>+41 22 730 6301</w:t>
            </w:r>
          </w:p>
        </w:tc>
        <w:tc>
          <w:tcPr>
            <w:tcW w:w="5329" w:type="dxa"/>
            <w:vMerge/>
          </w:tcPr>
          <w:p w14:paraId="21C76FC1" w14:textId="77777777" w:rsidR="007B6316" w:rsidRPr="00CD199A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RPr="00CD199A" w14:paraId="1EF59BF3" w14:textId="77777777" w:rsidTr="00303D62">
        <w:trPr>
          <w:cantSplit/>
        </w:trPr>
        <w:tc>
          <w:tcPr>
            <w:tcW w:w="993" w:type="dxa"/>
          </w:tcPr>
          <w:p w14:paraId="3C28A839" w14:textId="77777777" w:rsidR="007B6316" w:rsidRPr="00CD199A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CD199A">
              <w:rPr>
                <w:b/>
                <w:bCs/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7ECA7157" w14:textId="60E39C7F" w:rsidR="007B6316" w:rsidRPr="00CD199A" w:rsidRDefault="004739E3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CD199A">
              <w:t>+41 22 730 5853</w:t>
            </w:r>
          </w:p>
        </w:tc>
        <w:tc>
          <w:tcPr>
            <w:tcW w:w="5329" w:type="dxa"/>
            <w:vMerge/>
          </w:tcPr>
          <w:p w14:paraId="376B0041" w14:textId="77777777" w:rsidR="007B6316" w:rsidRPr="00CD199A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:rsidRPr="00CD199A" w14:paraId="370A61C9" w14:textId="77777777" w:rsidTr="00303D62">
        <w:trPr>
          <w:cantSplit/>
        </w:trPr>
        <w:tc>
          <w:tcPr>
            <w:tcW w:w="993" w:type="dxa"/>
          </w:tcPr>
          <w:p w14:paraId="4F6C870D" w14:textId="77777777" w:rsidR="00C34772" w:rsidRPr="00CD199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CD199A">
              <w:rPr>
                <w:b/>
                <w:bCs/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1185EC65" w14:textId="4A63B6CC" w:rsidR="00C34772" w:rsidRPr="00CD199A" w:rsidRDefault="0095757C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4739E3" w:rsidRPr="00CD199A">
                <w:rPr>
                  <w:rStyle w:val="Hyperlink"/>
                </w:rPr>
                <w:t>tsbfgmv@itu.int</w:t>
              </w:r>
            </w:hyperlink>
          </w:p>
        </w:tc>
        <w:tc>
          <w:tcPr>
            <w:tcW w:w="5329" w:type="dxa"/>
          </w:tcPr>
          <w:p w14:paraId="59CA9D08" w14:textId="58D07562" w:rsidR="00C34772" w:rsidRPr="00CD199A" w:rsidRDefault="00C34772" w:rsidP="00303D62">
            <w:pPr>
              <w:tabs>
                <w:tab w:val="left" w:pos="4111"/>
              </w:tabs>
              <w:spacing w:before="0"/>
            </w:pPr>
            <w:r w:rsidRPr="00CD199A">
              <w:rPr>
                <w:b/>
              </w:rPr>
              <w:t>Copia</w:t>
            </w:r>
            <w:r w:rsidR="002545F8" w:rsidRPr="00CD199A">
              <w:rPr>
                <w:b/>
              </w:rPr>
              <w:t xml:space="preserve"> a</w:t>
            </w:r>
            <w:r w:rsidRPr="00CD199A">
              <w:t>:</w:t>
            </w:r>
          </w:p>
          <w:p w14:paraId="137EED50" w14:textId="7819CA40" w:rsidR="00C34772" w:rsidRPr="00CD199A" w:rsidRDefault="00C34772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CD199A">
              <w:t>-</w:t>
            </w:r>
            <w:r w:rsidRPr="00CD199A">
              <w:tab/>
              <w:t>l</w:t>
            </w:r>
            <w:r w:rsidR="002545F8" w:rsidRPr="00CD199A">
              <w:t>os</w:t>
            </w:r>
            <w:r w:rsidRPr="00CD199A">
              <w:t xml:space="preserve"> Presidente</w:t>
            </w:r>
            <w:r w:rsidR="002545F8" w:rsidRPr="00CD199A">
              <w:t>s</w:t>
            </w:r>
            <w:r w:rsidRPr="00CD199A">
              <w:t xml:space="preserve"> y Vicepresidentes de la</w:t>
            </w:r>
            <w:r w:rsidR="002545F8" w:rsidRPr="00CD199A">
              <w:t>s</w:t>
            </w:r>
            <w:r w:rsidRPr="00CD199A">
              <w:br/>
              <w:t>Comisi</w:t>
            </w:r>
            <w:r w:rsidR="002545F8" w:rsidRPr="00CD199A">
              <w:t>ones</w:t>
            </w:r>
            <w:r w:rsidRPr="00CD199A">
              <w:t xml:space="preserve"> de Estudio </w:t>
            </w:r>
            <w:r w:rsidR="004739E3" w:rsidRPr="00CD199A">
              <w:t>del UIT-T</w:t>
            </w:r>
            <w:r w:rsidRPr="00CD199A">
              <w:t>;</w:t>
            </w:r>
          </w:p>
          <w:p w14:paraId="0762C040" w14:textId="715CD049" w:rsidR="00C34772" w:rsidRPr="00CD199A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CD199A">
              <w:t>-</w:t>
            </w:r>
            <w:r w:rsidRPr="00CD199A">
              <w:tab/>
            </w:r>
            <w:r w:rsidR="002545F8" w:rsidRPr="00CD199A">
              <w:t>el</w:t>
            </w:r>
            <w:r w:rsidRPr="00CD199A">
              <w:t xml:space="preserve"> </w:t>
            </w:r>
            <w:proofErr w:type="gramStart"/>
            <w:r w:rsidRPr="00CD199A">
              <w:t>Director</w:t>
            </w:r>
            <w:proofErr w:type="gramEnd"/>
            <w:r w:rsidRPr="00CD199A">
              <w:t xml:space="preserve"> de la Oficina de Desarrollo de las Telecomunicaciones;</w:t>
            </w:r>
          </w:p>
          <w:p w14:paraId="4917D731" w14:textId="0A2F3617" w:rsidR="00797AF4" w:rsidRPr="00CD199A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CD199A">
              <w:t>-</w:t>
            </w:r>
            <w:r w:rsidRPr="00CD199A">
              <w:tab/>
            </w:r>
            <w:r w:rsidR="002545F8" w:rsidRPr="00CD199A">
              <w:t>e</w:t>
            </w:r>
            <w:r w:rsidRPr="00CD199A">
              <w:t xml:space="preserve">l </w:t>
            </w:r>
            <w:proofErr w:type="gramStart"/>
            <w:r w:rsidRPr="00CD199A">
              <w:t>Director</w:t>
            </w:r>
            <w:proofErr w:type="gramEnd"/>
            <w:r w:rsidRPr="00CD199A">
              <w:t xml:space="preserve"> de la Oficina de Radiocomunicaciones</w:t>
            </w:r>
          </w:p>
          <w:p w14:paraId="727614D7" w14:textId="6F8E81D6" w:rsidR="00797AF4" w:rsidRPr="00CD199A" w:rsidRDefault="00797AF4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7B6316" w:rsidRPr="00CD199A" w14:paraId="225BE342" w14:textId="77777777" w:rsidTr="00DA30ED">
        <w:trPr>
          <w:cantSplit/>
        </w:trPr>
        <w:tc>
          <w:tcPr>
            <w:tcW w:w="993" w:type="dxa"/>
          </w:tcPr>
          <w:p w14:paraId="2456223B" w14:textId="77777777" w:rsidR="007B6316" w:rsidRPr="00CD199A" w:rsidRDefault="007B6316" w:rsidP="00F72A91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 w:val="22"/>
              </w:rPr>
            </w:pPr>
            <w:r w:rsidRPr="00CD199A">
              <w:rPr>
                <w:b/>
                <w:bCs/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176BEC7B" w14:textId="5CBEEA3F" w:rsidR="007B6316" w:rsidRPr="00CD199A" w:rsidRDefault="0094226F" w:rsidP="00F72A91">
            <w:pPr>
              <w:tabs>
                <w:tab w:val="left" w:pos="4111"/>
              </w:tabs>
              <w:spacing w:before="240"/>
              <w:ind w:left="57"/>
              <w:rPr>
                <w:b/>
              </w:rPr>
            </w:pPr>
            <w:r w:rsidRPr="00CD199A">
              <w:rPr>
                <w:b/>
              </w:rPr>
              <w:t>Reuniones del Grupo de Trabajo 5 y el Grupo de Trabajo 6 del</w:t>
            </w:r>
            <w:r w:rsidR="006E022D" w:rsidRPr="00CD199A">
              <w:rPr>
                <w:b/>
              </w:rPr>
              <w:t xml:space="preserve"> Grupo Temático del UIT-T sobre el metaverso (FG-MV)</w:t>
            </w:r>
            <w:r w:rsidRPr="00CD199A">
              <w:rPr>
                <w:b/>
              </w:rPr>
              <w:t>, Ginebra, Suiza, 9-10 de mayo de</w:t>
            </w:r>
            <w:r w:rsidR="006E022D" w:rsidRPr="00CD199A">
              <w:rPr>
                <w:b/>
              </w:rPr>
              <w:t xml:space="preserve"> 2023</w:t>
            </w:r>
          </w:p>
        </w:tc>
      </w:tr>
    </w:tbl>
    <w:p w14:paraId="3A2A13C6" w14:textId="77777777" w:rsidR="00C34772" w:rsidRPr="00CD199A" w:rsidRDefault="00C34772" w:rsidP="00F72A91">
      <w:pPr>
        <w:spacing w:before="36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CD199A">
        <w:t>Muy Señora mía/Muy Señor mío:</w:t>
      </w:r>
    </w:p>
    <w:p w14:paraId="4BFA5666" w14:textId="22D4C96F" w:rsidR="0094226F" w:rsidRPr="00CD199A" w:rsidRDefault="0094226F" w:rsidP="00683C51">
      <w:r w:rsidRPr="00CD199A">
        <w:t xml:space="preserve">Me complace </w:t>
      </w:r>
      <w:proofErr w:type="gramStart"/>
      <w:r w:rsidRPr="00CD199A">
        <w:t>invitarle</w:t>
      </w:r>
      <w:proofErr w:type="gramEnd"/>
      <w:r w:rsidRPr="00CD199A">
        <w:t xml:space="preserve"> a las </w:t>
      </w:r>
      <w:r w:rsidRPr="00CD199A">
        <w:rPr>
          <w:b/>
          <w:bCs/>
        </w:rPr>
        <w:t xml:space="preserve">reuniones del Grupo de Trabajo 5 sobre </w:t>
      </w:r>
      <w:r w:rsidR="00B64275" w:rsidRPr="00CD199A">
        <w:rPr>
          <w:b/>
          <w:bCs/>
        </w:rPr>
        <w:t>"</w:t>
      </w:r>
      <w:r w:rsidRPr="00CD199A">
        <w:rPr>
          <w:b/>
          <w:bCs/>
        </w:rPr>
        <w:t>Interoperabilidad</w:t>
      </w:r>
      <w:r w:rsidR="00B64275" w:rsidRPr="00CD199A">
        <w:rPr>
          <w:b/>
          <w:bCs/>
        </w:rPr>
        <w:t>"</w:t>
      </w:r>
      <w:r w:rsidRPr="00CD199A">
        <w:rPr>
          <w:b/>
          <w:bCs/>
        </w:rPr>
        <w:t xml:space="preserve"> y el Grupo de Trabajo 6 sobre </w:t>
      </w:r>
      <w:r w:rsidR="00B64275" w:rsidRPr="00CD199A">
        <w:rPr>
          <w:b/>
          <w:bCs/>
        </w:rPr>
        <w:t>"</w:t>
      </w:r>
      <w:r w:rsidRPr="00CD199A">
        <w:rPr>
          <w:b/>
          <w:bCs/>
        </w:rPr>
        <w:t>Seguridad, datos y protección de la información de identificación personal (IIP)</w:t>
      </w:r>
      <w:r w:rsidR="00B64275" w:rsidRPr="00CD199A">
        <w:rPr>
          <w:b/>
          <w:bCs/>
        </w:rPr>
        <w:t>"</w:t>
      </w:r>
      <w:r w:rsidRPr="00CD199A">
        <w:rPr>
          <w:b/>
          <w:bCs/>
        </w:rPr>
        <w:t xml:space="preserve"> del Grupo Temático del UIT-T sobre el metaverso (FG-MV)</w:t>
      </w:r>
      <w:r w:rsidRPr="00CD199A">
        <w:t>, que se celebrarán en Ginebra, Suiza, los días 9 y 10 de mayo de 2023, respectivamente.</w:t>
      </w:r>
    </w:p>
    <w:p w14:paraId="0F85071B" w14:textId="584079BF" w:rsidR="0094226F" w:rsidRPr="00CD199A" w:rsidRDefault="0094226F" w:rsidP="0094226F">
      <w:bookmarkStart w:id="4" w:name="lt_pId050"/>
      <w:r w:rsidRPr="00CD199A">
        <w:t>1</w:t>
      </w:r>
      <w:r w:rsidRPr="00CD199A">
        <w:tab/>
      </w:r>
      <w:proofErr w:type="gramStart"/>
      <w:r w:rsidRPr="00CD199A">
        <w:t>El</w:t>
      </w:r>
      <w:proofErr w:type="gramEnd"/>
      <w:r w:rsidR="006E022D" w:rsidRPr="00CD199A">
        <w:t xml:space="preserve"> </w:t>
      </w:r>
      <w:hyperlink r:id="rId10" w:history="1">
        <w:r w:rsidR="006E022D" w:rsidRPr="00CD199A">
          <w:rPr>
            <w:rStyle w:val="Hyperlink"/>
          </w:rPr>
          <w:t xml:space="preserve">Grupo Temático del UIT-T sobre </w:t>
        </w:r>
        <w:r w:rsidR="00683C51" w:rsidRPr="00CD199A">
          <w:rPr>
            <w:rStyle w:val="Hyperlink"/>
          </w:rPr>
          <w:t xml:space="preserve">el </w:t>
        </w:r>
        <w:r w:rsidR="006E022D" w:rsidRPr="00CD199A">
          <w:rPr>
            <w:rStyle w:val="Hyperlink"/>
          </w:rPr>
          <w:t>metaverso (FG-MV)</w:t>
        </w:r>
      </w:hyperlink>
      <w:bookmarkEnd w:id="4"/>
      <w:r w:rsidRPr="00CD199A">
        <w:rPr>
          <w:rStyle w:val="Hyperlink"/>
        </w:rPr>
        <w:t xml:space="preserve"> </w:t>
      </w:r>
      <w:bookmarkStart w:id="5" w:name="lt_pId052"/>
      <w:r w:rsidR="006E022D" w:rsidRPr="00CD199A">
        <w:t xml:space="preserve">analizará los requisitos técnicos del metaverso </w:t>
      </w:r>
      <w:r w:rsidR="00683C51" w:rsidRPr="00CD199A">
        <w:t>con miras a</w:t>
      </w:r>
      <w:r w:rsidR="006E022D" w:rsidRPr="00CD199A">
        <w:t xml:space="preserve"> identificar tecnologías habilitadoras fundamentales en ámbitos que </w:t>
      </w:r>
      <w:r w:rsidR="00683C51" w:rsidRPr="00CD199A">
        <w:t>abarcan</w:t>
      </w:r>
      <w:r w:rsidR="006E022D" w:rsidRPr="00CD199A">
        <w:t xml:space="preserve"> desde los multimedios y la optimización de redes hasta las monedas digitales, la Internet de las cosas, los gemelos digitales y la sostenibilidad medioambiental.</w:t>
      </w:r>
    </w:p>
    <w:p w14:paraId="5C399703" w14:textId="2CDD760F" w:rsidR="004739E3" w:rsidRPr="00CD199A" w:rsidRDefault="0094226F" w:rsidP="0094226F">
      <w:pPr>
        <w:rPr>
          <w:szCs w:val="24"/>
        </w:rPr>
      </w:pPr>
      <w:r w:rsidRPr="00CD199A">
        <w:rPr>
          <w:szCs w:val="24"/>
        </w:rPr>
        <w:t>Creado por el Grupo Asesor de Normalización de las Telecomunicaciones (GANT) del UIT-T en su reunión celebrada en Ginebra del 12 al 16 de diciembre de 2022, el FG-MV está presidido por el S</w:t>
      </w:r>
      <w:r w:rsidRPr="00CD199A">
        <w:rPr>
          <w:rFonts w:cstheme="minorHAnsi"/>
          <w:szCs w:val="24"/>
        </w:rPr>
        <w:t>r.</w:t>
      </w:r>
      <w:r w:rsidR="00B64275" w:rsidRPr="00CD199A">
        <w:rPr>
          <w:rFonts w:cstheme="minorHAnsi"/>
          <w:szCs w:val="24"/>
        </w:rPr>
        <w:t> </w:t>
      </w:r>
      <w:r w:rsidRPr="00CD199A">
        <w:rPr>
          <w:rFonts w:cstheme="minorHAnsi"/>
          <w:szCs w:val="24"/>
        </w:rPr>
        <w:t xml:space="preserve">Shin-Gak Kang (ETRI, Rep. de Corea) y sus </w:t>
      </w:r>
      <w:proofErr w:type="gramStart"/>
      <w:r w:rsidRPr="00CD199A">
        <w:rPr>
          <w:rFonts w:cstheme="minorHAnsi"/>
          <w:szCs w:val="24"/>
        </w:rPr>
        <w:t>Vicepresidentes</w:t>
      </w:r>
      <w:proofErr w:type="gramEnd"/>
      <w:r w:rsidRPr="00CD199A">
        <w:rPr>
          <w:rFonts w:cstheme="minorHAnsi"/>
          <w:szCs w:val="24"/>
        </w:rPr>
        <w:t xml:space="preserve"> son el Sr. Vincent Affleck (Reino Unido), El Sr.</w:t>
      </w:r>
      <w:r w:rsidR="00B64275" w:rsidRPr="00CD199A">
        <w:rPr>
          <w:rFonts w:cstheme="minorHAnsi"/>
          <w:szCs w:val="24"/>
        </w:rPr>
        <w:t> </w:t>
      </w:r>
      <w:r w:rsidRPr="00CD199A">
        <w:rPr>
          <w:rFonts w:cstheme="minorHAnsi"/>
          <w:szCs w:val="24"/>
        </w:rPr>
        <w:t xml:space="preserve">Leonidas Anthopoulos (Universidad de Tesalia, Grecia), el Sr. Manuel Barreiro (Aston Group, México), la Sra. Natalia Bayona (Organización Mundial del Turismo (OMT)), el Sr Per </w:t>
      </w:r>
      <w:proofErr w:type="spellStart"/>
      <w:r w:rsidRPr="00CD199A">
        <w:rPr>
          <w:rFonts w:cstheme="minorHAnsi"/>
          <w:szCs w:val="24"/>
        </w:rPr>
        <w:t>Fröjdh</w:t>
      </w:r>
      <w:proofErr w:type="spellEnd"/>
      <w:r w:rsidRPr="00CD199A">
        <w:rPr>
          <w:rFonts w:cstheme="minorHAnsi"/>
          <w:szCs w:val="24"/>
        </w:rPr>
        <w:t xml:space="preserve"> (Ericsson, Suecia), la Sra. Shane He (Nokia, Finlandia), el Sr. </w:t>
      </w:r>
      <w:proofErr w:type="spellStart"/>
      <w:r w:rsidRPr="00CD199A">
        <w:rPr>
          <w:rFonts w:cstheme="minorHAnsi"/>
          <w:szCs w:val="24"/>
        </w:rPr>
        <w:t>Hideo</w:t>
      </w:r>
      <w:proofErr w:type="spellEnd"/>
      <w:r w:rsidRPr="00CD199A">
        <w:rPr>
          <w:rFonts w:cstheme="minorHAnsi"/>
          <w:szCs w:val="24"/>
        </w:rPr>
        <w:t xml:space="preserve"> </w:t>
      </w:r>
      <w:proofErr w:type="spellStart"/>
      <w:r w:rsidRPr="00CD199A">
        <w:rPr>
          <w:rFonts w:cstheme="minorHAnsi"/>
          <w:szCs w:val="24"/>
        </w:rPr>
        <w:t>Imanaka</w:t>
      </w:r>
      <w:proofErr w:type="spellEnd"/>
      <w:r w:rsidRPr="00CD199A">
        <w:rPr>
          <w:rFonts w:cstheme="minorHAnsi"/>
          <w:szCs w:val="24"/>
        </w:rPr>
        <w:t xml:space="preserve"> (NICT, Japón), la Sra. Stella </w:t>
      </w:r>
      <w:proofErr w:type="spellStart"/>
      <w:r w:rsidRPr="00CD199A">
        <w:rPr>
          <w:rFonts w:cstheme="minorHAnsi"/>
          <w:szCs w:val="24"/>
        </w:rPr>
        <w:t>Kipsaita</w:t>
      </w:r>
      <w:proofErr w:type="spellEnd"/>
      <w:r w:rsidRPr="00CD199A">
        <w:rPr>
          <w:rFonts w:cstheme="minorHAnsi"/>
          <w:szCs w:val="24"/>
        </w:rPr>
        <w:t xml:space="preserve"> (Autoridad de Comunicaciones, </w:t>
      </w:r>
      <w:proofErr w:type="spellStart"/>
      <w:r w:rsidRPr="00CD199A">
        <w:rPr>
          <w:rFonts w:cstheme="minorHAnsi"/>
          <w:szCs w:val="24"/>
        </w:rPr>
        <w:t>Kenya</w:t>
      </w:r>
      <w:proofErr w:type="spellEnd"/>
      <w:r w:rsidRPr="00CD199A">
        <w:rPr>
          <w:rFonts w:cstheme="minorHAnsi"/>
          <w:szCs w:val="24"/>
        </w:rPr>
        <w:t>), la Sra. Cristina Martínez (Comisión Europea), el Sr. Andrey Perez (Brasil) y el Sr.</w:t>
      </w:r>
      <w:r w:rsidR="00B64275" w:rsidRPr="00CD199A">
        <w:rPr>
          <w:rFonts w:cstheme="minorHAnsi"/>
          <w:szCs w:val="24"/>
        </w:rPr>
        <w:t> </w:t>
      </w:r>
      <w:proofErr w:type="spellStart"/>
      <w:r w:rsidRPr="00CD199A">
        <w:rPr>
          <w:rFonts w:cstheme="minorHAnsi"/>
          <w:szCs w:val="24"/>
        </w:rPr>
        <w:t>Yuntao</w:t>
      </w:r>
      <w:proofErr w:type="spellEnd"/>
      <w:r w:rsidRPr="00CD199A">
        <w:rPr>
          <w:rFonts w:cstheme="minorHAnsi"/>
          <w:szCs w:val="24"/>
        </w:rPr>
        <w:t xml:space="preserve"> Wang (China)</w:t>
      </w:r>
      <w:r w:rsidR="006E022D" w:rsidRPr="00CD199A">
        <w:rPr>
          <w:szCs w:val="24"/>
        </w:rPr>
        <w:t>.</w:t>
      </w:r>
      <w:bookmarkEnd w:id="5"/>
    </w:p>
    <w:p w14:paraId="4E0353E7" w14:textId="0DDCBA5A" w:rsidR="00A9795A" w:rsidRDefault="00A9795A" w:rsidP="0094226F">
      <w:r w:rsidRPr="00CD199A">
        <w:t>La estructura del FG-MV es la siguiente:</w:t>
      </w:r>
    </w:p>
    <w:p w14:paraId="183F5A89" w14:textId="5B107CDA" w:rsidR="00A9795A" w:rsidRDefault="00227D78" w:rsidP="00227D78">
      <w:pPr>
        <w:pStyle w:val="enumlev1"/>
      </w:pPr>
      <w:r>
        <w:t>–</w:t>
      </w:r>
      <w:r>
        <w:tab/>
      </w:r>
      <w:r w:rsidR="00A9795A" w:rsidRPr="00CD199A">
        <w:t xml:space="preserve">Grupo de Tareas Especiales – </w:t>
      </w:r>
      <w:r w:rsidRPr="00CD199A">
        <w:t>Colaboración</w:t>
      </w:r>
    </w:p>
    <w:p w14:paraId="28D0B4E6" w14:textId="5626355E" w:rsidR="00A9795A" w:rsidRDefault="00227D78" w:rsidP="00227D78">
      <w:pPr>
        <w:pStyle w:val="enumlev1"/>
      </w:pPr>
      <w:r>
        <w:t>–</w:t>
      </w:r>
      <w:r>
        <w:tab/>
      </w:r>
      <w:r w:rsidR="00A9795A" w:rsidRPr="00CD199A">
        <w:t>Grupo de Trabajo 1 – Aspectos Generales</w:t>
      </w:r>
    </w:p>
    <w:p w14:paraId="010F7F8A" w14:textId="51F45A0C" w:rsidR="00A9795A" w:rsidRDefault="00227D78" w:rsidP="00227D78">
      <w:pPr>
        <w:pStyle w:val="enumlev1"/>
      </w:pPr>
      <w:r>
        <w:t>–</w:t>
      </w:r>
      <w:r>
        <w:tab/>
      </w:r>
      <w:r w:rsidR="00A9795A" w:rsidRPr="00CD199A">
        <w:t>Grupo de Trabajo 2 – Aplicaciones y servicios</w:t>
      </w:r>
    </w:p>
    <w:p w14:paraId="2A1A840E" w14:textId="27B625AB" w:rsidR="00A9795A" w:rsidRDefault="00227D78" w:rsidP="00227D78">
      <w:pPr>
        <w:pStyle w:val="enumlev1"/>
      </w:pPr>
      <w:r>
        <w:t>–</w:t>
      </w:r>
      <w:r>
        <w:tab/>
      </w:r>
      <w:r w:rsidR="00A9795A" w:rsidRPr="00CD199A">
        <w:t>Grupo de Trabajo 3 – Arquitectura e infraestructura</w:t>
      </w:r>
    </w:p>
    <w:p w14:paraId="6B93CC7D" w14:textId="3DDA3EF9" w:rsidR="00A9795A" w:rsidRDefault="00227D78" w:rsidP="00227D78">
      <w:pPr>
        <w:pStyle w:val="enumlev1"/>
      </w:pPr>
      <w:r>
        <w:t>–</w:t>
      </w:r>
      <w:r>
        <w:tab/>
      </w:r>
      <w:r w:rsidR="00A9795A" w:rsidRPr="00CD199A">
        <w:t>Grupo de Trabajo 4 – Integración del mundo virtual/real</w:t>
      </w:r>
    </w:p>
    <w:p w14:paraId="72952B57" w14:textId="54E28F70" w:rsidR="00A9795A" w:rsidRDefault="00227D78" w:rsidP="00227D78">
      <w:pPr>
        <w:pStyle w:val="enumlev1"/>
      </w:pPr>
      <w:r>
        <w:lastRenderedPageBreak/>
        <w:t>–</w:t>
      </w:r>
      <w:r>
        <w:tab/>
      </w:r>
      <w:r w:rsidR="00A9795A" w:rsidRPr="00CD199A">
        <w:t>Grupo de Trabajo 5 – Interoperabilidad</w:t>
      </w:r>
    </w:p>
    <w:p w14:paraId="39F011C2" w14:textId="2ED82E59" w:rsidR="00A9795A" w:rsidRDefault="00227D78" w:rsidP="00227D78">
      <w:pPr>
        <w:pStyle w:val="enumlev1"/>
      </w:pPr>
      <w:r>
        <w:t>–</w:t>
      </w:r>
      <w:r>
        <w:tab/>
      </w:r>
      <w:r w:rsidR="00A9795A" w:rsidRPr="00CD199A">
        <w:t xml:space="preserve">Grupo de Trabajo 6 </w:t>
      </w:r>
      <w:r w:rsidR="00BE5AC0" w:rsidRPr="00CD199A">
        <w:t>–</w:t>
      </w:r>
      <w:r w:rsidR="00A9795A" w:rsidRPr="00CD199A">
        <w:t xml:space="preserve"> </w:t>
      </w:r>
      <w:r w:rsidR="00BE5AC0" w:rsidRPr="00CD199A">
        <w:t>Seguridad, datos y protección de la información de identificación personal (IIP)</w:t>
      </w:r>
    </w:p>
    <w:p w14:paraId="714D4BCE" w14:textId="491B598F" w:rsidR="00BE5AC0" w:rsidRDefault="00227D78" w:rsidP="00227D78">
      <w:pPr>
        <w:pStyle w:val="enumlev1"/>
      </w:pPr>
      <w:r>
        <w:t>–</w:t>
      </w:r>
      <w:r>
        <w:tab/>
      </w:r>
      <w:r w:rsidR="00BE5AC0" w:rsidRPr="00CD199A">
        <w:t>Grupo de Trabajo 7 – Aspectos económicos, reglamentarios y relacionados con la competencia</w:t>
      </w:r>
    </w:p>
    <w:p w14:paraId="72874D36" w14:textId="0278EA21" w:rsidR="00BE5AC0" w:rsidRPr="00CD199A" w:rsidRDefault="00227D78" w:rsidP="00227D78">
      <w:pPr>
        <w:pStyle w:val="enumlev1"/>
      </w:pPr>
      <w:r>
        <w:t>–</w:t>
      </w:r>
      <w:r>
        <w:tab/>
      </w:r>
      <w:r w:rsidR="00BE5AC0" w:rsidRPr="00CD199A">
        <w:t>Grupo de Trabajo 8 – Sostenibilidad, accesibilidad e inclusión.</w:t>
      </w:r>
    </w:p>
    <w:p w14:paraId="5595648B" w14:textId="6982284E" w:rsidR="00BE5AC0" w:rsidRPr="00CD199A" w:rsidRDefault="00BE5AC0" w:rsidP="00BE5AC0">
      <w:r w:rsidRPr="00CD199A">
        <w:t>2</w:t>
      </w:r>
      <w:r w:rsidRPr="00CD199A">
        <w:tab/>
        <w:t xml:space="preserve">la </w:t>
      </w:r>
      <w:r w:rsidRPr="00CD199A">
        <w:rPr>
          <w:b/>
          <w:bCs/>
        </w:rPr>
        <w:t>reunión del Grupo de Trabajo 5</w:t>
      </w:r>
      <w:r w:rsidRPr="00CD199A">
        <w:t xml:space="preserve"> se celebrará los días </w:t>
      </w:r>
      <w:r w:rsidRPr="00CD199A">
        <w:rPr>
          <w:b/>
          <w:bCs/>
        </w:rPr>
        <w:t>9 y 10 de mayo de 2023</w:t>
      </w:r>
      <w:r w:rsidRPr="00CD199A">
        <w:t xml:space="preserve"> y la reunión del </w:t>
      </w:r>
      <w:r w:rsidRPr="00CD199A">
        <w:rPr>
          <w:b/>
          <w:bCs/>
        </w:rPr>
        <w:t>Grupo de Trabajo 6</w:t>
      </w:r>
      <w:r w:rsidRPr="00CD199A">
        <w:t xml:space="preserve"> se celebrará el </w:t>
      </w:r>
      <w:r w:rsidRPr="00CD199A">
        <w:rPr>
          <w:b/>
          <w:bCs/>
        </w:rPr>
        <w:t>9 de mayo de 2023</w:t>
      </w:r>
      <w:r w:rsidRPr="00CD199A">
        <w:t>; ambas en la Sede de la UIT en Ginebra, Suiza. Antes de las reuniones podrán encontrarse los proyectos de orden del día, la documentación y demás información práctica de las reuniones de los Grupos de Trabajo en la página web del FG-MV. Los debates se celebrarán únicamente en inglés. En la página web del Grupo Temático (</w:t>
      </w:r>
      <w:hyperlink r:id="rId11" w:history="1">
        <w:r w:rsidRPr="00CD199A">
          <w:rPr>
            <w:rStyle w:val="Hyperlink"/>
          </w:rPr>
          <w:t>www.itu.int/go/fgmv</w:t>
        </w:r>
      </w:hyperlink>
      <w:r w:rsidRPr="00CD199A">
        <w:t>) también se publicará información detallada sobre el sistema de participación a distancia.</w:t>
      </w:r>
    </w:p>
    <w:p w14:paraId="41512C1A" w14:textId="1034C486" w:rsidR="00BE5AC0" w:rsidRPr="00CD199A" w:rsidRDefault="00BE5AC0" w:rsidP="00BE5AC0">
      <w:r w:rsidRPr="00CD199A">
        <w:t>El objetivo de las reuniones de los Grupos de Trabajo es avanzar los trabajos en sus respectivos ámbitos de competencia.</w:t>
      </w:r>
    </w:p>
    <w:p w14:paraId="53D74F9B" w14:textId="1452BD33" w:rsidR="00BE5AC0" w:rsidRPr="00CD199A" w:rsidRDefault="00BE5AC0" w:rsidP="00BE5AC0">
      <w:r w:rsidRPr="00CD199A">
        <w:t>Las contribuciones por escrito deben presentarse a la Secretaría de la TSB (</w:t>
      </w:r>
      <w:hyperlink r:id="rId12" w:history="1">
        <w:r w:rsidRPr="00CD199A">
          <w:rPr>
            <w:rStyle w:val="Hyperlink"/>
          </w:rPr>
          <w:t>tsbfgmv@itu.int</w:t>
        </w:r>
      </w:hyperlink>
      <w:r w:rsidRPr="00CD199A">
        <w:t xml:space="preserve">) en formato electrónico, utilizando las plantillas disponibles en la </w:t>
      </w:r>
      <w:hyperlink r:id="rId13" w:history="1">
        <w:r w:rsidRPr="00CD199A">
          <w:rPr>
            <w:rStyle w:val="Hyperlink"/>
          </w:rPr>
          <w:t>página web del FG-MV</w:t>
        </w:r>
      </w:hyperlink>
      <w:r w:rsidRPr="00CD199A">
        <w:t xml:space="preserve">. </w:t>
      </w:r>
      <w:r w:rsidRPr="00CD199A">
        <w:rPr>
          <w:b/>
          <w:bCs/>
        </w:rPr>
        <w:t>El plazo de presentación de contribuciones a las reuniones de los Grupos de Trabajo finaliza el 2 de mayo de 2023</w:t>
      </w:r>
      <w:r w:rsidRPr="00CD199A">
        <w:t>.</w:t>
      </w:r>
    </w:p>
    <w:p w14:paraId="0208E007" w14:textId="231E5BB1" w:rsidR="00160C0E" w:rsidRPr="00CD199A" w:rsidRDefault="00160C0E" w:rsidP="00160C0E">
      <w:r w:rsidRPr="00CD199A">
        <w:t>3</w:t>
      </w:r>
      <w:r w:rsidRPr="00CD199A">
        <w:tab/>
      </w:r>
      <w:proofErr w:type="gramStart"/>
      <w:r w:rsidRPr="00CD199A">
        <w:t>La</w:t>
      </w:r>
      <w:proofErr w:type="gramEnd"/>
      <w:r w:rsidRPr="00CD199A">
        <w:t xml:space="preserve"> participación en el FG-MV es gratuita y está abierta a expertos y organizaciones de todos los sectores y disciplinas pertinentes. Se invita a todos los interesados en seguir dicha labor o participar en ella a </w:t>
      </w:r>
      <w:r w:rsidR="0073183C" w:rsidRPr="00CD199A">
        <w:t xml:space="preserve">suscribirse </w:t>
      </w:r>
      <w:r w:rsidRPr="00CD199A">
        <w:t xml:space="preserve">a una lista de correo electrónico específica; en la siguiente página web se proporciona información </w:t>
      </w:r>
      <w:r w:rsidR="0073183C" w:rsidRPr="00CD199A">
        <w:t>detallada</w:t>
      </w:r>
      <w:r w:rsidRPr="00CD199A">
        <w:t xml:space="preserve"> sobre el proceso de inscripción: </w:t>
      </w:r>
      <w:hyperlink r:id="rId14" w:history="1">
        <w:r w:rsidRPr="00CD199A">
          <w:rPr>
            <w:rStyle w:val="Hyperlink"/>
          </w:rPr>
          <w:t>https://www.itu.int/en/ITU-T/focusgroups/mv/Pages/reg.aspx</w:t>
        </w:r>
      </w:hyperlink>
      <w:r w:rsidRPr="00CD199A">
        <w:t>.</w:t>
      </w:r>
      <w:bookmarkStart w:id="6" w:name="lt_pId110"/>
      <w:bookmarkEnd w:id="6"/>
    </w:p>
    <w:p w14:paraId="493EE9AC" w14:textId="4CE926A9" w:rsidR="00FD5B67" w:rsidRPr="00CD199A" w:rsidRDefault="00160C0E" w:rsidP="00B20E17">
      <w:r w:rsidRPr="00CD199A">
        <w:t>4</w:t>
      </w:r>
      <w:r w:rsidRPr="00CD199A">
        <w:tab/>
      </w:r>
      <w:proofErr w:type="gramStart"/>
      <w:r w:rsidR="00B20E17" w:rsidRPr="00CD199A">
        <w:t>A</w:t>
      </w:r>
      <w:proofErr w:type="gramEnd"/>
      <w:r w:rsidR="00B20E17" w:rsidRPr="00CD199A">
        <w:t xml:space="preserve"> fin de que la </w:t>
      </w:r>
      <w:r w:rsidR="00BE5AC0" w:rsidRPr="00CD199A">
        <w:t>TSB</w:t>
      </w:r>
      <w:r w:rsidR="00B20E17" w:rsidRPr="00CD199A">
        <w:t xml:space="preserve"> pueda adoptar las disposiciones logísticas necesarias, se invita a los participantes a inscribirse en línea </w:t>
      </w:r>
      <w:r w:rsidR="00DF6379" w:rsidRPr="00CD199A">
        <w:t>a través de</w:t>
      </w:r>
      <w:r w:rsidR="00B20E17" w:rsidRPr="00CD199A">
        <w:t xml:space="preserve"> la </w:t>
      </w:r>
      <w:hyperlink r:id="rId15" w:history="1">
        <w:r w:rsidR="00B20E17" w:rsidRPr="00CD199A">
          <w:rPr>
            <w:rStyle w:val="Hyperlink"/>
          </w:rPr>
          <w:t>página web del FG-MV</w:t>
        </w:r>
      </w:hyperlink>
      <w:r w:rsidR="00B20E17" w:rsidRPr="00CD199A">
        <w:t xml:space="preserve"> lo antes</w:t>
      </w:r>
      <w:r w:rsidR="00DF6379" w:rsidRPr="00CD199A">
        <w:t xml:space="preserve"> posible</w:t>
      </w:r>
      <w:r w:rsidR="00BE5AC0" w:rsidRPr="00CD199A">
        <w:t xml:space="preserve"> y antes del </w:t>
      </w:r>
      <w:r w:rsidR="00BE5AC0" w:rsidRPr="00CD199A">
        <w:rPr>
          <w:b/>
          <w:bCs/>
        </w:rPr>
        <w:t>21 de abril de 2023</w:t>
      </w:r>
      <w:r w:rsidR="00BE5AC0" w:rsidRPr="00CD199A">
        <w:t>, a más tardar</w:t>
      </w:r>
      <w:r w:rsidR="00B20E17" w:rsidRPr="00CD199A">
        <w:t xml:space="preserve">. La inscripción es obligatoria tanto para participar a distancia como para asistir en persona a la reunión. Le </w:t>
      </w:r>
      <w:r w:rsidR="00DF6379" w:rsidRPr="00CD199A">
        <w:t>rogamos</w:t>
      </w:r>
      <w:r w:rsidR="00B20E17" w:rsidRPr="00CD199A">
        <w:t xml:space="preserve"> tenga en cuenta que la preinscripción de los participantes para est</w:t>
      </w:r>
      <w:r w:rsidR="00BE5AC0" w:rsidRPr="00CD199A">
        <w:t>a</w:t>
      </w:r>
      <w:r w:rsidR="00B20E17" w:rsidRPr="00CD199A">
        <w:t xml:space="preserve">s </w:t>
      </w:r>
      <w:r w:rsidR="00BE5AC0" w:rsidRPr="00CD199A">
        <w:t>reuniones</w:t>
      </w:r>
      <w:r w:rsidR="00B20E17" w:rsidRPr="00CD199A">
        <w:t xml:space="preserve"> se llevará a cabo exclusivamente en línea.</w:t>
      </w:r>
    </w:p>
    <w:p w14:paraId="6DB016EC" w14:textId="30C7A1D0" w:rsidR="00BE5AC0" w:rsidRPr="00CD199A" w:rsidRDefault="00BE5AC0" w:rsidP="00BE5AC0">
      <w:pPr>
        <w:rPr>
          <w:rFonts w:ascii="Calibri" w:hAnsi="Calibri"/>
          <w:sz w:val="22"/>
          <w:szCs w:val="22"/>
        </w:rPr>
      </w:pPr>
      <w:r w:rsidRPr="00CD199A">
        <w:t>5</w:t>
      </w:r>
      <w:r w:rsidR="00413E6A" w:rsidRPr="00CD199A">
        <w:tab/>
      </w:r>
      <w:proofErr w:type="gramStart"/>
      <w:r w:rsidRPr="00CD199A">
        <w:rPr>
          <w:rFonts w:ascii="Calibri" w:hAnsi="Calibri"/>
          <w:bCs/>
          <w:sz w:val="22"/>
          <w:szCs w:val="22"/>
        </w:rPr>
        <w:t>Le</w:t>
      </w:r>
      <w:proofErr w:type="gramEnd"/>
      <w:r w:rsidRPr="00CD199A">
        <w:rPr>
          <w:rFonts w:ascii="Calibri" w:hAnsi="Calibri"/>
          <w:bCs/>
          <w:sz w:val="22"/>
          <w:szCs w:val="22"/>
        </w:rPr>
        <w:t xml:space="preserve"> recuerdo</w:t>
      </w:r>
      <w:r w:rsidRPr="00CD199A">
        <w:rPr>
          <w:rFonts w:ascii="Calibri" w:hAnsi="Calibri"/>
          <w:sz w:val="22"/>
          <w:szCs w:val="22"/>
        </w:rPr>
        <w:t xml:space="preserve"> que los ciudadanos de algunos países necesitan un visado para poder entrar y efectuar una estadía en Suiza. </w:t>
      </w:r>
      <w:r w:rsidRPr="00CD199A">
        <w:rPr>
          <w:rFonts w:ascii="Calibri" w:hAnsi="Calibri"/>
          <w:b/>
          <w:bCs/>
          <w:sz w:val="22"/>
          <w:szCs w:val="22"/>
        </w:rPr>
        <w:t>El visado debe solicitarse al menos cuatro (4) semanas antes de la fecha de inicio de la reunión</w:t>
      </w:r>
      <w:r w:rsidRPr="00CD199A">
        <w:rPr>
          <w:rFonts w:ascii="Calibri" w:hAnsi="Calibri"/>
          <w:sz w:val="22"/>
          <w:szCs w:val="22"/>
        </w:rPr>
        <w:t>, y obtenerse en la oficina (Embajada o Consulado) que representa a Suiza en su país, o, si no existiera dicha oficina en su país, en la que sea más cercana al país de salida.</w:t>
      </w:r>
    </w:p>
    <w:p w14:paraId="071AF35E" w14:textId="3A6A49BC" w:rsidR="00BE5AC0" w:rsidRPr="00227D78" w:rsidRDefault="00BE5AC0" w:rsidP="00227D78">
      <w:pPr>
        <w:spacing w:after="240"/>
        <w:rPr>
          <w:rFonts w:ascii="Calibri" w:hAnsi="Calibri"/>
          <w:sz w:val="22"/>
          <w:szCs w:val="22"/>
        </w:rPr>
      </w:pPr>
      <w:r w:rsidRPr="00CD199A">
        <w:rPr>
          <w:rFonts w:ascii="Calibri" w:hAnsi="Calibri"/>
          <w:sz w:val="22"/>
          <w:szCs w:val="22"/>
        </w:rPr>
        <w:t xml:space="preserve">Si un </w:t>
      </w:r>
      <w:r w:rsidRPr="00CD199A">
        <w:rPr>
          <w:rFonts w:ascii="Calibri" w:hAnsi="Calibri"/>
          <w:b/>
          <w:bCs/>
          <w:sz w:val="22"/>
          <w:szCs w:val="22"/>
        </w:rPr>
        <w:t>Estado Miembro</w:t>
      </w:r>
      <w:r w:rsidRPr="00CD199A">
        <w:rPr>
          <w:rFonts w:ascii="Calibri" w:hAnsi="Calibri"/>
          <w:sz w:val="22"/>
          <w:szCs w:val="22"/>
        </w:rPr>
        <w:t xml:space="preserve">, un </w:t>
      </w:r>
      <w:r w:rsidRPr="00CD199A">
        <w:rPr>
          <w:rFonts w:ascii="Calibri" w:hAnsi="Calibri"/>
          <w:b/>
          <w:bCs/>
          <w:sz w:val="22"/>
          <w:szCs w:val="22"/>
        </w:rPr>
        <w:t>Miembro de Sector</w:t>
      </w:r>
      <w:r w:rsidRPr="00CD199A">
        <w:rPr>
          <w:rFonts w:ascii="Calibri" w:hAnsi="Calibri"/>
          <w:sz w:val="22"/>
          <w:szCs w:val="22"/>
        </w:rPr>
        <w:t xml:space="preserve">, un </w:t>
      </w:r>
      <w:r w:rsidRPr="00CD199A">
        <w:rPr>
          <w:rFonts w:ascii="Calibri" w:hAnsi="Calibri"/>
          <w:b/>
          <w:bCs/>
          <w:sz w:val="22"/>
          <w:szCs w:val="22"/>
        </w:rPr>
        <w:t>Asociado</w:t>
      </w:r>
      <w:r w:rsidRPr="00CD199A">
        <w:rPr>
          <w:rFonts w:ascii="Calibri" w:hAnsi="Calibri"/>
          <w:sz w:val="22"/>
          <w:szCs w:val="22"/>
        </w:rPr>
        <w:t xml:space="preserve"> o una </w:t>
      </w:r>
      <w:r w:rsidRPr="00CD199A">
        <w:rPr>
          <w:rFonts w:ascii="Calibri" w:hAnsi="Calibri"/>
          <w:b/>
          <w:bCs/>
          <w:sz w:val="22"/>
          <w:szCs w:val="22"/>
        </w:rPr>
        <w:t>Institución Académica</w:t>
      </w:r>
      <w:r w:rsidRPr="00CD199A">
        <w:rPr>
          <w:rFonts w:ascii="Calibri" w:hAnsi="Calibri"/>
          <w:sz w:val="22"/>
          <w:szCs w:val="22"/>
        </w:rPr>
        <w:t xml:space="preserve"> </w:t>
      </w:r>
      <w:r w:rsidRPr="00CD199A">
        <w:rPr>
          <w:rFonts w:ascii="Calibri" w:hAnsi="Calibri"/>
          <w:b/>
          <w:bCs/>
          <w:sz w:val="22"/>
          <w:szCs w:val="22"/>
        </w:rPr>
        <w:t>de la UIT</w:t>
      </w:r>
      <w:r w:rsidRPr="00CD199A">
        <w:rPr>
          <w:rFonts w:ascii="Calibri" w:hAnsi="Calibri"/>
          <w:sz w:val="22"/>
          <w:szCs w:val="22"/>
        </w:rPr>
        <w:t xml:space="preserve"> tropieza con problemas, y previa solicitud oficial de su parte a la TSB, la Unión puede intervenir ante las autoridades suizas competentes para facilitar la expedición de ese visado, pero solamente durante el periodo mencionado de </w:t>
      </w:r>
      <w:r w:rsidRPr="00CD199A">
        <w:rPr>
          <w:rFonts w:ascii="Calibri" w:hAnsi="Calibri"/>
          <w:b/>
          <w:bCs/>
          <w:sz w:val="22"/>
          <w:szCs w:val="22"/>
        </w:rPr>
        <w:t>cuatro</w:t>
      </w:r>
      <w:r w:rsidRPr="00CD199A">
        <w:rPr>
          <w:rFonts w:ascii="Calibri" w:hAnsi="Calibri"/>
          <w:sz w:val="22"/>
          <w:szCs w:val="22"/>
        </w:rPr>
        <w:t xml:space="preserve"> semanas. Toda solicitud al respecto debe formularse marcando la casilla correspondiente en el formulario a más tardar cuatro semanas antes del evento. Las preguntas deben remitirse a la Sección de Viajes de la UIT (</w:t>
      </w:r>
      <w:hyperlink r:id="rId16" w:history="1">
        <w:r w:rsidRPr="00CD199A">
          <w:rPr>
            <w:rStyle w:val="Hyperlink"/>
            <w:rFonts w:ascii="Calibri" w:hAnsi="Calibri"/>
            <w:sz w:val="22"/>
            <w:szCs w:val="22"/>
          </w:rPr>
          <w:t>travel@itu.int</w:t>
        </w:r>
      </w:hyperlink>
      <w:r w:rsidRPr="00CD199A">
        <w:rPr>
          <w:rFonts w:ascii="Calibri" w:hAnsi="Calibri"/>
          <w:sz w:val="22"/>
          <w:szCs w:val="22"/>
        </w:rPr>
        <w:t>) con la mención "</w:t>
      </w:r>
      <w:r w:rsidRPr="00CD199A">
        <w:rPr>
          <w:rFonts w:ascii="Calibri" w:hAnsi="Calibri"/>
          <w:b/>
          <w:bCs/>
          <w:sz w:val="22"/>
          <w:szCs w:val="22"/>
        </w:rPr>
        <w:t>Apoyo para el visado</w:t>
      </w:r>
      <w:r w:rsidRPr="00CD199A">
        <w:rPr>
          <w:rFonts w:ascii="Calibri" w:hAnsi="Calibri"/>
          <w:sz w:val="22"/>
          <w:szCs w:val="22"/>
        </w:rPr>
        <w:t>".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17"/>
        <w:gridCol w:w="7212"/>
      </w:tblGrid>
      <w:tr w:rsidR="00101E2C" w:rsidRPr="00CD199A" w14:paraId="0DF633B4" w14:textId="77777777" w:rsidTr="00101E2C">
        <w:trPr>
          <w:trHeight w:val="438"/>
        </w:trPr>
        <w:tc>
          <w:tcPr>
            <w:tcW w:w="2417" w:type="dxa"/>
          </w:tcPr>
          <w:p w14:paraId="04205DBC" w14:textId="4CD4F522" w:rsidR="00101E2C" w:rsidRPr="00CD199A" w:rsidRDefault="00BE5AC0" w:rsidP="00101E2C">
            <w:pPr>
              <w:pStyle w:val="Tabletext0"/>
            </w:pPr>
            <w:bookmarkStart w:id="7" w:name="_Hlk124850442"/>
            <w:r w:rsidRPr="00CD199A">
              <w:t>14 de abril de 2023</w:t>
            </w:r>
          </w:p>
        </w:tc>
        <w:tc>
          <w:tcPr>
            <w:tcW w:w="7212" w:type="dxa"/>
          </w:tcPr>
          <w:p w14:paraId="68B8A09A" w14:textId="2C860ACD" w:rsidR="00101E2C" w:rsidRPr="00CD199A" w:rsidRDefault="00101E2C" w:rsidP="00101E2C">
            <w:pPr>
              <w:pStyle w:val="Tabletext0"/>
              <w:ind w:left="284" w:hanging="284"/>
            </w:pPr>
            <w:bookmarkStart w:id="8" w:name="lt_pId089"/>
            <w:r w:rsidRPr="00CD199A">
              <w:t>–</w:t>
            </w:r>
            <w:r w:rsidRPr="00CD199A">
              <w:tab/>
              <w:t xml:space="preserve">Presentación de </w:t>
            </w:r>
            <w:r w:rsidR="00BE5AC0" w:rsidRPr="00CD199A">
              <w:t xml:space="preserve">solicitudes </w:t>
            </w:r>
            <w:r w:rsidR="00A00F3A" w:rsidRPr="00CD199A">
              <w:t>de carta de apoyo a la obtención de visados (en línea a través del formulario de inscripción)</w:t>
            </w:r>
            <w:bookmarkEnd w:id="8"/>
          </w:p>
        </w:tc>
      </w:tr>
      <w:tr w:rsidR="00101E2C" w:rsidRPr="00CD199A" w14:paraId="24420F21" w14:textId="77777777" w:rsidTr="00101E2C">
        <w:trPr>
          <w:trHeight w:val="438"/>
        </w:trPr>
        <w:tc>
          <w:tcPr>
            <w:tcW w:w="2417" w:type="dxa"/>
          </w:tcPr>
          <w:p w14:paraId="392A2841" w14:textId="42A79F31" w:rsidR="00101E2C" w:rsidRPr="00CD199A" w:rsidRDefault="00A00F3A" w:rsidP="00101E2C">
            <w:pPr>
              <w:pStyle w:val="Tabletext0"/>
            </w:pPr>
            <w:r w:rsidRPr="00CD199A">
              <w:t>21 de abril de 2023</w:t>
            </w:r>
          </w:p>
        </w:tc>
        <w:tc>
          <w:tcPr>
            <w:tcW w:w="7212" w:type="dxa"/>
          </w:tcPr>
          <w:p w14:paraId="2157115E" w14:textId="589A062D" w:rsidR="00101E2C" w:rsidRPr="00CD199A" w:rsidRDefault="00101E2C" w:rsidP="00101E2C">
            <w:pPr>
              <w:pStyle w:val="Tabletext0"/>
            </w:pPr>
            <w:bookmarkStart w:id="9" w:name="lt_pId092"/>
            <w:r w:rsidRPr="00CD199A">
              <w:t>–</w:t>
            </w:r>
            <w:r w:rsidRPr="00CD199A">
              <w:tab/>
              <w:t xml:space="preserve">Preinscripción (en línea a través de la </w:t>
            </w:r>
            <w:hyperlink r:id="rId17" w:history="1">
              <w:r w:rsidRPr="00CD199A">
                <w:rPr>
                  <w:rStyle w:val="Hyperlink"/>
                </w:rPr>
                <w:t xml:space="preserve">página </w:t>
              </w:r>
              <w:r w:rsidR="00C870FD" w:rsidRPr="00CD199A">
                <w:rPr>
                  <w:rStyle w:val="Hyperlink"/>
                </w:rPr>
                <w:t>web</w:t>
              </w:r>
              <w:r w:rsidRPr="00CD199A">
                <w:rPr>
                  <w:rStyle w:val="Hyperlink"/>
                </w:rPr>
                <w:t xml:space="preserve"> del FG-MV</w:t>
              </w:r>
            </w:hyperlink>
            <w:r w:rsidRPr="00CD199A">
              <w:t>)</w:t>
            </w:r>
            <w:bookmarkEnd w:id="9"/>
          </w:p>
        </w:tc>
      </w:tr>
      <w:tr w:rsidR="00A00F3A" w:rsidRPr="00CD199A" w14:paraId="599F99E9" w14:textId="77777777" w:rsidTr="00101E2C">
        <w:trPr>
          <w:trHeight w:val="438"/>
        </w:trPr>
        <w:tc>
          <w:tcPr>
            <w:tcW w:w="2417" w:type="dxa"/>
          </w:tcPr>
          <w:p w14:paraId="311F5649" w14:textId="19511ED0" w:rsidR="00A00F3A" w:rsidRPr="00CD199A" w:rsidRDefault="00A00F3A" w:rsidP="00101E2C">
            <w:pPr>
              <w:pStyle w:val="Tabletext0"/>
            </w:pPr>
            <w:r w:rsidRPr="00CD199A">
              <w:t>2 de mayo de 2023</w:t>
            </w:r>
          </w:p>
        </w:tc>
        <w:tc>
          <w:tcPr>
            <w:tcW w:w="7212" w:type="dxa"/>
          </w:tcPr>
          <w:p w14:paraId="1A3E0DAE" w14:textId="156BE7A8" w:rsidR="00A00F3A" w:rsidRPr="00CD199A" w:rsidRDefault="00B04145" w:rsidP="00A00F3A">
            <w:pPr>
              <w:pStyle w:val="Tabletext0"/>
            </w:pPr>
            <w:r w:rsidRPr="00CD199A">
              <w:t>–</w:t>
            </w:r>
            <w:r w:rsidRPr="00CD199A">
              <w:tab/>
            </w:r>
            <w:r w:rsidR="00A00F3A" w:rsidRPr="00CD199A">
              <w:t xml:space="preserve">Presentación de contribuciones por escrito (por correo-e a </w:t>
            </w:r>
            <w:hyperlink r:id="rId18" w:history="1">
              <w:r w:rsidR="00A00F3A" w:rsidRPr="00CD199A">
                <w:rPr>
                  <w:rStyle w:val="Hyperlink"/>
                </w:rPr>
                <w:t>tsbfgmv@itu.int</w:t>
              </w:r>
            </w:hyperlink>
            <w:r w:rsidR="00A00F3A" w:rsidRPr="00CD199A">
              <w:t>)</w:t>
            </w:r>
          </w:p>
        </w:tc>
      </w:tr>
    </w:tbl>
    <w:bookmarkEnd w:id="7"/>
    <w:p w14:paraId="154B1F83" w14:textId="52A34CE2" w:rsidR="00101E2C" w:rsidRPr="00CD199A" w:rsidRDefault="00101E2C" w:rsidP="00101E2C">
      <w:r w:rsidRPr="00CD199A">
        <w:lastRenderedPageBreak/>
        <w:t>Le deseo una reunión agradable y fructífera.</w:t>
      </w:r>
    </w:p>
    <w:p w14:paraId="13FB6EBC" w14:textId="2E3E4ECD" w:rsidR="00B20E17" w:rsidRPr="00CD199A" w:rsidRDefault="00101E2C" w:rsidP="00B20E17">
      <w:r w:rsidRPr="00CD199A">
        <w:t>Atentamente,</w:t>
      </w:r>
    </w:p>
    <w:p w14:paraId="47968299" w14:textId="77777777" w:rsidR="007B6316" w:rsidRPr="00CD199A" w:rsidRDefault="007B6316" w:rsidP="002F10BB">
      <w:pPr>
        <w:spacing w:before="480" w:after="480"/>
        <w:rPr>
          <w:i/>
          <w:iCs/>
          <w:sz w:val="28"/>
          <w:szCs w:val="22"/>
        </w:rPr>
      </w:pPr>
      <w:r w:rsidRPr="00CD199A">
        <w:rPr>
          <w:i/>
          <w:iCs/>
        </w:rPr>
        <w:t>(firmado)</w:t>
      </w:r>
    </w:p>
    <w:p w14:paraId="1AB1FC8B" w14:textId="42DAF2CC" w:rsidR="004739E3" w:rsidRPr="00CD199A" w:rsidRDefault="00101E2C" w:rsidP="002F10BB">
      <w:pPr>
        <w:spacing w:before="480"/>
      </w:pPr>
      <w:r w:rsidRPr="00CD199A">
        <w:t>Seizo Onoe</w:t>
      </w:r>
      <w:r w:rsidR="007B6316" w:rsidRPr="00CD199A">
        <w:br/>
      </w:r>
      <w:proofErr w:type="gramStart"/>
      <w:r w:rsidR="007B6316" w:rsidRPr="00CD199A">
        <w:t>Director</w:t>
      </w:r>
      <w:proofErr w:type="gramEnd"/>
      <w:r w:rsidR="007B6316" w:rsidRPr="00CD199A">
        <w:t xml:space="preserve"> de la Oficina de </w:t>
      </w:r>
      <w:r w:rsidR="007B6316" w:rsidRPr="00CD199A">
        <w:br/>
        <w:t>Normalización de las Telecomunicaciones</w:t>
      </w:r>
    </w:p>
    <w:sectPr w:rsidR="004739E3" w:rsidRPr="00CD199A" w:rsidSect="00B87E9E">
      <w:head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F8E1" w14:textId="77777777" w:rsidR="00C002B3" w:rsidRDefault="00C002B3">
      <w:r>
        <w:separator/>
      </w:r>
    </w:p>
  </w:endnote>
  <w:endnote w:type="continuationSeparator" w:id="0">
    <w:p w14:paraId="2FF3CA1D" w14:textId="77777777" w:rsidR="00C002B3" w:rsidRDefault="00C0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90FC" w14:textId="69C866FB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4739E3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03DB" w14:textId="77777777" w:rsidR="00C002B3" w:rsidRDefault="00C002B3">
      <w:r>
        <w:t>____________________</w:t>
      </w:r>
    </w:p>
  </w:footnote>
  <w:footnote w:type="continuationSeparator" w:id="0">
    <w:p w14:paraId="7B8DE56C" w14:textId="77777777" w:rsidR="00C002B3" w:rsidRDefault="00C0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D207" w14:textId="5D4062B5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0A17A894" w14:textId="72635053" w:rsidR="00B338D5" w:rsidRPr="00303D62" w:rsidRDefault="00B338D5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9</w:t>
    </w:r>
    <w:r w:rsidR="004C41D9">
      <w:rPr>
        <w:rStyle w:val="PageNumber"/>
        <w:sz w:val="18"/>
        <w:szCs w:val="1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699D"/>
    <w:multiLevelType w:val="hybridMultilevel"/>
    <w:tmpl w:val="FF20F686"/>
    <w:lvl w:ilvl="0" w:tplc="EECED38E">
      <w:start w:val="1"/>
      <w:numFmt w:val="bullet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66D43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A26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21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4D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3E3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A7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AE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9A0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50D57CA"/>
    <w:multiLevelType w:val="hybridMultilevel"/>
    <w:tmpl w:val="0E1A7E00"/>
    <w:lvl w:ilvl="0" w:tplc="33721578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BE77F0A"/>
    <w:multiLevelType w:val="hybridMultilevel"/>
    <w:tmpl w:val="E2962FAE"/>
    <w:lvl w:ilvl="0" w:tplc="4E603CD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200A3"/>
    <w:multiLevelType w:val="hybridMultilevel"/>
    <w:tmpl w:val="CCE286F0"/>
    <w:lvl w:ilvl="0" w:tplc="81FACE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9F2E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F28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08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C2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26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25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A6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A0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6A064D"/>
    <w:multiLevelType w:val="hybridMultilevel"/>
    <w:tmpl w:val="DBC48856"/>
    <w:lvl w:ilvl="0" w:tplc="1F86CD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670445798">
    <w:abstractNumId w:val="1"/>
  </w:num>
  <w:num w:numId="2" w16cid:durableId="426391081">
    <w:abstractNumId w:val="8"/>
  </w:num>
  <w:num w:numId="3" w16cid:durableId="281112812">
    <w:abstractNumId w:val="6"/>
  </w:num>
  <w:num w:numId="4" w16cid:durableId="1704089449">
    <w:abstractNumId w:val="3"/>
  </w:num>
  <w:num w:numId="5" w16cid:durableId="1937785005">
    <w:abstractNumId w:val="0"/>
  </w:num>
  <w:num w:numId="6" w16cid:durableId="192232931">
    <w:abstractNumId w:val="5"/>
  </w:num>
  <w:num w:numId="7" w16cid:durableId="2014064139">
    <w:abstractNumId w:val="4"/>
  </w:num>
  <w:num w:numId="8" w16cid:durableId="797721734">
    <w:abstractNumId w:val="2"/>
  </w:num>
  <w:num w:numId="9" w16cid:durableId="1018001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0MjYwNDM0NDA3MjNX0lEKTi0uzszPAykwqgUA9FhO6iwAAAA="/>
  </w:docVars>
  <w:rsids>
    <w:rsidRoot w:val="00C002B3"/>
    <w:rsid w:val="00002529"/>
    <w:rsid w:val="00072445"/>
    <w:rsid w:val="000774FF"/>
    <w:rsid w:val="00085662"/>
    <w:rsid w:val="000C382F"/>
    <w:rsid w:val="000C602C"/>
    <w:rsid w:val="00101E2C"/>
    <w:rsid w:val="001173CC"/>
    <w:rsid w:val="00134906"/>
    <w:rsid w:val="0014464D"/>
    <w:rsid w:val="00160C0E"/>
    <w:rsid w:val="001A54CC"/>
    <w:rsid w:val="002236BD"/>
    <w:rsid w:val="00227D78"/>
    <w:rsid w:val="002545F8"/>
    <w:rsid w:val="00257FB4"/>
    <w:rsid w:val="002C6BDF"/>
    <w:rsid w:val="002D0EA9"/>
    <w:rsid w:val="002E496E"/>
    <w:rsid w:val="002F10BB"/>
    <w:rsid w:val="0030224D"/>
    <w:rsid w:val="00303D62"/>
    <w:rsid w:val="00327276"/>
    <w:rsid w:val="00335367"/>
    <w:rsid w:val="00370C2D"/>
    <w:rsid w:val="00395749"/>
    <w:rsid w:val="003D1E8D"/>
    <w:rsid w:val="003D673B"/>
    <w:rsid w:val="003F27CF"/>
    <w:rsid w:val="003F2855"/>
    <w:rsid w:val="003F2BE8"/>
    <w:rsid w:val="00401C20"/>
    <w:rsid w:val="0040272A"/>
    <w:rsid w:val="00413E6A"/>
    <w:rsid w:val="00415122"/>
    <w:rsid w:val="00416E90"/>
    <w:rsid w:val="00450DEB"/>
    <w:rsid w:val="004658C9"/>
    <w:rsid w:val="004739E3"/>
    <w:rsid w:val="004A539C"/>
    <w:rsid w:val="004A7957"/>
    <w:rsid w:val="004C4144"/>
    <w:rsid w:val="004C41D9"/>
    <w:rsid w:val="0055719E"/>
    <w:rsid w:val="005804FD"/>
    <w:rsid w:val="005F4607"/>
    <w:rsid w:val="00655D3A"/>
    <w:rsid w:val="00683C51"/>
    <w:rsid w:val="006969B4"/>
    <w:rsid w:val="006E022D"/>
    <w:rsid w:val="006E4F7B"/>
    <w:rsid w:val="0073183C"/>
    <w:rsid w:val="00740BDD"/>
    <w:rsid w:val="00781E2A"/>
    <w:rsid w:val="007933A2"/>
    <w:rsid w:val="00797AF4"/>
    <w:rsid w:val="007A0A57"/>
    <w:rsid w:val="007A6760"/>
    <w:rsid w:val="007B6316"/>
    <w:rsid w:val="00814503"/>
    <w:rsid w:val="008258C2"/>
    <w:rsid w:val="008505BD"/>
    <w:rsid w:val="00850C78"/>
    <w:rsid w:val="008654E5"/>
    <w:rsid w:val="00876165"/>
    <w:rsid w:val="00884D12"/>
    <w:rsid w:val="008923C3"/>
    <w:rsid w:val="00894D57"/>
    <w:rsid w:val="008B5344"/>
    <w:rsid w:val="008C17AD"/>
    <w:rsid w:val="008C7EC8"/>
    <w:rsid w:val="008D02CD"/>
    <w:rsid w:val="0091370C"/>
    <w:rsid w:val="009371EB"/>
    <w:rsid w:val="0094226F"/>
    <w:rsid w:val="0095172A"/>
    <w:rsid w:val="0096001F"/>
    <w:rsid w:val="009A0BA0"/>
    <w:rsid w:val="00A00F3A"/>
    <w:rsid w:val="00A07516"/>
    <w:rsid w:val="00A54E47"/>
    <w:rsid w:val="00A70BC3"/>
    <w:rsid w:val="00A81D0B"/>
    <w:rsid w:val="00A9795A"/>
    <w:rsid w:val="00AB6E3A"/>
    <w:rsid w:val="00AC72E4"/>
    <w:rsid w:val="00AE7093"/>
    <w:rsid w:val="00B04145"/>
    <w:rsid w:val="00B20E17"/>
    <w:rsid w:val="00B338D5"/>
    <w:rsid w:val="00B422BC"/>
    <w:rsid w:val="00B43F77"/>
    <w:rsid w:val="00B55A3E"/>
    <w:rsid w:val="00B64275"/>
    <w:rsid w:val="00B87E9E"/>
    <w:rsid w:val="00B95F0A"/>
    <w:rsid w:val="00B96180"/>
    <w:rsid w:val="00B96751"/>
    <w:rsid w:val="00BE5AC0"/>
    <w:rsid w:val="00C002B3"/>
    <w:rsid w:val="00C116FE"/>
    <w:rsid w:val="00C15AE7"/>
    <w:rsid w:val="00C17AC0"/>
    <w:rsid w:val="00C27691"/>
    <w:rsid w:val="00C34772"/>
    <w:rsid w:val="00C5465A"/>
    <w:rsid w:val="00C67B00"/>
    <w:rsid w:val="00C870FD"/>
    <w:rsid w:val="00CD199A"/>
    <w:rsid w:val="00CE1A63"/>
    <w:rsid w:val="00D0791A"/>
    <w:rsid w:val="00D54642"/>
    <w:rsid w:val="00D55830"/>
    <w:rsid w:val="00D834E7"/>
    <w:rsid w:val="00DD03AF"/>
    <w:rsid w:val="00DD77C9"/>
    <w:rsid w:val="00DF3538"/>
    <w:rsid w:val="00DF6379"/>
    <w:rsid w:val="00E06A3D"/>
    <w:rsid w:val="00E46862"/>
    <w:rsid w:val="00E50A59"/>
    <w:rsid w:val="00E674EE"/>
    <w:rsid w:val="00E839B0"/>
    <w:rsid w:val="00E92C09"/>
    <w:rsid w:val="00EB74CD"/>
    <w:rsid w:val="00EE5709"/>
    <w:rsid w:val="00F14380"/>
    <w:rsid w:val="00F6461F"/>
    <w:rsid w:val="00F72A91"/>
    <w:rsid w:val="00FC416A"/>
    <w:rsid w:val="00FD2B2D"/>
    <w:rsid w:val="00FD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1E3EA"/>
  <w15:docId w15:val="{6E0B2C29-0C3A-476D-8D40-9C211E01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超链接1,하이퍼링크2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39E3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4739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rsid w:val="0010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0272A"/>
    <w:rPr>
      <w:rFonts w:asciiTheme="minorHAnsi" w:hAnsiTheme="minorHAnsi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942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mv/Pages/default.aspx" TargetMode="External"/><Relationship Id="rId18" Type="http://schemas.openxmlformats.org/officeDocument/2006/relationships/hyperlink" Target="mailto:tsbfgmv@itu.in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sbfgmv@itu.int" TargetMode="External"/><Relationship Id="rId17" Type="http://schemas.openxmlformats.org/officeDocument/2006/relationships/hyperlink" Target="http://www.itu.int/go/fgm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ravel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m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mv/Pages/default.aspx" TargetMode="External"/><Relationship Id="rId10" Type="http://schemas.openxmlformats.org/officeDocument/2006/relationships/hyperlink" Target="https://www.itu.int/en/ITU-T/focusgroups/mv/Pages/default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fgmv@itu.int" TargetMode="External"/><Relationship Id="rId14" Type="http://schemas.openxmlformats.org/officeDocument/2006/relationships/hyperlink" Target="https://www.itu.int/en/ITU-T/focusgroups/mv/Pages/reg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</TotalTime>
  <Pages>3</Pages>
  <Words>991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6729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Maguire, Mairéad</cp:lastModifiedBy>
  <cp:revision>2</cp:revision>
  <cp:lastPrinted>2011-04-15T08:24:00Z</cp:lastPrinted>
  <dcterms:created xsi:type="dcterms:W3CDTF">2023-06-13T08:10:00Z</dcterms:created>
  <dcterms:modified xsi:type="dcterms:W3CDTF">2023-06-13T08:10:00Z</dcterms:modified>
</cp:coreProperties>
</file>