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142"/>
        <w:gridCol w:w="3498"/>
        <w:gridCol w:w="14"/>
        <w:gridCol w:w="3009"/>
        <w:gridCol w:w="1984"/>
        <w:gridCol w:w="334"/>
      </w:tblGrid>
      <w:tr w:rsidR="00306D15" w:rsidRPr="00296798" w14:paraId="069E5DFA" w14:textId="77777777" w:rsidTr="006334F2">
        <w:trPr>
          <w:gridAfter w:val="1"/>
          <w:wAfter w:w="334" w:type="dxa"/>
          <w:cantSplit/>
        </w:trPr>
        <w:tc>
          <w:tcPr>
            <w:tcW w:w="1276" w:type="dxa"/>
            <w:gridSpan w:val="3"/>
            <w:vAlign w:val="center"/>
          </w:tcPr>
          <w:p w14:paraId="0F60BBDE" w14:textId="07B4C559" w:rsidR="00306D15" w:rsidRPr="00296798" w:rsidRDefault="001A4FF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96798">
              <w:rPr>
                <w:noProof/>
                <w:lang w:val="es-ES" w:eastAsia="es-ES"/>
              </w:rPr>
              <w:drawing>
                <wp:inline distT="0" distB="0" distL="0" distR="0" wp14:anchorId="3D03A54C" wp14:editId="4FE936C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vAlign w:val="center"/>
          </w:tcPr>
          <w:p w14:paraId="0D13DAD7" w14:textId="77777777" w:rsidR="00991430" w:rsidRPr="00296798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296798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14:paraId="4DBF1D81" w14:textId="77777777" w:rsidR="00306D15" w:rsidRPr="00296798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9679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7DBCEEE" w14:textId="77777777" w:rsidR="00306D15" w:rsidRPr="00296798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</w:p>
        </w:tc>
      </w:tr>
      <w:tr w:rsidR="00C34772" w:rsidRPr="006334F2" w14:paraId="58E3810A" w14:textId="77777777" w:rsidTr="006334F2">
        <w:trPr>
          <w:gridAfter w:val="1"/>
          <w:wAfter w:w="334" w:type="dxa"/>
          <w:cantSplit/>
        </w:trPr>
        <w:tc>
          <w:tcPr>
            <w:tcW w:w="4788" w:type="dxa"/>
            <w:gridSpan w:val="5"/>
            <w:vAlign w:val="center"/>
          </w:tcPr>
          <w:p w14:paraId="0487E750" w14:textId="77777777" w:rsidR="00C34772" w:rsidRPr="006334F2" w:rsidRDefault="00C34772" w:rsidP="009F2AF8">
            <w:pPr>
              <w:tabs>
                <w:tab w:val="right" w:pos="8732"/>
              </w:tabs>
              <w:spacing w:after="120"/>
              <w:rPr>
                <w:rFonts w:ascii="Verdana" w:hAnsi="Verdana"/>
                <w:b/>
                <w:bCs/>
                <w:iCs/>
                <w:sz w:val="22"/>
                <w:szCs w:val="22"/>
                <w:lang w:val="es-ES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6CC190F9" w14:textId="4D678529" w:rsidR="00C34772" w:rsidRPr="006334F2" w:rsidRDefault="009F2AF8" w:rsidP="006C1E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Verdana" w:hAnsi="Verdana"/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 xml:space="preserve">Ginebra, </w:t>
            </w:r>
            <w:r w:rsidR="006C1EC9" w:rsidRPr="006334F2">
              <w:rPr>
                <w:sz w:val="22"/>
                <w:szCs w:val="22"/>
                <w:lang w:val="es-ES"/>
              </w:rPr>
              <w:t>31 de marzo de</w:t>
            </w:r>
            <w:r w:rsidRPr="006334F2">
              <w:rPr>
                <w:sz w:val="22"/>
                <w:szCs w:val="22"/>
                <w:lang w:val="es-ES"/>
              </w:rPr>
              <w:t xml:space="preserve"> </w:t>
            </w:r>
            <w:r w:rsidR="001B28C1" w:rsidRPr="006334F2">
              <w:rPr>
                <w:sz w:val="22"/>
                <w:szCs w:val="22"/>
                <w:lang w:val="es-ES"/>
              </w:rPr>
              <w:t>2023</w:t>
            </w:r>
          </w:p>
        </w:tc>
      </w:tr>
      <w:tr w:rsidR="004F1D13" w:rsidRPr="006334F2" w14:paraId="586F44F3" w14:textId="77777777" w:rsidTr="006334F2">
        <w:trPr>
          <w:gridBefore w:val="1"/>
          <w:wBefore w:w="8" w:type="dxa"/>
          <w:cantSplit/>
        </w:trPr>
        <w:tc>
          <w:tcPr>
            <w:tcW w:w="1126" w:type="dxa"/>
          </w:tcPr>
          <w:p w14:paraId="1F97C229" w14:textId="77777777" w:rsidR="004F1D13" w:rsidRPr="006334F2" w:rsidRDefault="004F1D13" w:rsidP="0091067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6334F2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</w:tc>
        <w:tc>
          <w:tcPr>
            <w:tcW w:w="3640" w:type="dxa"/>
            <w:gridSpan w:val="2"/>
          </w:tcPr>
          <w:p w14:paraId="1C005A51" w14:textId="73B3712A" w:rsidR="004F1D13" w:rsidRPr="006334F2" w:rsidRDefault="004F1D13" w:rsidP="001A4FF0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  <w:lang w:val="es-ES"/>
              </w:rPr>
            </w:pPr>
            <w:r w:rsidRPr="006334F2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6C1EC9" w:rsidRPr="006334F2">
              <w:rPr>
                <w:b/>
                <w:sz w:val="22"/>
                <w:szCs w:val="22"/>
                <w:lang w:val="es-ES"/>
              </w:rPr>
              <w:t>89</w:t>
            </w:r>
          </w:p>
          <w:p w14:paraId="54958A79" w14:textId="513021B1" w:rsidR="004F1D13" w:rsidRPr="006334F2" w:rsidRDefault="00D9310B" w:rsidP="0091067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CE </w:t>
            </w:r>
            <w:r w:rsidR="00BB1CE1" w:rsidRPr="006334F2">
              <w:rPr>
                <w:sz w:val="22"/>
                <w:szCs w:val="22"/>
                <w:lang w:val="es-ES"/>
              </w:rPr>
              <w:t>13</w:t>
            </w:r>
            <w:r w:rsidR="004F1D13" w:rsidRPr="006334F2">
              <w:rPr>
                <w:sz w:val="22"/>
                <w:szCs w:val="22"/>
                <w:lang w:val="es-ES"/>
              </w:rPr>
              <w:t>/</w:t>
            </w:r>
            <w:r w:rsidR="00BB1CE1" w:rsidRPr="006334F2">
              <w:rPr>
                <w:sz w:val="22"/>
                <w:szCs w:val="22"/>
                <w:lang w:val="es-ES"/>
              </w:rPr>
              <w:t>TK</w:t>
            </w:r>
          </w:p>
        </w:tc>
        <w:tc>
          <w:tcPr>
            <w:tcW w:w="5341" w:type="dxa"/>
            <w:gridSpan w:val="4"/>
            <w:vMerge w:val="restart"/>
          </w:tcPr>
          <w:p w14:paraId="7965B8CC" w14:textId="77777777" w:rsidR="004F1D13" w:rsidRDefault="004F1D13" w:rsidP="00910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>A las Administraciones de los Estados Miembros de la Unión</w:t>
            </w:r>
          </w:p>
          <w:p w14:paraId="4E6F5CC0" w14:textId="77777777" w:rsidR="006334F2" w:rsidRPr="006334F2" w:rsidRDefault="006334F2" w:rsidP="006334F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r w:rsidRPr="006334F2">
              <w:rPr>
                <w:b/>
                <w:sz w:val="22"/>
                <w:szCs w:val="22"/>
                <w:lang w:val="es-ES"/>
              </w:rPr>
              <w:t>Copia</w:t>
            </w:r>
            <w:r w:rsidRPr="006334F2">
              <w:rPr>
                <w:sz w:val="22"/>
                <w:szCs w:val="22"/>
                <w:lang w:val="es-ES"/>
              </w:rPr>
              <w:t>:</w:t>
            </w:r>
          </w:p>
          <w:p w14:paraId="2146084B" w14:textId="77777777" w:rsidR="006334F2" w:rsidRPr="006334F2" w:rsidRDefault="006334F2" w:rsidP="00633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>A los Miembros de Sector del UIT-T;</w:t>
            </w:r>
          </w:p>
          <w:p w14:paraId="16B8F738" w14:textId="77777777" w:rsidR="006334F2" w:rsidRPr="006334F2" w:rsidRDefault="006334F2" w:rsidP="00633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>A los Asociados de la Comisión de Estudio 13 del UIT-T;</w:t>
            </w:r>
          </w:p>
          <w:p w14:paraId="50F0EE3E" w14:textId="77777777" w:rsidR="006334F2" w:rsidRPr="006334F2" w:rsidRDefault="006334F2" w:rsidP="00633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>A las Instituciones Académicas de la UIT;</w:t>
            </w:r>
          </w:p>
          <w:p w14:paraId="45F0A4A1" w14:textId="77777777" w:rsidR="006334F2" w:rsidRPr="006334F2" w:rsidRDefault="006334F2" w:rsidP="00633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6334F2">
              <w:rPr>
                <w:sz w:val="22"/>
                <w:szCs w:val="22"/>
                <w:lang w:val="es-ES"/>
              </w:rPr>
              <w:t>Presidente</w:t>
            </w:r>
            <w:proofErr w:type="gramEnd"/>
            <w:r w:rsidRPr="006334F2">
              <w:rPr>
                <w:sz w:val="22"/>
                <w:szCs w:val="22"/>
                <w:lang w:val="es-ES"/>
              </w:rPr>
              <w:t xml:space="preserve"> y a los Vicepresidentes de la Comisión de Estudio 13 del UIT-T;</w:t>
            </w:r>
          </w:p>
          <w:p w14:paraId="3BE881BD" w14:textId="77777777" w:rsidR="006334F2" w:rsidRPr="006334F2" w:rsidRDefault="006334F2" w:rsidP="00633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6334F2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6334F2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07EE34E1" w14:textId="61C613EA" w:rsidR="006334F2" w:rsidRPr="006334F2" w:rsidRDefault="006334F2" w:rsidP="00633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>–</w:t>
            </w:r>
            <w:r w:rsidRPr="006334F2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6334F2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6334F2">
              <w:rPr>
                <w:sz w:val="22"/>
                <w:szCs w:val="22"/>
                <w:lang w:val="es-ES"/>
              </w:rPr>
              <w:t xml:space="preserve"> de la Oficina de Radiocomunicaciones</w:t>
            </w:r>
          </w:p>
        </w:tc>
      </w:tr>
      <w:tr w:rsidR="004F1D13" w:rsidRPr="006334F2" w14:paraId="3A5FDA0C" w14:textId="77777777" w:rsidTr="006334F2">
        <w:trPr>
          <w:gridBefore w:val="1"/>
          <w:wBefore w:w="8" w:type="dxa"/>
          <w:cantSplit/>
        </w:trPr>
        <w:tc>
          <w:tcPr>
            <w:tcW w:w="1126" w:type="dxa"/>
          </w:tcPr>
          <w:p w14:paraId="3FB4F45F" w14:textId="77777777" w:rsidR="004F1D13" w:rsidRPr="006334F2" w:rsidRDefault="004F1D13" w:rsidP="0091067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6334F2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640" w:type="dxa"/>
            <w:gridSpan w:val="2"/>
          </w:tcPr>
          <w:p w14:paraId="1C0FAF0A" w14:textId="6CD82A89" w:rsidR="004F1D13" w:rsidRPr="006334F2" w:rsidRDefault="004F1D13" w:rsidP="00910673">
            <w:pPr>
              <w:tabs>
                <w:tab w:val="left" w:pos="4111"/>
              </w:tabs>
              <w:ind w:left="57"/>
              <w:rPr>
                <w:bCs/>
                <w:sz w:val="22"/>
                <w:szCs w:val="22"/>
                <w:lang w:val="es-ES"/>
              </w:rPr>
            </w:pPr>
            <w:r w:rsidRPr="006334F2">
              <w:rPr>
                <w:sz w:val="22"/>
                <w:szCs w:val="22"/>
                <w:lang w:val="es-ES"/>
              </w:rPr>
              <w:t xml:space="preserve">+41 22 730 </w:t>
            </w:r>
            <w:r w:rsidR="00BB1CE1" w:rsidRPr="006334F2">
              <w:rPr>
                <w:sz w:val="22"/>
                <w:szCs w:val="22"/>
                <w:lang w:val="es-ES"/>
              </w:rPr>
              <w:t>5126</w:t>
            </w:r>
          </w:p>
        </w:tc>
        <w:tc>
          <w:tcPr>
            <w:tcW w:w="5341" w:type="dxa"/>
            <w:gridSpan w:val="4"/>
            <w:vMerge/>
          </w:tcPr>
          <w:p w14:paraId="20BAD3E6" w14:textId="77777777" w:rsidR="004F1D13" w:rsidRPr="006334F2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4F1D13" w:rsidRPr="006334F2" w14:paraId="204A03B7" w14:textId="77777777" w:rsidTr="006334F2">
        <w:trPr>
          <w:gridBefore w:val="1"/>
          <w:wBefore w:w="8" w:type="dxa"/>
          <w:cantSplit/>
        </w:trPr>
        <w:tc>
          <w:tcPr>
            <w:tcW w:w="1126" w:type="dxa"/>
          </w:tcPr>
          <w:p w14:paraId="131465C8" w14:textId="77777777" w:rsidR="004F1D13" w:rsidRDefault="004F1D13" w:rsidP="0091067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6334F2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  <w:p w14:paraId="0A3CE0BE" w14:textId="7A4F3BDB" w:rsidR="006334F2" w:rsidRPr="006334F2" w:rsidRDefault="006334F2" w:rsidP="0091067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640" w:type="dxa"/>
            <w:gridSpan w:val="2"/>
          </w:tcPr>
          <w:p w14:paraId="3E9D04FA" w14:textId="77777777" w:rsidR="004F1D13" w:rsidRDefault="004F1D13" w:rsidP="00910673">
            <w:pPr>
              <w:tabs>
                <w:tab w:val="left" w:pos="4111"/>
              </w:tabs>
              <w:ind w:left="57"/>
              <w:rPr>
                <w:bCs/>
                <w:sz w:val="22"/>
                <w:szCs w:val="22"/>
                <w:lang w:val="es-ES"/>
              </w:rPr>
            </w:pPr>
            <w:r w:rsidRPr="006334F2">
              <w:rPr>
                <w:bCs/>
                <w:sz w:val="22"/>
                <w:szCs w:val="22"/>
                <w:lang w:val="es-ES"/>
              </w:rPr>
              <w:t>+41 22 730 5853</w:t>
            </w:r>
          </w:p>
          <w:p w14:paraId="5C869F74" w14:textId="28D4CFE6" w:rsidR="006334F2" w:rsidRPr="006334F2" w:rsidRDefault="006334F2" w:rsidP="00910673">
            <w:pPr>
              <w:tabs>
                <w:tab w:val="left" w:pos="4111"/>
              </w:tabs>
              <w:ind w:left="57"/>
              <w:rPr>
                <w:bCs/>
                <w:sz w:val="22"/>
                <w:szCs w:val="22"/>
                <w:lang w:val="es-ES"/>
              </w:rPr>
            </w:pPr>
            <w:hyperlink r:id="rId9" w:history="1">
              <w:r w:rsidRPr="006334F2">
                <w:rPr>
                  <w:rStyle w:val="Hyperlink"/>
                  <w:sz w:val="22"/>
                  <w:szCs w:val="22"/>
                  <w:lang w:val="es-ES"/>
                </w:rPr>
                <w:t>tsbsg13@itu.int</w:t>
              </w:r>
            </w:hyperlink>
          </w:p>
        </w:tc>
        <w:tc>
          <w:tcPr>
            <w:tcW w:w="5341" w:type="dxa"/>
            <w:gridSpan w:val="4"/>
            <w:vMerge/>
          </w:tcPr>
          <w:p w14:paraId="33A01B74" w14:textId="77777777" w:rsidR="004F1D13" w:rsidRPr="006334F2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C34772" w:rsidRPr="006334F2" w14:paraId="54F6FDB4" w14:textId="77777777" w:rsidTr="006334F2">
        <w:trPr>
          <w:gridBefore w:val="1"/>
          <w:wBefore w:w="8" w:type="dxa"/>
          <w:cantSplit/>
        </w:trPr>
        <w:tc>
          <w:tcPr>
            <w:tcW w:w="1126" w:type="dxa"/>
          </w:tcPr>
          <w:p w14:paraId="7CE14ADA" w14:textId="77777777" w:rsidR="00C34772" w:rsidRPr="006334F2" w:rsidRDefault="00C34772" w:rsidP="00296798">
            <w:pPr>
              <w:tabs>
                <w:tab w:val="left" w:pos="4111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</w:pPr>
            <w:r w:rsidRPr="006334F2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8981" w:type="dxa"/>
            <w:gridSpan w:val="6"/>
          </w:tcPr>
          <w:p w14:paraId="6A01751E" w14:textId="3F95B95D" w:rsidR="00DD2103" w:rsidRPr="006334F2" w:rsidRDefault="001A4FF0" w:rsidP="006C1EC9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  <w:lang w:val="es-ES"/>
              </w:rPr>
            </w:pPr>
            <w:r w:rsidRPr="006334F2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Aprobación de la</w:t>
            </w:r>
            <w:r w:rsidR="00F40CCA" w:rsidRPr="006334F2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 w:rsidR="007C550B" w:rsidRPr="006334F2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nueva </w:t>
            </w:r>
            <w:r w:rsidR="00F40CCA" w:rsidRPr="006334F2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Recomendación </w:t>
            </w:r>
            <w:r w:rsidR="00F40CCA" w:rsidRPr="006334F2">
              <w:rPr>
                <w:b/>
                <w:sz w:val="22"/>
                <w:szCs w:val="22"/>
                <w:lang w:val="es-ES"/>
              </w:rPr>
              <w:t xml:space="preserve">UIT-T </w:t>
            </w:r>
            <w:bookmarkStart w:id="0" w:name="_Hlk130979806"/>
            <w:r w:rsidR="006C1EC9" w:rsidRPr="006334F2">
              <w:rPr>
                <w:b/>
                <w:sz w:val="22"/>
                <w:szCs w:val="22"/>
                <w:lang w:val="es-ES"/>
              </w:rPr>
              <w:t>Y.3082</w:t>
            </w:r>
            <w:bookmarkEnd w:id="0"/>
            <w:r w:rsidR="006C1EC9" w:rsidRPr="006334F2">
              <w:rPr>
                <w:b/>
                <w:sz w:val="22"/>
                <w:szCs w:val="22"/>
                <w:lang w:val="es-ES"/>
              </w:rPr>
              <w:t xml:space="preserve"> y reinicio del proyecto de nueva Recomendación UIT-T Y.2086</w:t>
            </w:r>
          </w:p>
        </w:tc>
      </w:tr>
    </w:tbl>
    <w:p w14:paraId="226FBB42" w14:textId="33D9F9C4" w:rsidR="00BB24D2" w:rsidRPr="006334F2" w:rsidRDefault="00BB24D2" w:rsidP="006334F2">
      <w:pPr>
        <w:pStyle w:val="Normalaftertitle0"/>
        <w:spacing w:before="120"/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Muy Señora mía/Muy Señor mío</w:t>
      </w:r>
      <w:r w:rsidR="006334F2">
        <w:rPr>
          <w:sz w:val="22"/>
          <w:szCs w:val="22"/>
          <w:lang w:val="es-ES"/>
        </w:rPr>
        <w:t>,</w:t>
      </w:r>
    </w:p>
    <w:p w14:paraId="41D96829" w14:textId="77777777" w:rsidR="006C1EC9" w:rsidRPr="006334F2" w:rsidRDefault="001A4FF0" w:rsidP="006C1EC9">
      <w:pPr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1</w:t>
      </w:r>
      <w:r w:rsidRPr="006334F2">
        <w:rPr>
          <w:sz w:val="22"/>
          <w:szCs w:val="22"/>
          <w:lang w:val="es-ES"/>
        </w:rPr>
        <w:tab/>
      </w:r>
      <w:proofErr w:type="gramStart"/>
      <w:r w:rsidR="006C1EC9" w:rsidRPr="006334F2">
        <w:rPr>
          <w:sz w:val="22"/>
          <w:szCs w:val="22"/>
          <w:lang w:val="es-ES"/>
        </w:rPr>
        <w:t>Conforme</w:t>
      </w:r>
      <w:proofErr w:type="gramEnd"/>
      <w:r w:rsidR="006C1EC9" w:rsidRPr="006334F2">
        <w:rPr>
          <w:sz w:val="22"/>
          <w:szCs w:val="22"/>
          <w:lang w:val="es-ES"/>
        </w:rPr>
        <w:t xml:space="preserve"> a la </w:t>
      </w:r>
      <w:hyperlink r:id="rId10" w:history="1">
        <w:r w:rsidR="006C1EC9" w:rsidRPr="006334F2">
          <w:rPr>
            <w:rStyle w:val="Hyperlink"/>
            <w:sz w:val="22"/>
            <w:szCs w:val="22"/>
            <w:lang w:val="es-ES"/>
          </w:rPr>
          <w:t>Circular 57</w:t>
        </w:r>
      </w:hyperlink>
      <w:r w:rsidR="006C1EC9" w:rsidRPr="006334F2">
        <w:rPr>
          <w:sz w:val="22"/>
          <w:szCs w:val="22"/>
          <w:lang w:val="es-ES"/>
        </w:rPr>
        <w:t xml:space="preserve"> </w:t>
      </w:r>
      <w:r w:rsidR="001B28C1" w:rsidRPr="006334F2">
        <w:rPr>
          <w:sz w:val="22"/>
          <w:szCs w:val="22"/>
          <w:lang w:val="es-ES"/>
        </w:rPr>
        <w:t xml:space="preserve">de la TSB </w:t>
      </w:r>
      <w:r w:rsidR="006C1EC9" w:rsidRPr="006334F2">
        <w:rPr>
          <w:sz w:val="22"/>
          <w:szCs w:val="22"/>
          <w:lang w:val="es-ES"/>
        </w:rPr>
        <w:t>de 7</w:t>
      </w:r>
      <w:r w:rsidR="001B28C1" w:rsidRPr="006334F2">
        <w:rPr>
          <w:sz w:val="22"/>
          <w:szCs w:val="22"/>
          <w:lang w:val="es-ES"/>
        </w:rPr>
        <w:t xml:space="preserve"> de </w:t>
      </w:r>
      <w:r w:rsidR="006C1EC9" w:rsidRPr="006334F2">
        <w:rPr>
          <w:sz w:val="22"/>
          <w:szCs w:val="22"/>
          <w:lang w:val="es-ES"/>
        </w:rPr>
        <w:t>diciembre</w:t>
      </w:r>
      <w:r w:rsidR="001B28C1" w:rsidRPr="006334F2">
        <w:rPr>
          <w:sz w:val="22"/>
          <w:szCs w:val="22"/>
          <w:lang w:val="es-ES"/>
        </w:rPr>
        <w:t xml:space="preserve"> de </w:t>
      </w:r>
      <w:r w:rsidR="006C1EC9" w:rsidRPr="006334F2">
        <w:rPr>
          <w:sz w:val="22"/>
          <w:szCs w:val="22"/>
          <w:lang w:val="es-ES"/>
        </w:rPr>
        <w:t>2022</w:t>
      </w:r>
      <w:r w:rsidR="001B28C1" w:rsidRPr="006334F2">
        <w:rPr>
          <w:sz w:val="22"/>
          <w:szCs w:val="22"/>
          <w:lang w:val="es-ES"/>
        </w:rPr>
        <w:t>, y con arreglo al</w:t>
      </w:r>
      <w:r w:rsidR="00DD2103" w:rsidRPr="006334F2">
        <w:rPr>
          <w:sz w:val="22"/>
          <w:szCs w:val="22"/>
          <w:lang w:val="es-ES"/>
        </w:rPr>
        <w:t xml:space="preserve"> </w:t>
      </w:r>
      <w:r w:rsidR="007C550B" w:rsidRPr="006334F2">
        <w:rPr>
          <w:rFonts w:cs="Calibri"/>
          <w:sz w:val="22"/>
          <w:szCs w:val="22"/>
          <w:lang w:val="es-ES"/>
        </w:rPr>
        <w:t>§</w:t>
      </w:r>
      <w:r w:rsidR="003846EA" w:rsidRPr="006334F2">
        <w:rPr>
          <w:rFonts w:cs="Calibri"/>
          <w:sz w:val="22"/>
          <w:szCs w:val="22"/>
          <w:lang w:val="es-ES"/>
        </w:rPr>
        <w:t> </w:t>
      </w:r>
      <w:r w:rsidR="006C1EC9" w:rsidRPr="006334F2">
        <w:rPr>
          <w:sz w:val="22"/>
          <w:szCs w:val="22"/>
          <w:lang w:val="es-ES"/>
        </w:rPr>
        <w:t>9.5</w:t>
      </w:r>
      <w:r w:rsidR="007C550B" w:rsidRPr="006334F2">
        <w:rPr>
          <w:sz w:val="22"/>
          <w:szCs w:val="22"/>
          <w:lang w:val="es-ES"/>
        </w:rPr>
        <w:t xml:space="preserve"> de la </w:t>
      </w:r>
      <w:r w:rsidR="006C1EC9" w:rsidRPr="006334F2">
        <w:rPr>
          <w:sz w:val="22"/>
          <w:szCs w:val="22"/>
          <w:lang w:val="es-ES"/>
        </w:rPr>
        <w:t>Resolución 1</w:t>
      </w:r>
      <w:r w:rsidR="001B28C1" w:rsidRPr="006334F2">
        <w:rPr>
          <w:sz w:val="22"/>
          <w:szCs w:val="22"/>
          <w:lang w:val="es-ES"/>
        </w:rPr>
        <w:t xml:space="preserve"> (Rev. Ginebra, 2022), </w:t>
      </w:r>
      <w:r w:rsidR="007C550B" w:rsidRPr="006334F2">
        <w:rPr>
          <w:sz w:val="22"/>
          <w:szCs w:val="22"/>
          <w:lang w:val="es-ES"/>
        </w:rPr>
        <w:t xml:space="preserve">le informo por la presente </w:t>
      </w:r>
      <w:r w:rsidR="00D7234D" w:rsidRPr="006334F2">
        <w:rPr>
          <w:sz w:val="22"/>
          <w:szCs w:val="22"/>
          <w:lang w:val="es-ES"/>
        </w:rPr>
        <w:t xml:space="preserve">de </w:t>
      </w:r>
      <w:r w:rsidR="001B28C1" w:rsidRPr="006334F2">
        <w:rPr>
          <w:sz w:val="22"/>
          <w:szCs w:val="22"/>
          <w:lang w:val="es-ES"/>
        </w:rPr>
        <w:t xml:space="preserve">que, </w:t>
      </w:r>
      <w:r w:rsidRPr="006334F2">
        <w:rPr>
          <w:sz w:val="22"/>
          <w:szCs w:val="22"/>
          <w:lang w:val="es-ES"/>
        </w:rPr>
        <w:t xml:space="preserve">en el marco de </w:t>
      </w:r>
      <w:r w:rsidR="001B28C1" w:rsidRPr="006334F2">
        <w:rPr>
          <w:sz w:val="22"/>
          <w:szCs w:val="22"/>
          <w:lang w:val="es-ES"/>
        </w:rPr>
        <w:t>su</w:t>
      </w:r>
      <w:r w:rsidRPr="006334F2">
        <w:rPr>
          <w:sz w:val="22"/>
          <w:szCs w:val="22"/>
          <w:lang w:val="es-ES"/>
        </w:rPr>
        <w:t xml:space="preserve"> sesión plenaria celebrada el </w:t>
      </w:r>
      <w:r w:rsidR="006C1EC9" w:rsidRPr="006334F2">
        <w:rPr>
          <w:sz w:val="22"/>
          <w:szCs w:val="22"/>
          <w:lang w:val="es-ES"/>
        </w:rPr>
        <w:t>24</w:t>
      </w:r>
      <w:r w:rsidRPr="006334F2">
        <w:rPr>
          <w:sz w:val="22"/>
          <w:szCs w:val="22"/>
          <w:lang w:val="es-ES"/>
        </w:rPr>
        <w:t xml:space="preserve"> </w:t>
      </w:r>
      <w:r w:rsidR="007C550B" w:rsidRPr="006334F2">
        <w:rPr>
          <w:sz w:val="22"/>
          <w:szCs w:val="22"/>
          <w:lang w:val="es-ES"/>
        </w:rPr>
        <w:t xml:space="preserve">de marzo de </w:t>
      </w:r>
      <w:r w:rsidR="001B28C1" w:rsidRPr="006334F2">
        <w:rPr>
          <w:sz w:val="22"/>
          <w:szCs w:val="22"/>
          <w:lang w:val="es-ES"/>
        </w:rPr>
        <w:t>2023, la Comisión de Estudio 13 aprobó el texto de la nueva Recomendación UIT-T Y.</w:t>
      </w:r>
      <w:r w:rsidR="006C1EC9" w:rsidRPr="006334F2">
        <w:rPr>
          <w:sz w:val="22"/>
          <w:szCs w:val="22"/>
          <w:lang w:val="es-ES"/>
        </w:rPr>
        <w:t xml:space="preserve">3082. El resumen de esta nueva Recomendación figura en el </w:t>
      </w:r>
      <w:r w:rsidR="006C1EC9" w:rsidRPr="006334F2">
        <w:rPr>
          <w:bCs/>
          <w:sz w:val="22"/>
          <w:szCs w:val="22"/>
          <w:lang w:val="es-ES"/>
        </w:rPr>
        <w:t>Anexo 1</w:t>
      </w:r>
      <w:r w:rsidR="006C1EC9" w:rsidRPr="006334F2">
        <w:rPr>
          <w:sz w:val="22"/>
          <w:szCs w:val="22"/>
          <w:lang w:val="es-ES"/>
        </w:rPr>
        <w:t>.</w:t>
      </w:r>
    </w:p>
    <w:p w14:paraId="28256D6A" w14:textId="0AA185E9" w:rsidR="006C1EC9" w:rsidRPr="006334F2" w:rsidRDefault="001A4FF0" w:rsidP="006C1EC9">
      <w:pPr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2</w:t>
      </w:r>
      <w:r w:rsidRPr="006334F2">
        <w:rPr>
          <w:sz w:val="22"/>
          <w:szCs w:val="22"/>
          <w:lang w:val="es-ES"/>
        </w:rPr>
        <w:tab/>
      </w:r>
      <w:proofErr w:type="gramStart"/>
      <w:r w:rsidR="006C1EC9" w:rsidRPr="006334F2">
        <w:rPr>
          <w:sz w:val="22"/>
          <w:szCs w:val="22"/>
          <w:lang w:val="es-ES"/>
        </w:rPr>
        <w:t>Conforme</w:t>
      </w:r>
      <w:proofErr w:type="gramEnd"/>
      <w:r w:rsidR="006C1EC9" w:rsidRPr="006334F2">
        <w:rPr>
          <w:sz w:val="22"/>
          <w:szCs w:val="22"/>
          <w:lang w:val="es-ES"/>
        </w:rPr>
        <w:t xml:space="preserve"> al anuncio de la TSB </w:t>
      </w:r>
      <w:hyperlink r:id="rId11" w:history="1">
        <w:r w:rsidR="006C1EC9" w:rsidRPr="006334F2">
          <w:rPr>
            <w:sz w:val="22"/>
            <w:szCs w:val="22"/>
            <w:lang w:val="es-ES"/>
          </w:rPr>
          <w:t>AAP-13</w:t>
        </w:r>
      </w:hyperlink>
      <w:r w:rsidR="006C1EC9" w:rsidRPr="006334F2">
        <w:rPr>
          <w:sz w:val="22"/>
          <w:szCs w:val="22"/>
          <w:lang w:val="es-ES"/>
        </w:rPr>
        <w:t xml:space="preserve">, de 16 de septiembre de 2022, y con arreglo al </w:t>
      </w:r>
      <w:r w:rsidR="006C1EC9" w:rsidRPr="006334F2">
        <w:rPr>
          <w:rFonts w:cs="Calibri"/>
          <w:sz w:val="22"/>
          <w:szCs w:val="22"/>
          <w:lang w:val="es-ES"/>
        </w:rPr>
        <w:t>§ </w:t>
      </w:r>
      <w:r w:rsidR="006C1EC9" w:rsidRPr="006334F2">
        <w:rPr>
          <w:sz w:val="22"/>
          <w:szCs w:val="22"/>
          <w:lang w:val="es-ES"/>
        </w:rPr>
        <w:t>6.2 de la Recomendación UIT-T A.8 (Rev. Ginebra, 2022), le informo por la presente de que, en el marco de la misma sesión plenaria celebrada el 24 de marzo de 2023, la Comisión de Estudio 13 del UIT-T reinició el proyecto de nueva Recomendación UIT-T Y.2086.</w:t>
      </w:r>
    </w:p>
    <w:p w14:paraId="71F2F77D" w14:textId="6F555015" w:rsidR="006C1EC9" w:rsidRPr="006334F2" w:rsidRDefault="006C1EC9" w:rsidP="006C1EC9">
      <w:pPr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3</w:t>
      </w:r>
      <w:r w:rsidRPr="006334F2">
        <w:rPr>
          <w:sz w:val="22"/>
          <w:szCs w:val="22"/>
          <w:lang w:val="es-ES"/>
        </w:rPr>
        <w:tab/>
      </w:r>
      <w:proofErr w:type="gramStart"/>
      <w:r w:rsidRPr="006334F2">
        <w:rPr>
          <w:sz w:val="22"/>
          <w:szCs w:val="22"/>
          <w:lang w:val="es-ES"/>
        </w:rPr>
        <w:t>El</w:t>
      </w:r>
      <w:proofErr w:type="gramEnd"/>
      <w:r w:rsidRPr="006334F2">
        <w:rPr>
          <w:sz w:val="22"/>
          <w:szCs w:val="22"/>
          <w:lang w:val="es-ES"/>
        </w:rPr>
        <w:t xml:space="preserve"> título de la nueva Recomendación aprobada es:</w:t>
      </w:r>
    </w:p>
    <w:p w14:paraId="7887D824" w14:textId="41E9DEBF" w:rsidR="006C1EC9" w:rsidRPr="006334F2" w:rsidRDefault="006C1EC9" w:rsidP="00296798">
      <w:pPr>
        <w:ind w:left="720"/>
        <w:rPr>
          <w:i/>
          <w:sz w:val="22"/>
          <w:szCs w:val="22"/>
          <w:lang w:val="es-ES"/>
        </w:rPr>
      </w:pPr>
      <w:bookmarkStart w:id="1" w:name="lt_pId065"/>
      <w:r w:rsidRPr="006334F2">
        <w:rPr>
          <w:i/>
          <w:iCs/>
          <w:sz w:val="22"/>
          <w:szCs w:val="22"/>
          <w:lang w:val="es-ES"/>
        </w:rPr>
        <w:t>Y.</w:t>
      </w:r>
      <w:r w:rsidR="00296798" w:rsidRPr="006334F2">
        <w:rPr>
          <w:i/>
          <w:iCs/>
          <w:sz w:val="22"/>
          <w:szCs w:val="22"/>
        </w:rPr>
        <w:t xml:space="preserve"> 3082</w:t>
      </w:r>
      <w:r w:rsidRPr="006334F2">
        <w:rPr>
          <w:i/>
          <w:iCs/>
          <w:sz w:val="22"/>
          <w:szCs w:val="22"/>
          <w:lang w:val="es-ES"/>
        </w:rPr>
        <w:t>:</w:t>
      </w:r>
      <w:bookmarkEnd w:id="1"/>
      <w:r w:rsidRPr="006334F2">
        <w:rPr>
          <w:i/>
          <w:iCs/>
          <w:sz w:val="22"/>
          <w:szCs w:val="22"/>
          <w:lang w:val="es-ES"/>
        </w:rPr>
        <w:t xml:space="preserve"> </w:t>
      </w:r>
      <w:r w:rsidRPr="006334F2">
        <w:rPr>
          <w:i/>
          <w:sz w:val="22"/>
          <w:szCs w:val="22"/>
          <w:lang w:val="es-ES"/>
        </w:rPr>
        <w:t>Compartición de redes móviles basada en la tecnología de libro mayor distribuido para redes posteriores a las IMT-2020: Requisitos y marco</w:t>
      </w:r>
    </w:p>
    <w:p w14:paraId="36EE2CB1" w14:textId="0974E9EC" w:rsidR="006C1EC9" w:rsidRPr="006334F2" w:rsidRDefault="009B7B2E" w:rsidP="006C1EC9">
      <w:pPr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4</w:t>
      </w:r>
      <w:r w:rsidRPr="006334F2">
        <w:rPr>
          <w:sz w:val="22"/>
          <w:szCs w:val="22"/>
          <w:lang w:val="es-ES"/>
        </w:rPr>
        <w:tab/>
      </w:r>
      <w:proofErr w:type="gramStart"/>
      <w:r w:rsidRPr="006334F2">
        <w:rPr>
          <w:sz w:val="22"/>
          <w:szCs w:val="22"/>
          <w:lang w:val="es-ES"/>
        </w:rPr>
        <w:t>El</w:t>
      </w:r>
      <w:proofErr w:type="gramEnd"/>
      <w:r w:rsidRPr="006334F2">
        <w:rPr>
          <w:sz w:val="22"/>
          <w:szCs w:val="22"/>
          <w:lang w:val="es-ES"/>
        </w:rPr>
        <w:t xml:space="preserve"> título del tema de trabajo reiniciado para una segunda última llamada es:</w:t>
      </w:r>
    </w:p>
    <w:p w14:paraId="653EB875" w14:textId="2F2B6884" w:rsidR="009B7B2E" w:rsidRPr="006334F2" w:rsidRDefault="009B7B2E" w:rsidP="006C1EC9">
      <w:pPr>
        <w:rPr>
          <w:i/>
          <w:sz w:val="22"/>
          <w:szCs w:val="22"/>
          <w:lang w:val="es-ES"/>
        </w:rPr>
      </w:pPr>
      <w:r w:rsidRPr="006334F2">
        <w:rPr>
          <w:i/>
          <w:sz w:val="22"/>
          <w:szCs w:val="22"/>
          <w:lang w:val="es-ES"/>
        </w:rPr>
        <w:tab/>
        <w:t>Y.2086: Marco y requisitos de la infraestructura de redes fiables descentralizadas.</w:t>
      </w:r>
    </w:p>
    <w:p w14:paraId="3870754F" w14:textId="39D1353E" w:rsidR="000265BE" w:rsidRPr="006334F2" w:rsidRDefault="009B7B2E" w:rsidP="006334F2">
      <w:pPr>
        <w:ind w:left="720" w:hanging="720"/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5</w:t>
      </w:r>
      <w:r w:rsidRPr="006334F2">
        <w:rPr>
          <w:sz w:val="22"/>
          <w:szCs w:val="22"/>
          <w:lang w:val="es-ES"/>
        </w:rPr>
        <w:tab/>
      </w:r>
      <w:proofErr w:type="gramStart"/>
      <w:r w:rsidR="001A4FF0" w:rsidRPr="006334F2">
        <w:rPr>
          <w:sz w:val="22"/>
          <w:szCs w:val="22"/>
          <w:lang w:val="es-ES"/>
        </w:rPr>
        <w:t>Puede</w:t>
      </w:r>
      <w:proofErr w:type="gramEnd"/>
      <w:r w:rsidR="001A4FF0" w:rsidRPr="006334F2">
        <w:rPr>
          <w:sz w:val="22"/>
          <w:szCs w:val="22"/>
          <w:lang w:val="es-ES"/>
        </w:rPr>
        <w:t xml:space="preserve"> accederse en línea a la información disponible sobre patentes</w:t>
      </w:r>
      <w:r w:rsidRPr="006334F2">
        <w:rPr>
          <w:sz w:val="22"/>
          <w:szCs w:val="22"/>
          <w:lang w:val="es-ES"/>
        </w:rPr>
        <w:t xml:space="preserve"> </w:t>
      </w:r>
      <w:r w:rsidR="001A4FF0" w:rsidRPr="006334F2">
        <w:rPr>
          <w:sz w:val="22"/>
          <w:szCs w:val="22"/>
          <w:lang w:val="es-ES"/>
        </w:rPr>
        <w:t xml:space="preserve">en el </w:t>
      </w:r>
      <w:hyperlink r:id="rId12" w:history="1">
        <w:r w:rsidR="001A4FF0" w:rsidRPr="006334F2">
          <w:rPr>
            <w:rStyle w:val="Hyperlink"/>
            <w:sz w:val="22"/>
            <w:szCs w:val="22"/>
            <w:lang w:val="es-ES"/>
          </w:rPr>
          <w:t>sitio web del UIT-T</w:t>
        </w:r>
      </w:hyperlink>
      <w:r w:rsidR="001A4FF0" w:rsidRPr="006334F2">
        <w:rPr>
          <w:sz w:val="22"/>
          <w:szCs w:val="22"/>
          <w:lang w:val="es-ES"/>
        </w:rPr>
        <w:t>.</w:t>
      </w:r>
    </w:p>
    <w:p w14:paraId="72CF9C6E" w14:textId="33C57042" w:rsidR="00B3359D" w:rsidRPr="006334F2" w:rsidRDefault="009B7B2E" w:rsidP="00097F03">
      <w:pPr>
        <w:ind w:left="720" w:hanging="720"/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6</w:t>
      </w:r>
      <w:r w:rsidR="001A4FF0" w:rsidRPr="006334F2">
        <w:rPr>
          <w:sz w:val="22"/>
          <w:szCs w:val="22"/>
          <w:lang w:val="es-ES"/>
        </w:rPr>
        <w:tab/>
      </w:r>
      <w:proofErr w:type="gramStart"/>
      <w:r w:rsidRPr="006334F2">
        <w:rPr>
          <w:sz w:val="22"/>
          <w:szCs w:val="22"/>
          <w:lang w:val="es-ES"/>
        </w:rPr>
        <w:t>P</w:t>
      </w:r>
      <w:r w:rsidR="001B28C1" w:rsidRPr="006334F2">
        <w:rPr>
          <w:sz w:val="22"/>
          <w:szCs w:val="22"/>
          <w:lang w:val="es-ES"/>
        </w:rPr>
        <w:t>odrá</w:t>
      </w:r>
      <w:proofErr w:type="gramEnd"/>
      <w:r w:rsidR="001B28C1" w:rsidRPr="006334F2">
        <w:rPr>
          <w:sz w:val="22"/>
          <w:szCs w:val="22"/>
          <w:lang w:val="es-ES"/>
        </w:rPr>
        <w:t xml:space="preserve"> consultarse</w:t>
      </w:r>
      <w:r w:rsidR="001A4FF0" w:rsidRPr="006334F2">
        <w:rPr>
          <w:sz w:val="22"/>
          <w:szCs w:val="22"/>
          <w:lang w:val="es-ES"/>
        </w:rPr>
        <w:t xml:space="preserve"> la versión de la Recomendación</w:t>
      </w:r>
      <w:r w:rsidRPr="006334F2">
        <w:rPr>
          <w:sz w:val="22"/>
          <w:szCs w:val="22"/>
          <w:lang w:val="es-ES"/>
        </w:rPr>
        <w:t xml:space="preserve"> aprobada</w:t>
      </w:r>
      <w:r w:rsidR="001A4FF0" w:rsidRPr="006334F2">
        <w:rPr>
          <w:sz w:val="22"/>
          <w:szCs w:val="22"/>
          <w:lang w:val="es-ES"/>
        </w:rPr>
        <w:t xml:space="preserve"> previa a </w:t>
      </w:r>
      <w:r w:rsidR="00D7234D" w:rsidRPr="006334F2">
        <w:rPr>
          <w:sz w:val="22"/>
          <w:szCs w:val="22"/>
          <w:lang w:val="es-ES"/>
        </w:rPr>
        <w:t>su</w:t>
      </w:r>
      <w:r w:rsidR="001A4FF0" w:rsidRPr="006334F2">
        <w:rPr>
          <w:sz w:val="22"/>
          <w:szCs w:val="22"/>
          <w:lang w:val="es-ES"/>
        </w:rPr>
        <w:t xml:space="preserve"> publicación en el</w:t>
      </w:r>
      <w:r w:rsidR="00B3359D" w:rsidRPr="006334F2">
        <w:rPr>
          <w:sz w:val="22"/>
          <w:szCs w:val="22"/>
          <w:lang w:val="es-ES"/>
        </w:rPr>
        <w:t xml:space="preserve"> </w:t>
      </w:r>
      <w:hyperlink r:id="rId13" w:history="1">
        <w:r w:rsidR="00B3359D" w:rsidRPr="006334F2">
          <w:rPr>
            <w:rStyle w:val="Hyperlink"/>
            <w:sz w:val="22"/>
            <w:szCs w:val="22"/>
            <w:lang w:val="es-ES"/>
          </w:rPr>
          <w:t>sitio web del UIT-T</w:t>
        </w:r>
      </w:hyperlink>
    </w:p>
    <w:p w14:paraId="73B9D692" w14:textId="7A8DB472" w:rsidR="001A4FF0" w:rsidRPr="006334F2" w:rsidRDefault="009B7B2E" w:rsidP="00D54363">
      <w:pPr>
        <w:tabs>
          <w:tab w:val="clear" w:pos="794"/>
          <w:tab w:val="left" w:pos="709"/>
        </w:tabs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7</w:t>
      </w:r>
      <w:r w:rsidR="00D54363" w:rsidRPr="006334F2">
        <w:rPr>
          <w:sz w:val="22"/>
          <w:szCs w:val="22"/>
          <w:lang w:val="es-ES"/>
        </w:rPr>
        <w:tab/>
      </w:r>
      <w:proofErr w:type="gramStart"/>
      <w:r w:rsidR="001A4FF0" w:rsidRPr="006334F2">
        <w:rPr>
          <w:sz w:val="22"/>
          <w:szCs w:val="22"/>
          <w:lang w:val="es-ES"/>
        </w:rPr>
        <w:t>La</w:t>
      </w:r>
      <w:proofErr w:type="gramEnd"/>
      <w:r w:rsidR="001A4FF0" w:rsidRPr="006334F2">
        <w:rPr>
          <w:sz w:val="22"/>
          <w:szCs w:val="22"/>
          <w:lang w:val="es-ES"/>
        </w:rPr>
        <w:t xml:space="preserve"> UIT publicará el texto de </w:t>
      </w:r>
      <w:r w:rsidRPr="006334F2">
        <w:rPr>
          <w:sz w:val="22"/>
          <w:szCs w:val="22"/>
          <w:lang w:val="es-ES"/>
        </w:rPr>
        <w:t>la</w:t>
      </w:r>
      <w:r w:rsidR="001A4FF0" w:rsidRPr="006334F2">
        <w:rPr>
          <w:sz w:val="22"/>
          <w:szCs w:val="22"/>
          <w:lang w:val="es-ES"/>
        </w:rPr>
        <w:t xml:space="preserve"> Recomendación </w:t>
      </w:r>
      <w:r w:rsidRPr="006334F2">
        <w:rPr>
          <w:sz w:val="22"/>
          <w:szCs w:val="22"/>
          <w:lang w:val="es-ES"/>
        </w:rPr>
        <w:t xml:space="preserve">aprobada </w:t>
      </w:r>
      <w:r w:rsidR="001A4FF0" w:rsidRPr="006334F2">
        <w:rPr>
          <w:sz w:val="22"/>
          <w:szCs w:val="22"/>
          <w:lang w:val="es-ES"/>
        </w:rPr>
        <w:t>a la mayor brevedad.</w:t>
      </w:r>
    </w:p>
    <w:p w14:paraId="68E50B3E" w14:textId="6165D1B9" w:rsidR="00033136" w:rsidRPr="006334F2" w:rsidRDefault="00DD2103" w:rsidP="006334F2">
      <w:pPr>
        <w:rPr>
          <w:sz w:val="22"/>
          <w:szCs w:val="22"/>
          <w:lang w:val="es-ES"/>
        </w:rPr>
      </w:pPr>
      <w:r w:rsidRPr="006334F2">
        <w:rPr>
          <w:sz w:val="22"/>
          <w:szCs w:val="22"/>
          <w:lang w:val="es-ES"/>
        </w:rPr>
        <w:t>Atentamente</w:t>
      </w:r>
      <w:r w:rsidR="00D54363" w:rsidRPr="006334F2">
        <w:rPr>
          <w:sz w:val="22"/>
          <w:szCs w:val="22"/>
          <w:lang w:val="es-ES"/>
        </w:rPr>
        <w:t>,</w:t>
      </w:r>
    </w:p>
    <w:p w14:paraId="35ED4229" w14:textId="0BB6D2FE" w:rsidR="00BB24D2" w:rsidRPr="006334F2" w:rsidRDefault="00BC5556" w:rsidP="006334F2">
      <w:pPr>
        <w:spacing w:before="960"/>
        <w:ind w:right="-284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7FC8FE4F" wp14:editId="0C7ECB63">
            <wp:simplePos x="0" y="0"/>
            <wp:positionH relativeFrom="column">
              <wp:posOffset>3810</wp:posOffset>
            </wp:positionH>
            <wp:positionV relativeFrom="paragraph">
              <wp:posOffset>131445</wp:posOffset>
            </wp:positionV>
            <wp:extent cx="803652" cy="3619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8C" w:rsidRPr="006334F2">
        <w:rPr>
          <w:sz w:val="22"/>
          <w:szCs w:val="22"/>
          <w:lang w:val="es-ES"/>
        </w:rPr>
        <w:t>Seizo Onoe</w:t>
      </w:r>
      <w:r w:rsidR="00BB24D2" w:rsidRPr="006334F2">
        <w:rPr>
          <w:sz w:val="22"/>
          <w:szCs w:val="22"/>
          <w:lang w:val="es-ES"/>
        </w:rPr>
        <w:br/>
      </w:r>
      <w:proofErr w:type="gramStart"/>
      <w:r w:rsidR="00BB24D2" w:rsidRPr="006334F2">
        <w:rPr>
          <w:sz w:val="22"/>
          <w:szCs w:val="22"/>
          <w:lang w:val="es-ES"/>
        </w:rPr>
        <w:t>Director</w:t>
      </w:r>
      <w:proofErr w:type="gramEnd"/>
      <w:r w:rsidR="00BB24D2" w:rsidRPr="006334F2">
        <w:rPr>
          <w:sz w:val="22"/>
          <w:szCs w:val="22"/>
          <w:lang w:val="es-ES"/>
        </w:rPr>
        <w:t xml:space="preserve"> de la Oficina de </w:t>
      </w:r>
      <w:r w:rsidR="000C1310" w:rsidRPr="006334F2">
        <w:rPr>
          <w:sz w:val="22"/>
          <w:szCs w:val="22"/>
          <w:lang w:val="es-ES"/>
        </w:rPr>
        <w:br/>
      </w:r>
      <w:r w:rsidR="00BB24D2" w:rsidRPr="006334F2">
        <w:rPr>
          <w:sz w:val="22"/>
          <w:szCs w:val="22"/>
          <w:lang w:val="es-ES"/>
        </w:rPr>
        <w:t>Normalización</w:t>
      </w:r>
      <w:r w:rsidR="000C1310" w:rsidRPr="006334F2">
        <w:rPr>
          <w:sz w:val="22"/>
          <w:szCs w:val="22"/>
          <w:lang w:val="es-ES"/>
        </w:rPr>
        <w:t xml:space="preserve"> </w:t>
      </w:r>
      <w:r w:rsidR="00BB24D2" w:rsidRPr="006334F2">
        <w:rPr>
          <w:sz w:val="22"/>
          <w:szCs w:val="22"/>
          <w:lang w:val="es-ES"/>
        </w:rPr>
        <w:t>de las Telecomunicaciones</w:t>
      </w:r>
    </w:p>
    <w:p w14:paraId="4FA80BE1" w14:textId="66928FBF" w:rsidR="009B7B2E" w:rsidRPr="006334F2" w:rsidRDefault="009B7B2E" w:rsidP="006334F2">
      <w:pPr>
        <w:spacing w:before="240"/>
        <w:ind w:right="-284"/>
        <w:rPr>
          <w:sz w:val="22"/>
          <w:szCs w:val="22"/>
          <w:lang w:val="es-ES"/>
        </w:rPr>
      </w:pPr>
      <w:bookmarkStart w:id="2" w:name="lt_pId077"/>
      <w:r w:rsidRPr="006334F2">
        <w:rPr>
          <w:b/>
          <w:sz w:val="22"/>
          <w:szCs w:val="22"/>
          <w:lang w:val="es-ES"/>
        </w:rPr>
        <w:t>Anexo</w:t>
      </w:r>
      <w:r w:rsidRPr="006334F2">
        <w:rPr>
          <w:sz w:val="22"/>
          <w:szCs w:val="22"/>
          <w:lang w:val="es-ES"/>
        </w:rPr>
        <w:t>:</w:t>
      </w:r>
      <w:bookmarkEnd w:id="2"/>
      <w:r w:rsidRPr="006334F2">
        <w:rPr>
          <w:sz w:val="22"/>
          <w:szCs w:val="22"/>
          <w:lang w:val="es-ES"/>
        </w:rPr>
        <w:t xml:space="preserve"> 1</w:t>
      </w:r>
    </w:p>
    <w:p w14:paraId="2BDBEC5E" w14:textId="7500C7D7" w:rsidR="009B7B2E" w:rsidRPr="00296798" w:rsidRDefault="009B7B2E" w:rsidP="009B7B2E">
      <w:pPr>
        <w:jc w:val="center"/>
        <w:rPr>
          <w:b/>
          <w:bCs/>
          <w:szCs w:val="24"/>
          <w:lang w:val="es-ES"/>
        </w:rPr>
      </w:pPr>
      <w:bookmarkStart w:id="3" w:name="lt_pId079"/>
      <w:r w:rsidRPr="00296798">
        <w:rPr>
          <w:b/>
          <w:bCs/>
          <w:szCs w:val="24"/>
          <w:lang w:val="es-ES"/>
        </w:rPr>
        <w:lastRenderedPageBreak/>
        <w:t>Anexo 1</w:t>
      </w:r>
      <w:bookmarkEnd w:id="3"/>
    </w:p>
    <w:p w14:paraId="1764D38D" w14:textId="77777777" w:rsidR="00296798" w:rsidRDefault="009B7B2E" w:rsidP="009B7B2E">
      <w:pPr>
        <w:jc w:val="center"/>
        <w:rPr>
          <w:b/>
          <w:bCs/>
          <w:szCs w:val="24"/>
          <w:lang w:val="es-ES"/>
        </w:rPr>
      </w:pPr>
      <w:r w:rsidRPr="00296798">
        <w:rPr>
          <w:b/>
          <w:bCs/>
          <w:szCs w:val="24"/>
          <w:lang w:val="es-ES"/>
        </w:rPr>
        <w:br/>
      </w:r>
      <w:bookmarkStart w:id="4" w:name="lt_pId080"/>
      <w:r w:rsidRPr="00296798">
        <w:rPr>
          <w:b/>
          <w:bCs/>
          <w:szCs w:val="24"/>
          <w:lang w:val="es-ES"/>
        </w:rPr>
        <w:t>Resumen de la nueva Recomendación UIT-T Y.3082</w:t>
      </w:r>
      <w:bookmarkEnd w:id="4"/>
    </w:p>
    <w:p w14:paraId="4988176B" w14:textId="62B624BD" w:rsidR="009B7B2E" w:rsidRPr="000E283A" w:rsidRDefault="009B7B2E" w:rsidP="009B7B2E">
      <w:pPr>
        <w:jc w:val="center"/>
        <w:rPr>
          <w:rFonts w:cs="Calibri"/>
          <w:b/>
          <w:bCs/>
          <w:szCs w:val="24"/>
          <w:lang w:val="es-ES"/>
        </w:rPr>
      </w:pPr>
      <w:bookmarkStart w:id="5" w:name="lt_pId081"/>
      <w:r w:rsidRPr="00296798">
        <w:rPr>
          <w:b/>
          <w:bCs/>
          <w:szCs w:val="24"/>
          <w:lang w:val="es-ES"/>
        </w:rPr>
        <w:t>“</w:t>
      </w:r>
      <w:r w:rsidRPr="00296798">
        <w:rPr>
          <w:b/>
          <w:bCs/>
          <w:i/>
          <w:szCs w:val="24"/>
          <w:lang w:val="es-ES"/>
        </w:rPr>
        <w:t xml:space="preserve">Compartición de redes móviles basada en la tecnología de libro mayor distribuido para redes posteriores a las IMT-2020: Requisitos y </w:t>
      </w:r>
      <w:r w:rsidRPr="000E283A">
        <w:rPr>
          <w:b/>
          <w:bCs/>
          <w:i/>
          <w:szCs w:val="24"/>
          <w:lang w:val="es-ES"/>
        </w:rPr>
        <w:t>marco</w:t>
      </w:r>
      <w:bookmarkEnd w:id="5"/>
      <w:r w:rsidRPr="000E283A">
        <w:rPr>
          <w:b/>
          <w:bCs/>
          <w:szCs w:val="24"/>
          <w:lang w:val="es-ES"/>
        </w:rPr>
        <w:t>”</w:t>
      </w:r>
    </w:p>
    <w:p w14:paraId="7F135BC5" w14:textId="4CDE164D" w:rsidR="00D343D8" w:rsidRDefault="00D343D8" w:rsidP="000E28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textAlignment w:val="auto"/>
        <w:rPr>
          <w:lang w:val="es-ES"/>
        </w:rPr>
      </w:pPr>
      <w:bookmarkStart w:id="6" w:name="lt_pId083"/>
      <w:r w:rsidRPr="00296798">
        <w:rPr>
          <w:lang w:val="es-ES"/>
        </w:rPr>
        <w:t>En la Recomendación UIT-T Y.3082 se especifican los requisitos y el marco de la tecnología de libro mayor distribuido utilizada en la compartición de redes móviles para redes posteriores a la</w:t>
      </w:r>
      <w:r w:rsidR="000265BE">
        <w:rPr>
          <w:lang w:val="es-ES"/>
        </w:rPr>
        <w:t> </w:t>
      </w:r>
      <w:r w:rsidRPr="00296798">
        <w:rPr>
          <w:lang w:val="es-ES"/>
        </w:rPr>
        <w:t>IMT</w:t>
      </w:r>
      <w:r w:rsidR="000265BE">
        <w:rPr>
          <w:lang w:val="es-ES"/>
        </w:rPr>
        <w:noBreakHyphen/>
      </w:r>
      <w:r w:rsidRPr="00296798">
        <w:rPr>
          <w:lang w:val="es-ES"/>
        </w:rPr>
        <w:t>2020. Se establecen los requisitos detallados de la compartición de redes móviles basada en la tecnología de libro mayor distribuido. Se presentan el marco de alto nivel, los procedimientos de servicio y las consideraciones de seguridad. En el Apéndice se describen casos de uso detallados.</w:t>
      </w:r>
    </w:p>
    <w:bookmarkEnd w:id="6"/>
    <w:p w14:paraId="18C44FB4" w14:textId="77777777" w:rsidR="002F61BB" w:rsidRDefault="002F61BB" w:rsidP="00411C49">
      <w:pPr>
        <w:pStyle w:val="Reasons"/>
      </w:pPr>
    </w:p>
    <w:p w14:paraId="3E326C4E" w14:textId="77777777" w:rsidR="002F61BB" w:rsidRDefault="002F61BB">
      <w:pPr>
        <w:jc w:val="center"/>
      </w:pPr>
      <w:r>
        <w:t>______________</w:t>
      </w:r>
    </w:p>
    <w:sectPr w:rsidR="002F61BB" w:rsidSect="000846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29D0" w14:textId="77777777" w:rsidR="00340A2E" w:rsidRDefault="00340A2E">
      <w:r>
        <w:separator/>
      </w:r>
    </w:p>
  </w:endnote>
  <w:endnote w:type="continuationSeparator" w:id="0">
    <w:p w14:paraId="5D09F16E" w14:textId="77777777" w:rsidR="00340A2E" w:rsidRDefault="003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BFC0" w14:textId="77777777" w:rsidR="00E52DAA" w:rsidRDefault="00E5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C361" w14:textId="777824FE" w:rsidR="000E283A" w:rsidRPr="000E283A" w:rsidRDefault="000E283A" w:rsidP="000E283A">
    <w:pPr>
      <w:pStyle w:val="Footer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B654" w14:textId="1E74710F" w:rsidR="000E283A" w:rsidRPr="000E283A" w:rsidRDefault="000E283A" w:rsidP="000E283A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asciiTheme="minorHAnsi" w:hAnsiTheme="minorHAnsi"/>
        <w:color w:val="0070C0"/>
        <w:sz w:val="18"/>
        <w:szCs w:val="18"/>
        <w:lang w:val="es-ES"/>
      </w:rPr>
    </w:pPr>
    <w:r w:rsidRPr="000E283A">
      <w:rPr>
        <w:rFonts w:asciiTheme="minorHAnsi" w:hAnsiTheme="minorHAnsi"/>
        <w:color w:val="0070C0"/>
        <w:sz w:val="18"/>
        <w:szCs w:val="18"/>
        <w:lang w:val="es-ES"/>
      </w:rPr>
      <w:t xml:space="preserve">Unión Internacional de Telecomunicaciones • Place des </w:t>
    </w:r>
    <w:proofErr w:type="spellStart"/>
    <w:r w:rsidRPr="000E283A">
      <w:rPr>
        <w:rFonts w:asciiTheme="minorHAnsi" w:hAnsiTheme="minorHAnsi"/>
        <w:color w:val="0070C0"/>
        <w:sz w:val="18"/>
        <w:szCs w:val="18"/>
        <w:lang w:val="es-ES"/>
      </w:rPr>
      <w:t>Nations</w:t>
    </w:r>
    <w:proofErr w:type="spellEnd"/>
    <w:r w:rsidRPr="000E283A">
      <w:rPr>
        <w:rFonts w:asciiTheme="minorHAnsi" w:hAnsiTheme="minorHAnsi"/>
        <w:color w:val="0070C0"/>
        <w:sz w:val="18"/>
        <w:szCs w:val="18"/>
        <w:lang w:val="es-ES"/>
      </w:rPr>
      <w:t>, CH</w:t>
    </w:r>
    <w:r w:rsidRPr="000E283A">
      <w:rPr>
        <w:rFonts w:asciiTheme="minorHAnsi" w:hAnsiTheme="minorHAnsi"/>
        <w:color w:val="0070C0"/>
        <w:sz w:val="18"/>
        <w:szCs w:val="18"/>
        <w:lang w:val="es-ES"/>
      </w:rPr>
      <w:noBreakHyphen/>
      <w:t xml:space="preserve">1211 Ginebra 20, Suiza </w:t>
    </w:r>
    <w:r w:rsidRPr="000E283A">
      <w:rPr>
        <w:rFonts w:asciiTheme="minorHAnsi" w:hAnsiTheme="minorHAnsi"/>
        <w:color w:val="0070C0"/>
        <w:sz w:val="18"/>
        <w:szCs w:val="18"/>
        <w:lang w:val="es-ES"/>
      </w:rPr>
      <w:br/>
      <w:t>Tel</w:t>
    </w:r>
    <w:r>
      <w:rPr>
        <w:rFonts w:asciiTheme="minorHAnsi" w:hAnsiTheme="minorHAnsi"/>
        <w:color w:val="0070C0"/>
        <w:sz w:val="18"/>
        <w:szCs w:val="18"/>
        <w:lang w:val="es-ES"/>
      </w:rPr>
      <w:t>.</w:t>
    </w:r>
    <w:r w:rsidRPr="000E283A">
      <w:rPr>
        <w:rFonts w:asciiTheme="minorHAnsi" w:hAnsiTheme="minorHAnsi"/>
        <w:color w:val="0070C0"/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0E283A">
        <w:rPr>
          <w:rFonts w:asciiTheme="minorHAnsi" w:hAnsiTheme="minorHAnsi"/>
          <w:color w:val="0070C0"/>
          <w:sz w:val="18"/>
          <w:u w:val="single"/>
          <w:lang w:val="es-ES"/>
        </w:rPr>
        <w:t>itumail@itu.int</w:t>
      </w:r>
    </w:hyperlink>
    <w:r w:rsidRPr="000E283A">
      <w:rPr>
        <w:rFonts w:asciiTheme="minorHAnsi" w:hAnsiTheme="minorHAnsi"/>
        <w:color w:val="0070C0"/>
        <w:sz w:val="18"/>
        <w:szCs w:val="18"/>
        <w:lang w:val="es-ES"/>
      </w:rPr>
      <w:t xml:space="preserve"> • </w:t>
    </w:r>
    <w:hyperlink r:id="rId2" w:history="1">
      <w:r w:rsidRPr="000E283A">
        <w:rPr>
          <w:rFonts w:asciiTheme="minorHAnsi" w:hAnsiTheme="minorHAnsi"/>
          <w:color w:val="0070C0"/>
          <w:sz w:val="18"/>
          <w:u w:val="single"/>
          <w:lang w:val="es-ES"/>
        </w:rPr>
        <w:t>www.itu.int</w:t>
      </w:r>
    </w:hyperlink>
    <w:r w:rsidRPr="000E283A">
      <w:rPr>
        <w:rFonts w:asciiTheme="minorHAnsi" w:hAnsiTheme="minorHAnsi"/>
        <w:color w:val="0070C0"/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6B6D" w14:textId="77777777" w:rsidR="00340A2E" w:rsidRDefault="00340A2E">
      <w:r>
        <w:t>____________________</w:t>
      </w:r>
    </w:p>
  </w:footnote>
  <w:footnote w:type="continuationSeparator" w:id="0">
    <w:p w14:paraId="01C7AB22" w14:textId="77777777" w:rsidR="00340A2E" w:rsidRDefault="0034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3204" w14:textId="77777777" w:rsidR="00E52DAA" w:rsidRDefault="00E52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0C0" w14:textId="10785CEB" w:rsidR="00B27F8A" w:rsidRDefault="00B27F8A" w:rsidP="001A4FF0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96798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9B7B2E">
      <w:rPr>
        <w:rStyle w:val="PageNumber"/>
        <w:sz w:val="18"/>
        <w:szCs w:val="18"/>
      </w:rPr>
      <w:t>–</w:t>
    </w:r>
  </w:p>
  <w:p w14:paraId="2948699D" w14:textId="512C59A9" w:rsidR="009B7B2E" w:rsidRPr="000E283A" w:rsidRDefault="009B7B2E" w:rsidP="000E283A">
    <w:pPr>
      <w:spacing w:before="0"/>
      <w:jc w:val="center"/>
      <w:rPr>
        <w:rStyle w:val="PageNumber"/>
        <w:sz w:val="18"/>
      </w:rPr>
    </w:pPr>
    <w:r w:rsidRPr="009B7B2E">
      <w:rPr>
        <w:sz w:val="18"/>
      </w:rPr>
      <w:t>Circular TSB 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679E" w14:textId="77777777" w:rsidR="00E52DAA" w:rsidRDefault="00E52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43220443">
    <w:abstractNumId w:val="10"/>
  </w:num>
  <w:num w:numId="2" w16cid:durableId="4483902">
    <w:abstractNumId w:val="13"/>
  </w:num>
  <w:num w:numId="3" w16cid:durableId="1886021651">
    <w:abstractNumId w:val="12"/>
  </w:num>
  <w:num w:numId="4" w16cid:durableId="1321426408">
    <w:abstractNumId w:val="11"/>
  </w:num>
  <w:num w:numId="5" w16cid:durableId="292291241">
    <w:abstractNumId w:val="9"/>
  </w:num>
  <w:num w:numId="6" w16cid:durableId="1145898176">
    <w:abstractNumId w:val="7"/>
  </w:num>
  <w:num w:numId="7" w16cid:durableId="1392656375">
    <w:abstractNumId w:val="6"/>
  </w:num>
  <w:num w:numId="8" w16cid:durableId="1117061807">
    <w:abstractNumId w:val="5"/>
  </w:num>
  <w:num w:numId="9" w16cid:durableId="1136140031">
    <w:abstractNumId w:val="4"/>
  </w:num>
  <w:num w:numId="10" w16cid:durableId="371351021">
    <w:abstractNumId w:val="8"/>
  </w:num>
  <w:num w:numId="11" w16cid:durableId="767510150">
    <w:abstractNumId w:val="3"/>
  </w:num>
  <w:num w:numId="12" w16cid:durableId="1082871847">
    <w:abstractNumId w:val="2"/>
  </w:num>
  <w:num w:numId="13" w16cid:durableId="1500120264">
    <w:abstractNumId w:val="1"/>
  </w:num>
  <w:num w:numId="14" w16cid:durableId="178542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2"/>
    <w:rsid w:val="00002529"/>
    <w:rsid w:val="00003E81"/>
    <w:rsid w:val="000216B0"/>
    <w:rsid w:val="00023FAE"/>
    <w:rsid w:val="000247A4"/>
    <w:rsid w:val="000265BE"/>
    <w:rsid w:val="00026F21"/>
    <w:rsid w:val="00033136"/>
    <w:rsid w:val="00042FCD"/>
    <w:rsid w:val="00045420"/>
    <w:rsid w:val="00055103"/>
    <w:rsid w:val="00056F9C"/>
    <w:rsid w:val="0006207B"/>
    <w:rsid w:val="00064354"/>
    <w:rsid w:val="0006731E"/>
    <w:rsid w:val="00074A23"/>
    <w:rsid w:val="000774DB"/>
    <w:rsid w:val="00084627"/>
    <w:rsid w:val="000944A9"/>
    <w:rsid w:val="00097F03"/>
    <w:rsid w:val="000A1F90"/>
    <w:rsid w:val="000A5E8E"/>
    <w:rsid w:val="000B74F4"/>
    <w:rsid w:val="000C1310"/>
    <w:rsid w:val="000C2F29"/>
    <w:rsid w:val="000C382F"/>
    <w:rsid w:val="000C4993"/>
    <w:rsid w:val="000D7FE6"/>
    <w:rsid w:val="000E283A"/>
    <w:rsid w:val="000E315D"/>
    <w:rsid w:val="000E5F2A"/>
    <w:rsid w:val="000F59B4"/>
    <w:rsid w:val="001173CC"/>
    <w:rsid w:val="001242BD"/>
    <w:rsid w:val="0013293A"/>
    <w:rsid w:val="00144EF8"/>
    <w:rsid w:val="00147651"/>
    <w:rsid w:val="00154C5E"/>
    <w:rsid w:val="00162086"/>
    <w:rsid w:val="00174E7F"/>
    <w:rsid w:val="00175724"/>
    <w:rsid w:val="001A4FF0"/>
    <w:rsid w:val="001A54CC"/>
    <w:rsid w:val="001B09B0"/>
    <w:rsid w:val="001B28C1"/>
    <w:rsid w:val="001F2092"/>
    <w:rsid w:val="001F71B3"/>
    <w:rsid w:val="002004A9"/>
    <w:rsid w:val="00207559"/>
    <w:rsid w:val="00210EE2"/>
    <w:rsid w:val="002158E9"/>
    <w:rsid w:val="002213F2"/>
    <w:rsid w:val="00221678"/>
    <w:rsid w:val="00222E62"/>
    <w:rsid w:val="002260AD"/>
    <w:rsid w:val="00257FB4"/>
    <w:rsid w:val="00266E08"/>
    <w:rsid w:val="002758EA"/>
    <w:rsid w:val="00290765"/>
    <w:rsid w:val="00296798"/>
    <w:rsid w:val="002A5C0E"/>
    <w:rsid w:val="002A5ECF"/>
    <w:rsid w:val="002A60AC"/>
    <w:rsid w:val="002A6D38"/>
    <w:rsid w:val="002B0190"/>
    <w:rsid w:val="002E1BE0"/>
    <w:rsid w:val="002F5471"/>
    <w:rsid w:val="002F61BB"/>
    <w:rsid w:val="00303D62"/>
    <w:rsid w:val="00306D15"/>
    <w:rsid w:val="00335367"/>
    <w:rsid w:val="00340A2E"/>
    <w:rsid w:val="00345A03"/>
    <w:rsid w:val="00367EF7"/>
    <w:rsid w:val="00370C2D"/>
    <w:rsid w:val="003846EA"/>
    <w:rsid w:val="003B3DC3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E733D"/>
    <w:rsid w:val="003F2855"/>
    <w:rsid w:val="003F7EC5"/>
    <w:rsid w:val="00401C20"/>
    <w:rsid w:val="0041292F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44A5"/>
    <w:rsid w:val="004E751D"/>
    <w:rsid w:val="004F1D13"/>
    <w:rsid w:val="004F2188"/>
    <w:rsid w:val="004F5516"/>
    <w:rsid w:val="00507DE2"/>
    <w:rsid w:val="00511842"/>
    <w:rsid w:val="00530D16"/>
    <w:rsid w:val="0054071A"/>
    <w:rsid w:val="00547BEB"/>
    <w:rsid w:val="005544F0"/>
    <w:rsid w:val="00572D8C"/>
    <w:rsid w:val="00573EC6"/>
    <w:rsid w:val="00583CF6"/>
    <w:rsid w:val="00584C3A"/>
    <w:rsid w:val="005906AE"/>
    <w:rsid w:val="005C3896"/>
    <w:rsid w:val="005D3EA2"/>
    <w:rsid w:val="005E386F"/>
    <w:rsid w:val="00601902"/>
    <w:rsid w:val="00623035"/>
    <w:rsid w:val="00627469"/>
    <w:rsid w:val="006334F2"/>
    <w:rsid w:val="00636E5F"/>
    <w:rsid w:val="006464CA"/>
    <w:rsid w:val="00651D5D"/>
    <w:rsid w:val="00652324"/>
    <w:rsid w:val="00653659"/>
    <w:rsid w:val="00657132"/>
    <w:rsid w:val="0065734D"/>
    <w:rsid w:val="006604C1"/>
    <w:rsid w:val="00663CED"/>
    <w:rsid w:val="00666BBF"/>
    <w:rsid w:val="00690466"/>
    <w:rsid w:val="006905B0"/>
    <w:rsid w:val="00695DA5"/>
    <w:rsid w:val="006969B4"/>
    <w:rsid w:val="006B1758"/>
    <w:rsid w:val="006B1F7F"/>
    <w:rsid w:val="006B4F3B"/>
    <w:rsid w:val="006B6E1B"/>
    <w:rsid w:val="006C1EC9"/>
    <w:rsid w:val="006D170F"/>
    <w:rsid w:val="006D3F6E"/>
    <w:rsid w:val="006D4751"/>
    <w:rsid w:val="006F3EB3"/>
    <w:rsid w:val="00701DA1"/>
    <w:rsid w:val="007041BE"/>
    <w:rsid w:val="007203E4"/>
    <w:rsid w:val="00721A44"/>
    <w:rsid w:val="00734C19"/>
    <w:rsid w:val="0074264F"/>
    <w:rsid w:val="007615C1"/>
    <w:rsid w:val="00766C24"/>
    <w:rsid w:val="007776B0"/>
    <w:rsid w:val="00781E2A"/>
    <w:rsid w:val="00797F3B"/>
    <w:rsid w:val="007A7559"/>
    <w:rsid w:val="007B07B0"/>
    <w:rsid w:val="007B5F5C"/>
    <w:rsid w:val="007C1230"/>
    <w:rsid w:val="007C2F35"/>
    <w:rsid w:val="007C36A9"/>
    <w:rsid w:val="007C550B"/>
    <w:rsid w:val="007D1AEB"/>
    <w:rsid w:val="007E6EE1"/>
    <w:rsid w:val="008212AE"/>
    <w:rsid w:val="008226A4"/>
    <w:rsid w:val="00823C1B"/>
    <w:rsid w:val="008258C2"/>
    <w:rsid w:val="00835D43"/>
    <w:rsid w:val="008505BD"/>
    <w:rsid w:val="00850C78"/>
    <w:rsid w:val="0085514D"/>
    <w:rsid w:val="0085548A"/>
    <w:rsid w:val="008666F8"/>
    <w:rsid w:val="0087251F"/>
    <w:rsid w:val="00872C6D"/>
    <w:rsid w:val="008740F5"/>
    <w:rsid w:val="008B6177"/>
    <w:rsid w:val="008C15EA"/>
    <w:rsid w:val="008C17AD"/>
    <w:rsid w:val="008D02CD"/>
    <w:rsid w:val="008D33A2"/>
    <w:rsid w:val="008D4267"/>
    <w:rsid w:val="008D65A2"/>
    <w:rsid w:val="008F4480"/>
    <w:rsid w:val="00900EEF"/>
    <w:rsid w:val="00910673"/>
    <w:rsid w:val="0092481C"/>
    <w:rsid w:val="009311AF"/>
    <w:rsid w:val="0094395D"/>
    <w:rsid w:val="0094458C"/>
    <w:rsid w:val="0095172A"/>
    <w:rsid w:val="00952E42"/>
    <w:rsid w:val="0095300E"/>
    <w:rsid w:val="0096164C"/>
    <w:rsid w:val="0097225C"/>
    <w:rsid w:val="009868F6"/>
    <w:rsid w:val="009875D7"/>
    <w:rsid w:val="00991430"/>
    <w:rsid w:val="0099378F"/>
    <w:rsid w:val="009952E2"/>
    <w:rsid w:val="00995937"/>
    <w:rsid w:val="00997BC7"/>
    <w:rsid w:val="009A15CE"/>
    <w:rsid w:val="009B1375"/>
    <w:rsid w:val="009B7B2E"/>
    <w:rsid w:val="009C0240"/>
    <w:rsid w:val="009C3FB2"/>
    <w:rsid w:val="009F07FF"/>
    <w:rsid w:val="009F2AF8"/>
    <w:rsid w:val="00A0497D"/>
    <w:rsid w:val="00A17BD5"/>
    <w:rsid w:val="00A32CBA"/>
    <w:rsid w:val="00A47DC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27F8A"/>
    <w:rsid w:val="00B32948"/>
    <w:rsid w:val="00B3359D"/>
    <w:rsid w:val="00B36BA3"/>
    <w:rsid w:val="00B40E3E"/>
    <w:rsid w:val="00B422BC"/>
    <w:rsid w:val="00B43F77"/>
    <w:rsid w:val="00B56E29"/>
    <w:rsid w:val="00B640AC"/>
    <w:rsid w:val="00B65937"/>
    <w:rsid w:val="00B76824"/>
    <w:rsid w:val="00B81A71"/>
    <w:rsid w:val="00B9013F"/>
    <w:rsid w:val="00B916A1"/>
    <w:rsid w:val="00B95F0A"/>
    <w:rsid w:val="00B96180"/>
    <w:rsid w:val="00BB1CE1"/>
    <w:rsid w:val="00BB24D2"/>
    <w:rsid w:val="00BC071F"/>
    <w:rsid w:val="00BC1EEA"/>
    <w:rsid w:val="00BC26BC"/>
    <w:rsid w:val="00BC5556"/>
    <w:rsid w:val="00BF0110"/>
    <w:rsid w:val="00BF408F"/>
    <w:rsid w:val="00BF5401"/>
    <w:rsid w:val="00C16BD2"/>
    <w:rsid w:val="00C17AC0"/>
    <w:rsid w:val="00C20B52"/>
    <w:rsid w:val="00C2506F"/>
    <w:rsid w:val="00C25E26"/>
    <w:rsid w:val="00C34772"/>
    <w:rsid w:val="00C4645D"/>
    <w:rsid w:val="00C53B13"/>
    <w:rsid w:val="00C56A51"/>
    <w:rsid w:val="00C603C5"/>
    <w:rsid w:val="00C65F91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1104"/>
    <w:rsid w:val="00D03B30"/>
    <w:rsid w:val="00D03B8C"/>
    <w:rsid w:val="00D03F89"/>
    <w:rsid w:val="00D343D8"/>
    <w:rsid w:val="00D42DE5"/>
    <w:rsid w:val="00D54363"/>
    <w:rsid w:val="00D7234D"/>
    <w:rsid w:val="00D734BB"/>
    <w:rsid w:val="00D81346"/>
    <w:rsid w:val="00D83B16"/>
    <w:rsid w:val="00D86672"/>
    <w:rsid w:val="00D86DA1"/>
    <w:rsid w:val="00D86E27"/>
    <w:rsid w:val="00D9310B"/>
    <w:rsid w:val="00DA12BF"/>
    <w:rsid w:val="00DA23AA"/>
    <w:rsid w:val="00DA4076"/>
    <w:rsid w:val="00DB2314"/>
    <w:rsid w:val="00DB65BE"/>
    <w:rsid w:val="00DD2103"/>
    <w:rsid w:val="00DD77C9"/>
    <w:rsid w:val="00E03BC8"/>
    <w:rsid w:val="00E04996"/>
    <w:rsid w:val="00E06E43"/>
    <w:rsid w:val="00E11EC2"/>
    <w:rsid w:val="00E15A87"/>
    <w:rsid w:val="00E16A1E"/>
    <w:rsid w:val="00E17046"/>
    <w:rsid w:val="00E172BB"/>
    <w:rsid w:val="00E27F56"/>
    <w:rsid w:val="00E3093E"/>
    <w:rsid w:val="00E52DAA"/>
    <w:rsid w:val="00E54D0C"/>
    <w:rsid w:val="00E57318"/>
    <w:rsid w:val="00E676C5"/>
    <w:rsid w:val="00E830ED"/>
    <w:rsid w:val="00E839B0"/>
    <w:rsid w:val="00E87036"/>
    <w:rsid w:val="00E9195D"/>
    <w:rsid w:val="00E92C09"/>
    <w:rsid w:val="00E93106"/>
    <w:rsid w:val="00EA78F8"/>
    <w:rsid w:val="00EB1DA6"/>
    <w:rsid w:val="00EB250D"/>
    <w:rsid w:val="00EB2E7C"/>
    <w:rsid w:val="00EB2ECF"/>
    <w:rsid w:val="00EB582B"/>
    <w:rsid w:val="00EB74B1"/>
    <w:rsid w:val="00ED082C"/>
    <w:rsid w:val="00EF4305"/>
    <w:rsid w:val="00EF4343"/>
    <w:rsid w:val="00EF6C15"/>
    <w:rsid w:val="00F0024B"/>
    <w:rsid w:val="00F01367"/>
    <w:rsid w:val="00F04987"/>
    <w:rsid w:val="00F07DE6"/>
    <w:rsid w:val="00F20FF0"/>
    <w:rsid w:val="00F40CCA"/>
    <w:rsid w:val="00F41D2B"/>
    <w:rsid w:val="00F43D58"/>
    <w:rsid w:val="00F44EB5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4D96"/>
    <w:rsid w:val="00FA5ABD"/>
    <w:rsid w:val="00FB1522"/>
    <w:rsid w:val="00FB5F74"/>
    <w:rsid w:val="00FC0129"/>
    <w:rsid w:val="00FC39E9"/>
    <w:rsid w:val="00FC5D43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AA1988"/>
  <w15:docId w15:val="{97B20C40-0FB3-431A-AF68-EFDB08F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B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Style 58,超????,超?级链,超级链接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C60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3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3C5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C5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03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3C5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C55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index.aspx?ser=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22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TSB-CIR-0057/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7DA1-68EB-4AAD-931E-76DE539F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29</TotalTime>
  <Pages>2</Pages>
  <Words>490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3266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Spanish</dc:creator>
  <dc:description>174S.DOCX  For: _x000d_Document date: _x000d_Saved by ITU51006837 at 16:40:00 on 09/11/15</dc:description>
  <cp:lastModifiedBy>Braud, Olivia</cp:lastModifiedBy>
  <cp:revision>15</cp:revision>
  <cp:lastPrinted>2023-04-17T10:38:00Z</cp:lastPrinted>
  <dcterms:created xsi:type="dcterms:W3CDTF">2023-04-12T13:17:00Z</dcterms:created>
  <dcterms:modified xsi:type="dcterms:W3CDTF">2023-04-17T10:39:00Z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