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54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3852"/>
        <w:gridCol w:w="4249"/>
      </w:tblGrid>
      <w:tr w:rsidR="00D517B2" w:rsidRPr="00D517B2" w14:paraId="402EA46F" w14:textId="77777777" w:rsidTr="000A675F">
        <w:trPr>
          <w:cantSplit/>
          <w:trHeight w:val="1134"/>
        </w:trPr>
        <w:tc>
          <w:tcPr>
            <w:tcW w:w="798" w:type="pct"/>
          </w:tcPr>
          <w:p w14:paraId="40311022" w14:textId="77777777" w:rsidR="00D517B2" w:rsidRPr="00D517B2" w:rsidRDefault="00D517B2" w:rsidP="000A675F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03D174E" wp14:editId="02B3D0C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  <w:gridSpan w:val="2"/>
          </w:tcPr>
          <w:p w14:paraId="3544B30E" w14:textId="77777777" w:rsidR="00D517B2" w:rsidRPr="00D517B2" w:rsidRDefault="00D517B2" w:rsidP="000A675F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795FD99" w14:textId="77777777" w:rsidR="00D517B2" w:rsidRPr="00D517B2" w:rsidRDefault="00D517B2" w:rsidP="000A675F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  <w:tr w:rsidR="00D517B2" w:rsidRPr="00D517B2" w14:paraId="544366F1" w14:textId="77777777" w:rsidTr="000A675F">
        <w:tblPrEx>
          <w:tblCellMar>
            <w:left w:w="0" w:type="dxa"/>
            <w:right w:w="0" w:type="dxa"/>
          </w:tblCellMar>
        </w:tblPrEx>
        <w:trPr>
          <w:cantSplit/>
          <w:trHeight w:val="148"/>
        </w:trPr>
        <w:tc>
          <w:tcPr>
            <w:tcW w:w="798" w:type="pct"/>
          </w:tcPr>
          <w:p w14:paraId="27A2DEF7" w14:textId="77777777" w:rsidR="00D517B2" w:rsidRPr="00D517B2" w:rsidRDefault="00D517B2" w:rsidP="000A675F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E506261" w14:textId="77777777" w:rsidR="00D517B2" w:rsidRPr="00D517B2" w:rsidRDefault="00D517B2" w:rsidP="000A675F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4" w:type="pct"/>
          </w:tcPr>
          <w:p w14:paraId="5CDAE300" w14:textId="580CA96C" w:rsidR="00D517B2" w:rsidRPr="00D517B2" w:rsidRDefault="00873469" w:rsidP="000A675F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D6D08">
              <w:rPr>
                <w:position w:val="2"/>
              </w:rPr>
              <w:t>31</w:t>
            </w:r>
            <w:r w:rsidR="002D6D08">
              <w:rPr>
                <w:rFonts w:hint="cs"/>
                <w:position w:val="2"/>
                <w:rtl/>
              </w:rPr>
              <w:t xml:space="preserve"> مارس </w:t>
            </w:r>
            <w:r w:rsidR="002D6D08">
              <w:rPr>
                <w:position w:val="2"/>
              </w:rPr>
              <w:t>2023</w:t>
            </w:r>
          </w:p>
        </w:tc>
      </w:tr>
      <w:tr w:rsidR="002D6D08" w:rsidRPr="00D517B2" w14:paraId="6F61D1FF" w14:textId="77777777" w:rsidTr="000A675F">
        <w:tblPrEx>
          <w:tblCellMar>
            <w:left w:w="0" w:type="dxa"/>
            <w:right w:w="0" w:type="dxa"/>
          </w:tblCellMar>
        </w:tblPrEx>
        <w:trPr>
          <w:cantSplit/>
          <w:trHeight w:val="831"/>
        </w:trPr>
        <w:tc>
          <w:tcPr>
            <w:tcW w:w="798" w:type="pct"/>
          </w:tcPr>
          <w:p w14:paraId="38D113A0" w14:textId="77777777" w:rsidR="002D6D08" w:rsidRPr="00A9156F" w:rsidRDefault="002D6D08" w:rsidP="000173C9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tbl>
            <w:tblPr>
              <w:tblpPr w:leftFromText="180" w:rightFromText="180" w:bottomFromText="160" w:vertAnchor="text" w:tblpXSpec="center" w:tblpY="1"/>
              <w:tblOverlap w:val="never"/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2"/>
            </w:tblGrid>
            <w:tr w:rsidR="002D6D08" w14:paraId="397DBB9B" w14:textId="77777777" w:rsidTr="002D6D08">
              <w:trPr>
                <w:cantSplit/>
                <w:trHeight w:val="340"/>
              </w:trPr>
              <w:tc>
                <w:tcPr>
                  <w:tcW w:w="1734" w:type="pct"/>
                  <w:hideMark/>
                </w:tcPr>
                <w:p w14:paraId="5E1A7EC2" w14:textId="3D807E85" w:rsidR="002D6D08" w:rsidRDefault="002D6D08" w:rsidP="000173C9">
                  <w:pPr>
                    <w:tabs>
                      <w:tab w:val="left" w:pos="1361"/>
                      <w:tab w:val="left" w:pos="1928"/>
                      <w:tab w:val="left" w:pos="2495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40" w:after="40" w:line="300" w:lineRule="exact"/>
                    <w:jc w:val="left"/>
                    <w:rPr>
                      <w:rFonts w:ascii="Calibri" w:hAnsi="Calibri" w:cs="Traditional Arabic"/>
                      <w:bCs/>
                      <w:position w:val="2"/>
                      <w:lang w:bidi="ar-EG"/>
                    </w:rPr>
                  </w:pPr>
                  <w:r>
                    <w:rPr>
                      <w:b/>
                      <w:position w:val="2"/>
                      <w:lang w:bidi="ar-SY"/>
                    </w:rPr>
                    <w:t>TSB Circular 89</w:t>
                  </w:r>
                  <w:r>
                    <w:rPr>
                      <w:b/>
                      <w:position w:val="2"/>
                      <w:rtl/>
                      <w:lang w:bidi="ar-EG"/>
                    </w:rPr>
                    <w:br/>
                  </w:r>
                  <w:r>
                    <w:rPr>
                      <w:bCs/>
                      <w:position w:val="2"/>
                      <w:lang w:bidi="ar-EG"/>
                    </w:rPr>
                    <w:t>SG13/TK</w:t>
                  </w:r>
                </w:p>
              </w:tc>
            </w:tr>
          </w:tbl>
          <w:p w14:paraId="47EAC66E" w14:textId="74FB0C79" w:rsidR="002D6D08" w:rsidRPr="00D517B2" w:rsidRDefault="002D6D08" w:rsidP="000173C9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</w:p>
        </w:tc>
        <w:tc>
          <w:tcPr>
            <w:tcW w:w="2204" w:type="pct"/>
            <w:vMerge w:val="restart"/>
          </w:tcPr>
          <w:p w14:paraId="14CB339E" w14:textId="77777777" w:rsidR="002D6D08" w:rsidRPr="002D6D08" w:rsidRDefault="002D6D08" w:rsidP="000173C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D6D08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287FD14" w14:textId="5E005457" w:rsidR="002D6D08" w:rsidRPr="002D6D08" w:rsidRDefault="002D6D08" w:rsidP="000173C9">
            <w:pPr>
              <w:tabs>
                <w:tab w:val="left" w:pos="428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2D6D08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0DF4F603" w14:textId="77777777" w:rsidR="002D6D08" w:rsidRPr="002D6D08" w:rsidRDefault="002D6D08" w:rsidP="000173C9">
            <w:pPr>
              <w:tabs>
                <w:tab w:val="clear" w:pos="794"/>
                <w:tab w:val="left" w:pos="428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2D6D08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604C973" w14:textId="77777777" w:rsidR="002D6D08" w:rsidRPr="002D6D08" w:rsidRDefault="002D6D08" w:rsidP="000173C9">
            <w:pPr>
              <w:tabs>
                <w:tab w:val="left" w:pos="428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2D6D0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0B10ACF" w14:textId="5D16B3A7" w:rsidR="002D6D08" w:rsidRPr="006C57D9" w:rsidRDefault="002D6D08" w:rsidP="000173C9">
            <w:pPr>
              <w:tabs>
                <w:tab w:val="left" w:pos="428"/>
                <w:tab w:val="left" w:pos="4111"/>
              </w:tabs>
              <w:spacing w:before="40" w:after="40" w:line="300" w:lineRule="exact"/>
              <w:ind w:left="284" w:hanging="284"/>
              <w:rPr>
                <w:spacing w:val="-10"/>
                <w:position w:val="2"/>
                <w:rtl/>
                <w:lang w:bidi="ar-EG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6C57D9">
              <w:rPr>
                <w:spacing w:val="-10"/>
                <w:position w:val="2"/>
                <w:rtl/>
              </w:rPr>
              <w:t xml:space="preserve">المنتسبين إلى </w:t>
            </w:r>
            <w:r w:rsidRPr="006C57D9">
              <w:rPr>
                <w:spacing w:val="-10"/>
                <w:position w:val="2"/>
                <w:rtl/>
                <w:lang w:bidi="ar-EG"/>
              </w:rPr>
              <w:t>لجنة الدراسات</w:t>
            </w:r>
            <w:r w:rsidR="00D97D0B" w:rsidRPr="006C57D9">
              <w:rPr>
                <w:rFonts w:hint="cs"/>
                <w:spacing w:val="-10"/>
                <w:position w:val="2"/>
                <w:rtl/>
                <w:lang w:bidi="ar-EG"/>
              </w:rPr>
              <w:t> </w:t>
            </w:r>
            <w:r w:rsidRPr="006C57D9">
              <w:rPr>
                <w:spacing w:val="-10"/>
                <w:position w:val="2"/>
              </w:rPr>
              <w:t>13</w:t>
            </w:r>
            <w:r w:rsidRPr="006C57D9">
              <w:rPr>
                <w:spacing w:val="-10"/>
                <w:position w:val="2"/>
                <w:rtl/>
                <w:lang w:bidi="ar-EG"/>
              </w:rPr>
              <w:t xml:space="preserve"> ل</w:t>
            </w:r>
            <w:r w:rsidRPr="006C57D9">
              <w:rPr>
                <w:spacing w:val="-10"/>
                <w:position w:val="2"/>
                <w:rtl/>
              </w:rPr>
              <w:t>قطاع تقييس الاتصالات</w:t>
            </w:r>
            <w:r w:rsidRPr="006C57D9">
              <w:rPr>
                <w:rFonts w:hint="cs"/>
                <w:spacing w:val="-10"/>
                <w:position w:val="2"/>
                <w:rtl/>
              </w:rPr>
              <w:t>؛</w:t>
            </w:r>
          </w:p>
          <w:p w14:paraId="4F25E745" w14:textId="4E99B9C7" w:rsidR="002D6D08" w:rsidRDefault="002D6D08" w:rsidP="000173C9">
            <w:pPr>
              <w:tabs>
                <w:tab w:val="left" w:pos="428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2D6D0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D6D0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7C262FFC" w14:textId="01C8021A" w:rsidR="002D6D08" w:rsidRPr="00192DB8" w:rsidRDefault="002D6D08" w:rsidP="000173C9">
            <w:pPr>
              <w:tabs>
                <w:tab w:val="left" w:pos="428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spacing w:val="-8"/>
                <w:position w:val="2"/>
                <w:rtl/>
                <w:lang w:eastAsia="en-US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192DB8">
              <w:rPr>
                <w:spacing w:val="-8"/>
                <w:position w:val="2"/>
                <w:rtl/>
              </w:rPr>
              <w:t>رئيس لجنة الدراسات</w:t>
            </w:r>
            <w:r w:rsidR="00D97D0B" w:rsidRPr="00192DB8">
              <w:rPr>
                <w:rFonts w:hint="cs"/>
                <w:spacing w:val="-8"/>
                <w:position w:val="2"/>
                <w:rtl/>
              </w:rPr>
              <w:t> </w:t>
            </w:r>
            <w:r w:rsidRPr="00192DB8">
              <w:rPr>
                <w:spacing w:val="-8"/>
                <w:position w:val="2"/>
              </w:rPr>
              <w:t>13</w:t>
            </w:r>
            <w:r w:rsidRPr="00192DB8">
              <w:rPr>
                <w:spacing w:val="-8"/>
                <w:position w:val="2"/>
                <w:rtl/>
                <w:lang w:bidi="ar-EG"/>
              </w:rPr>
              <w:t xml:space="preserve"> </w:t>
            </w:r>
            <w:r w:rsidRPr="00192DB8">
              <w:rPr>
                <w:rFonts w:hint="cs"/>
                <w:spacing w:val="-8"/>
                <w:position w:val="2"/>
                <w:rtl/>
                <w:lang w:bidi="ar-EG"/>
              </w:rPr>
              <w:t>لقطاع تقييس الاتصالات ونوابه</w:t>
            </w:r>
            <w:r w:rsidRPr="00192DB8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600BC24B" w14:textId="77777777" w:rsidR="002D6D08" w:rsidRPr="002D6D08" w:rsidRDefault="002D6D08" w:rsidP="000173C9">
            <w:pPr>
              <w:tabs>
                <w:tab w:val="left" w:pos="428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D6D0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D6D08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2D6D0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2F86C5B" w14:textId="3E2998E1" w:rsidR="002D6D08" w:rsidRPr="002D6D08" w:rsidRDefault="002D6D08" w:rsidP="000173C9">
            <w:pPr>
              <w:tabs>
                <w:tab w:val="left" w:pos="428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2D6D0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D6D0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2D6D08" w:rsidRPr="00D517B2" w14:paraId="1B010AFA" w14:textId="77777777" w:rsidTr="000A675F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798" w:type="pct"/>
          </w:tcPr>
          <w:p w14:paraId="16C215E8" w14:textId="77777777" w:rsidR="002D6D08" w:rsidRPr="00A9156F" w:rsidRDefault="002D6D08" w:rsidP="000173C9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ECF18E9" w14:textId="23E62AF8" w:rsidR="002D6D08" w:rsidRPr="00D517B2" w:rsidRDefault="002D6D08" w:rsidP="000173C9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204" w:type="pct"/>
            <w:vMerge/>
          </w:tcPr>
          <w:p w14:paraId="59FB5BE3" w14:textId="77777777" w:rsidR="002D6D08" w:rsidRPr="002D6D08" w:rsidRDefault="002D6D08" w:rsidP="000173C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2D6D08" w:rsidRPr="00D517B2" w14:paraId="6D1D937F" w14:textId="77777777" w:rsidTr="000A675F">
        <w:tblPrEx>
          <w:tblCellMar>
            <w:left w:w="0" w:type="dxa"/>
            <w:right w:w="0" w:type="dxa"/>
          </w:tblCellMar>
        </w:tblPrEx>
        <w:trPr>
          <w:cantSplit/>
          <w:trHeight w:val="495"/>
        </w:trPr>
        <w:tc>
          <w:tcPr>
            <w:tcW w:w="798" w:type="pct"/>
          </w:tcPr>
          <w:p w14:paraId="120EE7CC" w14:textId="77777777" w:rsidR="002D6D08" w:rsidRPr="00A9156F" w:rsidRDefault="002D6D08" w:rsidP="000173C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0DF41D1" w14:textId="77777777" w:rsidR="002D6D08" w:rsidRPr="00D517B2" w:rsidRDefault="002D6D08" w:rsidP="000173C9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4" w:type="pct"/>
            <w:vMerge/>
          </w:tcPr>
          <w:p w14:paraId="6FECDE6B" w14:textId="77777777" w:rsidR="002D6D08" w:rsidRPr="002D6D08" w:rsidRDefault="002D6D08" w:rsidP="000173C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2D6D08" w:rsidRPr="00D517B2" w14:paraId="7EA35DFF" w14:textId="77777777" w:rsidTr="000A675F">
        <w:tblPrEx>
          <w:tblCellMar>
            <w:left w:w="0" w:type="dxa"/>
            <w:right w:w="0" w:type="dxa"/>
          </w:tblCellMar>
        </w:tblPrEx>
        <w:trPr>
          <w:cantSplit/>
          <w:trHeight w:val="585"/>
        </w:trPr>
        <w:tc>
          <w:tcPr>
            <w:tcW w:w="798" w:type="pct"/>
          </w:tcPr>
          <w:p w14:paraId="7DCD22C4" w14:textId="4CE58492" w:rsidR="002D6D08" w:rsidRPr="00A9156F" w:rsidRDefault="002D6D08" w:rsidP="000173C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1BBADF1" w14:textId="1C1BB327" w:rsidR="002D6D08" w:rsidRPr="00D517B2" w:rsidRDefault="00881847" w:rsidP="000173C9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4"/>
              <w:r w:rsidR="002D6D08" w:rsidRPr="00CA3334">
                <w:rPr>
                  <w:rStyle w:val="Hyperlink"/>
                  <w:position w:val="2"/>
                  <w:lang w:bidi="ar-SY"/>
                </w:rPr>
                <w:t>tsbsg13@itu.int</w:t>
              </w:r>
              <w:bookmarkEnd w:id="0"/>
            </w:hyperlink>
          </w:p>
        </w:tc>
        <w:tc>
          <w:tcPr>
            <w:tcW w:w="2204" w:type="pct"/>
            <w:vMerge/>
          </w:tcPr>
          <w:p w14:paraId="580CD063" w14:textId="77777777" w:rsidR="002D6D08" w:rsidRPr="002D6D08" w:rsidRDefault="002D6D08" w:rsidP="000173C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183C265" w14:textId="77777777" w:rsidTr="000A675F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98" w:type="pct"/>
          </w:tcPr>
          <w:p w14:paraId="04A5DECD" w14:textId="77777777" w:rsidR="00CE1C08" w:rsidRPr="00A9156F" w:rsidRDefault="00CE1C08" w:rsidP="000A675F">
            <w:pPr>
              <w:spacing w:before="0" w:line="1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6A61067B" w14:textId="77777777" w:rsidR="00CE1C08" w:rsidRPr="00D517B2" w:rsidRDefault="00CE1C08" w:rsidP="000A675F">
            <w:pPr>
              <w:spacing w:before="0" w:line="100" w:lineRule="exact"/>
              <w:jc w:val="left"/>
              <w:rPr>
                <w:position w:val="2"/>
              </w:rPr>
            </w:pPr>
          </w:p>
        </w:tc>
        <w:tc>
          <w:tcPr>
            <w:tcW w:w="2204" w:type="pct"/>
          </w:tcPr>
          <w:p w14:paraId="27429CBD" w14:textId="77777777" w:rsidR="00CE1C08" w:rsidRPr="00D517B2" w:rsidRDefault="00CE1C08" w:rsidP="000A675F">
            <w:pPr>
              <w:spacing w:before="0" w:line="1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3740A6F" w14:textId="77777777" w:rsidTr="000A675F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98" w:type="pct"/>
          </w:tcPr>
          <w:p w14:paraId="76C57E52" w14:textId="77777777" w:rsidR="00CE1C08" w:rsidRPr="00A9156F" w:rsidRDefault="00CE1C08" w:rsidP="000A675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2" w:type="pct"/>
            <w:gridSpan w:val="2"/>
          </w:tcPr>
          <w:p w14:paraId="118C03A2" w14:textId="105EDB81" w:rsidR="00CE1C08" w:rsidRPr="00A31C03" w:rsidRDefault="00D66305" w:rsidP="000A675F">
            <w:pPr>
              <w:spacing w:before="80" w:after="60" w:line="300" w:lineRule="exact"/>
              <w:jc w:val="left"/>
              <w:rPr>
                <w:spacing w:val="-2"/>
                <w:position w:val="2"/>
                <w:lang w:val="en-GB"/>
              </w:rPr>
            </w:pPr>
            <w:r w:rsidRPr="00A31C03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الموافقة على التوصية الجديدة </w:t>
            </w:r>
            <w:r w:rsidRPr="00A31C03">
              <w:rPr>
                <w:b/>
                <w:bCs/>
                <w:spacing w:val="-2"/>
                <w:position w:val="2"/>
              </w:rPr>
              <w:t>ITU-T Y.3082</w:t>
            </w:r>
            <w:r w:rsidR="00A36462" w:rsidRPr="00A31C03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وإعادة</w:t>
            </w:r>
            <w:r w:rsidR="002675B6" w:rsidRPr="00A31C03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إطلاق</w:t>
            </w:r>
            <w:r w:rsidR="00A36462" w:rsidRPr="00A31C03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مشروع التوصية الجديدة </w:t>
            </w:r>
            <w:r w:rsidR="00A36462" w:rsidRPr="00A31C03">
              <w:rPr>
                <w:b/>
                <w:bCs/>
                <w:spacing w:val="-2"/>
                <w:position w:val="2"/>
                <w:lang w:val="en-GB"/>
              </w:rPr>
              <w:t>ITU</w:t>
            </w:r>
            <w:r w:rsidR="00D97D0B" w:rsidRPr="00A31C03">
              <w:rPr>
                <w:b/>
                <w:bCs/>
                <w:spacing w:val="-2"/>
                <w:position w:val="2"/>
                <w:lang w:val="en-GB"/>
              </w:rPr>
              <w:noBreakHyphen/>
            </w:r>
            <w:r w:rsidR="00A36462" w:rsidRPr="00A31C03">
              <w:rPr>
                <w:b/>
                <w:bCs/>
                <w:spacing w:val="-2"/>
                <w:position w:val="2"/>
                <w:lang w:val="en-GB"/>
              </w:rPr>
              <w:t>T</w:t>
            </w:r>
            <w:r w:rsidR="00D97D0B" w:rsidRPr="00A31C03">
              <w:rPr>
                <w:b/>
                <w:bCs/>
                <w:spacing w:val="-2"/>
                <w:position w:val="2"/>
                <w:lang w:val="en-GB"/>
              </w:rPr>
              <w:t> </w:t>
            </w:r>
            <w:r w:rsidR="00A36462" w:rsidRPr="00A31C03">
              <w:rPr>
                <w:b/>
                <w:bCs/>
                <w:spacing w:val="-2"/>
                <w:position w:val="2"/>
                <w:lang w:val="en-GB"/>
              </w:rPr>
              <w:t>Y.2086</w:t>
            </w:r>
          </w:p>
        </w:tc>
      </w:tr>
      <w:tr w:rsidR="00580956" w:rsidRPr="00D517B2" w14:paraId="1D640A82" w14:textId="77777777" w:rsidTr="000A675F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371F1855" w14:textId="77777777" w:rsidR="00A845D8" w:rsidRPr="00D517B2" w:rsidRDefault="00A845D8" w:rsidP="000A675F">
            <w:pPr>
              <w:spacing w:before="600"/>
              <w:rPr>
                <w:lang w:bidi="ar-SY"/>
              </w:rPr>
            </w:pPr>
            <w:r w:rsidRPr="00D517B2">
              <w:rPr>
                <w:rFonts w:hint="cs"/>
                <w:rtl/>
                <w:lang w:bidi="ar-SY"/>
              </w:rPr>
              <w:t>حضرات السادة والسيدات،</w:t>
            </w:r>
          </w:p>
          <w:p w14:paraId="3EF53ED5" w14:textId="77777777" w:rsidR="00A845D8" w:rsidRPr="00D517B2" w:rsidRDefault="00A845D8" w:rsidP="000A675F">
            <w:pPr>
              <w:rPr>
                <w:rtl/>
                <w:lang w:bidi="ar-EG"/>
              </w:rPr>
            </w:pPr>
            <w:r w:rsidRPr="00D517B2">
              <w:rPr>
                <w:rFonts w:hint="cs"/>
                <w:rtl/>
              </w:rPr>
              <w:t>تحية طيبة وبعد،</w:t>
            </w:r>
          </w:p>
          <w:p w14:paraId="617855EE" w14:textId="45B83704" w:rsidR="00A845D8" w:rsidRPr="00907980" w:rsidRDefault="00A845D8" w:rsidP="000A675F">
            <w:r w:rsidRPr="00907980">
              <w:rPr>
                <w:spacing w:val="-6"/>
                <w:lang w:bidi="ar-SY"/>
              </w:rPr>
              <w:t>1</w:t>
            </w:r>
            <w:r w:rsidRPr="00907980">
              <w:rPr>
                <w:spacing w:val="-6"/>
                <w:lang w:bidi="ar-SY"/>
              </w:rPr>
              <w:tab/>
            </w:r>
            <w:r w:rsidRPr="00907980">
              <w:rPr>
                <w:rFonts w:hint="cs"/>
                <w:spacing w:val="-6"/>
                <w:rtl/>
              </w:rPr>
              <w:t xml:space="preserve">إلحاقاً </w:t>
            </w:r>
            <w:hyperlink r:id="rId10" w:history="1">
              <w:r w:rsidRPr="00907980">
                <w:rPr>
                  <w:rStyle w:val="Hyperlink"/>
                  <w:rFonts w:hint="cs"/>
                  <w:spacing w:val="-6"/>
                  <w:rtl/>
                </w:rPr>
                <w:t>بالرسالة المعممة</w:t>
              </w:r>
              <w:r w:rsidRPr="00907980">
                <w:rPr>
                  <w:rStyle w:val="Hyperlink"/>
                  <w:rFonts w:hint="eastAsia"/>
                  <w:spacing w:val="-6"/>
                  <w:rtl/>
                </w:rPr>
                <w:t> </w:t>
              </w:r>
              <w:r w:rsidRPr="00907980">
                <w:rPr>
                  <w:rStyle w:val="Hyperlink"/>
                  <w:spacing w:val="-6"/>
                </w:rPr>
                <w:t>57</w:t>
              </w:r>
            </w:hyperlink>
            <w:r w:rsidRPr="00907980">
              <w:rPr>
                <w:rFonts w:hint="cs"/>
                <w:spacing w:val="-6"/>
                <w:rtl/>
              </w:rPr>
              <w:t xml:space="preserve"> لمكتب تقييس الاتصالات المؤرخة </w:t>
            </w:r>
            <w:r w:rsidRPr="00907980">
              <w:rPr>
                <w:spacing w:val="-6"/>
                <w:lang w:bidi="ar-EG"/>
              </w:rPr>
              <w:t>7</w:t>
            </w:r>
            <w:r w:rsidRPr="00907980">
              <w:rPr>
                <w:rFonts w:hint="eastAsia"/>
                <w:spacing w:val="-6"/>
                <w:rtl/>
              </w:rPr>
              <w:t> </w:t>
            </w:r>
            <w:r w:rsidRPr="00907980">
              <w:rPr>
                <w:rFonts w:hint="cs"/>
                <w:spacing w:val="-6"/>
                <w:rtl/>
              </w:rPr>
              <w:t>ديسمبر</w:t>
            </w:r>
            <w:r w:rsidR="00DC3AE2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Pr="00907980">
              <w:rPr>
                <w:rFonts w:hint="cs"/>
                <w:spacing w:val="-6"/>
                <w:rtl/>
                <w:lang w:bidi="ar-EG"/>
              </w:rPr>
              <w:t>2022، وعملاً بالفقرة</w:t>
            </w:r>
            <w:r w:rsidRPr="00907980">
              <w:rPr>
                <w:rFonts w:hint="eastAsia"/>
                <w:spacing w:val="-6"/>
                <w:rtl/>
                <w:lang w:bidi="ar-EG"/>
              </w:rPr>
              <w:t> </w:t>
            </w:r>
            <w:r w:rsidRPr="00907980">
              <w:rPr>
                <w:spacing w:val="-6"/>
                <w:lang w:bidi="ar-EG"/>
              </w:rPr>
              <w:t>5.9</w:t>
            </w:r>
            <w:r w:rsidRPr="00907980">
              <w:rPr>
                <w:rFonts w:hint="cs"/>
                <w:spacing w:val="-6"/>
                <w:rtl/>
                <w:lang w:bidi="ar-EG"/>
              </w:rPr>
              <w:t xml:space="preserve"> من</w:t>
            </w:r>
            <w:r w:rsidRPr="00907980">
              <w:rPr>
                <w:rFonts w:hint="eastAsia"/>
                <w:spacing w:val="-6"/>
                <w:lang w:bidi="ar-EG"/>
              </w:rPr>
              <w:t> </w:t>
            </w:r>
            <w:r w:rsidRPr="00907980">
              <w:rPr>
                <w:rFonts w:hint="cs"/>
                <w:spacing w:val="-6"/>
                <w:rtl/>
                <w:lang w:bidi="ar-EG"/>
              </w:rPr>
              <w:t>القرار</w:t>
            </w:r>
            <w:r w:rsidRPr="00907980">
              <w:rPr>
                <w:rFonts w:hint="eastAsia"/>
                <w:spacing w:val="-6"/>
                <w:rtl/>
                <w:lang w:bidi="ar-EG"/>
              </w:rPr>
              <w:t> </w:t>
            </w:r>
            <w:r w:rsidRPr="00907980">
              <w:rPr>
                <w:spacing w:val="-6"/>
                <w:lang w:bidi="ar-EG"/>
              </w:rPr>
              <w:t>1</w:t>
            </w:r>
            <w:r w:rsidRPr="00907980">
              <w:rPr>
                <w:rFonts w:hint="eastAsia"/>
                <w:spacing w:val="-6"/>
                <w:rtl/>
                <w:lang w:bidi="ar-EG"/>
              </w:rPr>
              <w:t> </w:t>
            </w:r>
            <w:r w:rsidRPr="00907980">
              <w:rPr>
                <w:rFonts w:hint="cs"/>
                <w:spacing w:val="-6"/>
                <w:rtl/>
                <w:lang w:bidi="ar-EG"/>
              </w:rPr>
              <w:t xml:space="preserve">(المراجَع </w:t>
            </w:r>
            <w:r w:rsidRPr="00907980">
              <w:rPr>
                <w:rFonts w:hint="cs"/>
                <w:rtl/>
                <w:lang w:bidi="ar-EG"/>
              </w:rPr>
              <w:t>في</w:t>
            </w:r>
            <w:r w:rsidRPr="00907980">
              <w:rPr>
                <w:rFonts w:hint="eastAsia"/>
                <w:rtl/>
                <w:lang w:bidi="ar-EG"/>
              </w:rPr>
              <w:t> </w:t>
            </w:r>
            <w:r w:rsidRPr="00907980">
              <w:rPr>
                <w:rFonts w:hint="cs"/>
                <w:rtl/>
                <w:lang w:bidi="ar-EG"/>
              </w:rPr>
              <w:t>جنيف،</w:t>
            </w:r>
            <w:r w:rsidRPr="00907980">
              <w:rPr>
                <w:rFonts w:hint="eastAsia"/>
                <w:rtl/>
                <w:lang w:bidi="ar-EG"/>
              </w:rPr>
              <w:t> </w:t>
            </w:r>
            <w:r w:rsidRPr="00907980">
              <w:rPr>
                <w:rFonts w:hint="cs"/>
                <w:rtl/>
                <w:lang w:bidi="ar-EG"/>
              </w:rPr>
              <w:t>2022)، أود إفادتكم بأن لجنة الدراسات</w:t>
            </w:r>
            <w:r w:rsidRPr="00907980">
              <w:rPr>
                <w:rFonts w:hint="eastAsia"/>
                <w:rtl/>
                <w:lang w:bidi="ar-EG"/>
              </w:rPr>
              <w:t> </w:t>
            </w:r>
            <w:r w:rsidRPr="00907980">
              <w:rPr>
                <w:lang w:bidi="ar-EG"/>
              </w:rPr>
              <w:t>13</w:t>
            </w:r>
            <w:r w:rsidRPr="00907980">
              <w:rPr>
                <w:rFonts w:hint="cs"/>
                <w:rtl/>
                <w:lang w:bidi="ar-EG"/>
              </w:rPr>
              <w:t xml:space="preserve"> قد وافقت على نص التوصية الجديدة </w:t>
            </w:r>
            <w:r w:rsidRPr="00907980">
              <w:t>ITU</w:t>
            </w:r>
            <w:r w:rsidRPr="00907980">
              <w:noBreakHyphen/>
              <w:t>T Y.3082</w:t>
            </w:r>
            <w:r w:rsidRPr="00907980">
              <w:rPr>
                <w:rFonts w:hint="cs"/>
                <w:rtl/>
                <w:lang w:bidi="ar-EG"/>
              </w:rPr>
              <w:t xml:space="preserve"> في</w:t>
            </w:r>
            <w:r w:rsidRPr="00907980">
              <w:rPr>
                <w:rFonts w:hint="eastAsia"/>
                <w:rtl/>
                <w:lang w:bidi="ar-EG"/>
              </w:rPr>
              <w:t> </w:t>
            </w:r>
            <w:r w:rsidRPr="00907980">
              <w:rPr>
                <w:rFonts w:hint="cs"/>
                <w:rtl/>
                <w:lang w:bidi="ar-EG"/>
              </w:rPr>
              <w:t>جلستها العامة التي عُقدت في</w:t>
            </w:r>
            <w:r w:rsidRPr="00907980">
              <w:rPr>
                <w:rFonts w:hint="eastAsia"/>
                <w:rtl/>
                <w:lang w:bidi="ar-EG"/>
              </w:rPr>
              <w:t> </w:t>
            </w:r>
            <w:r w:rsidRPr="00907980">
              <w:rPr>
                <w:lang w:bidi="ar-EG"/>
              </w:rPr>
              <w:t>24</w:t>
            </w:r>
            <w:r w:rsidRPr="00907980">
              <w:rPr>
                <w:rFonts w:hint="cs"/>
                <w:rtl/>
                <w:lang w:bidi="ar-EG"/>
              </w:rPr>
              <w:t xml:space="preserve"> مارس </w:t>
            </w:r>
            <w:r w:rsidRPr="00907980">
              <w:rPr>
                <w:lang w:bidi="ar-EG"/>
              </w:rPr>
              <w:t>2023</w:t>
            </w:r>
            <w:r w:rsidRPr="00907980">
              <w:rPr>
                <w:rFonts w:hint="cs"/>
                <w:rtl/>
                <w:lang w:bidi="ar-EG"/>
              </w:rPr>
              <w:t xml:space="preserve">. </w:t>
            </w:r>
            <w:r w:rsidRPr="00907980">
              <w:rPr>
                <w:rFonts w:hint="cs"/>
                <w:rtl/>
              </w:rPr>
              <w:t xml:space="preserve">ويرد ملخص هذه التوصية الجديدة في الملحق </w:t>
            </w:r>
            <w:r w:rsidRPr="00907980">
              <w:rPr>
                <w:lang w:bidi="ar-SY"/>
              </w:rPr>
              <w:t>1</w:t>
            </w:r>
            <w:r w:rsidRPr="00907980">
              <w:rPr>
                <w:rFonts w:hint="cs"/>
                <w:rtl/>
              </w:rPr>
              <w:t>.</w:t>
            </w:r>
          </w:p>
          <w:p w14:paraId="60858285" w14:textId="6C7CC210" w:rsidR="00A845D8" w:rsidRDefault="00A845D8" w:rsidP="000A675F">
            <w:pPr>
              <w:rPr>
                <w:rtl/>
              </w:rPr>
            </w:pPr>
            <w:r>
              <w:t>2</w:t>
            </w:r>
            <w:r>
              <w:tab/>
            </w:r>
            <w:r>
              <w:rPr>
                <w:rFonts w:hint="cs"/>
                <w:rtl/>
                <w:lang w:bidi="ar-EG"/>
              </w:rPr>
              <w:t xml:space="preserve">وإلحاقاً بالإعلان </w:t>
            </w:r>
            <w:r w:rsidRPr="003103EA">
              <w:rPr>
                <w:szCs w:val="18"/>
              </w:rPr>
              <w:t>AAP-13</w:t>
            </w:r>
            <w:r>
              <w:rPr>
                <w:rFonts w:hint="cs"/>
                <w:rtl/>
                <w:lang w:bidi="ar-EG"/>
              </w:rPr>
              <w:t xml:space="preserve"> الصادر عن مكتب تقييس الاتصالات </w:t>
            </w:r>
            <w:r>
              <w:rPr>
                <w:rFonts w:hint="cs"/>
                <w:rtl/>
              </w:rPr>
              <w:t xml:space="preserve">بتاريخ </w:t>
            </w:r>
            <w:r>
              <w:t>16</w:t>
            </w:r>
            <w:r>
              <w:rPr>
                <w:rFonts w:hint="cs"/>
                <w:rtl/>
              </w:rPr>
              <w:t xml:space="preserve"> سبتمبر </w:t>
            </w:r>
            <w:r>
              <w:t>2022</w:t>
            </w:r>
            <w:r>
              <w:rPr>
                <w:rFonts w:hint="cs"/>
                <w:rtl/>
              </w:rPr>
              <w:t xml:space="preserve">، وعملاً بالفقرة 2.6 من التوصية </w:t>
            </w:r>
            <w:r>
              <w:t>ITU-T A.8</w:t>
            </w:r>
            <w:r>
              <w:rPr>
                <w:rFonts w:hint="cs"/>
                <w:rtl/>
              </w:rPr>
              <w:t xml:space="preserve"> (المراجَعة في جنيف، </w:t>
            </w:r>
            <w:proofErr w:type="gramStart"/>
            <w:r>
              <w:t>2022</w:t>
            </w:r>
            <w:r>
              <w:rPr>
                <w:rFonts w:hint="cs"/>
                <w:rtl/>
              </w:rPr>
              <w:t>)،</w:t>
            </w:r>
            <w:proofErr w:type="gramEnd"/>
            <w:r>
              <w:rPr>
                <w:rFonts w:hint="cs"/>
                <w:rtl/>
              </w:rPr>
              <w:t xml:space="preserve"> أود إفادتكم بأن لجنة الدراسات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13 لقطاع تقييس الاتصالات قد أعادت إطلاق مشروع التوصية الجديدة </w:t>
            </w:r>
            <w:r>
              <w:t>ITU</w:t>
            </w:r>
            <w:r>
              <w:noBreakHyphen/>
              <w:t>T Y.2086</w:t>
            </w:r>
            <w:r>
              <w:rPr>
                <w:rFonts w:hint="cs"/>
                <w:rtl/>
              </w:rPr>
              <w:t xml:space="preserve"> في نفس الجلسة العامة التي عُقدت في </w:t>
            </w:r>
            <w:r>
              <w:t>24</w:t>
            </w:r>
            <w:r>
              <w:rPr>
                <w:rFonts w:hint="cs"/>
                <w:rtl/>
              </w:rPr>
              <w:t xml:space="preserve"> مارس </w:t>
            </w:r>
            <w:r>
              <w:t>2023</w:t>
            </w:r>
            <w:r>
              <w:rPr>
                <w:rFonts w:hint="cs"/>
                <w:rtl/>
              </w:rPr>
              <w:t>.</w:t>
            </w:r>
          </w:p>
          <w:p w14:paraId="7CED1A34" w14:textId="16E14648" w:rsidR="00A845D8" w:rsidRPr="00D97D0B" w:rsidRDefault="00A845D8" w:rsidP="000A675F">
            <w:pPr>
              <w:pStyle w:val="enumlev1"/>
              <w:tabs>
                <w:tab w:val="clear" w:pos="794"/>
                <w:tab w:val="left" w:pos="850"/>
              </w:tabs>
              <w:jc w:val="left"/>
              <w:rPr>
                <w:i/>
                <w:iCs/>
                <w:rtl/>
                <w:lang w:bidi="ar-SA"/>
              </w:rPr>
            </w:pPr>
            <w:r w:rsidRPr="00D97D0B">
              <w:rPr>
                <w:rFonts w:hint="cs"/>
                <w:i/>
                <w:iCs/>
                <w:rtl/>
              </w:rPr>
              <w:t>3</w:t>
            </w:r>
            <w:r w:rsidRPr="00D97D0B">
              <w:rPr>
                <w:i/>
                <w:iCs/>
                <w:rtl/>
              </w:rPr>
              <w:tab/>
            </w:r>
            <w:r w:rsidRPr="00D97D0B">
              <w:rPr>
                <w:rFonts w:hint="cs"/>
                <w:i/>
                <w:iCs/>
                <w:rtl/>
              </w:rPr>
              <w:t>عنوان التوصية الجديدة الموافَق عليها:</w:t>
            </w:r>
            <w:r w:rsidRPr="00D97D0B">
              <w:rPr>
                <w:i/>
                <w:iCs/>
                <w:rtl/>
              </w:rPr>
              <w:br/>
            </w:r>
            <w:r w:rsidRPr="00D97D0B">
              <w:rPr>
                <w:i/>
                <w:iCs/>
                <w:rtl/>
              </w:rPr>
              <w:tab/>
            </w:r>
            <w:r w:rsidRPr="00D97D0B">
              <w:rPr>
                <w:i/>
                <w:iCs/>
              </w:rPr>
              <w:t>Y.3082</w:t>
            </w:r>
            <w:r w:rsidRPr="00D97D0B">
              <w:rPr>
                <w:rFonts w:hint="cs"/>
                <w:i/>
                <w:iCs/>
                <w:rtl/>
              </w:rPr>
              <w:t>: ت</w:t>
            </w:r>
            <w:r w:rsidRPr="00D97D0B">
              <w:rPr>
                <w:i/>
                <w:iCs/>
                <w:rtl/>
              </w:rPr>
              <w:t xml:space="preserve">قاسم الشبكات المتنقلة </w:t>
            </w:r>
            <w:r w:rsidRPr="00D97D0B">
              <w:rPr>
                <w:rFonts w:hint="cs"/>
                <w:i/>
                <w:iCs/>
                <w:rtl/>
              </w:rPr>
              <w:t>القائم</w:t>
            </w:r>
            <w:r w:rsidRPr="00D97D0B">
              <w:rPr>
                <w:i/>
                <w:iCs/>
                <w:rtl/>
              </w:rPr>
              <w:t xml:space="preserve"> على تكنولوجيا السجلات الموزعة فيما يتعلق</w:t>
            </w:r>
            <w:r w:rsidRPr="00D97D0B">
              <w:rPr>
                <w:rFonts w:hint="cs"/>
                <w:i/>
                <w:iCs/>
                <w:rtl/>
              </w:rPr>
              <w:t xml:space="preserve"> بشبكات ما بعد</w:t>
            </w:r>
            <w:r w:rsidRPr="00D97D0B">
              <w:rPr>
                <w:i/>
                <w:iCs/>
                <w:rtl/>
              </w:rPr>
              <w:t xml:space="preserve"> الاتصالات</w:t>
            </w:r>
            <w:r w:rsidRPr="00D97D0B">
              <w:rPr>
                <w:i/>
                <w:iCs/>
              </w:rPr>
              <w:br/>
            </w:r>
            <w:r w:rsidRPr="00D97D0B">
              <w:rPr>
                <w:i/>
                <w:iCs/>
                <w:rtl/>
              </w:rPr>
              <w:t>المتنقلة الدولية-2020</w:t>
            </w:r>
            <w:r w:rsidRPr="00D97D0B">
              <w:rPr>
                <w:rFonts w:hint="cs"/>
                <w:i/>
                <w:iCs/>
                <w:rtl/>
                <w:lang w:bidi="ar-EG"/>
              </w:rPr>
              <w:t>: المتطلبات والإطار.</w:t>
            </w:r>
          </w:p>
          <w:p w14:paraId="2F1340B1" w14:textId="2C5777F0" w:rsidR="00A845D8" w:rsidRDefault="00A845D8" w:rsidP="000A675F">
            <w:pPr>
              <w:pStyle w:val="enumlev1"/>
              <w:tabs>
                <w:tab w:val="clear" w:pos="794"/>
              </w:tabs>
              <w:jc w:val="lef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عنوان بند العمل الذي يعاد إطلاقه من أجل النداء الأخير الثاني:</w:t>
            </w:r>
            <w:r>
              <w:rPr>
                <w:rtl/>
              </w:rPr>
              <w:br/>
            </w:r>
            <w:r w:rsidRPr="00B34437">
              <w:rPr>
                <w:rFonts w:hint="cs"/>
                <w:i/>
                <w:iCs/>
                <w:rtl/>
              </w:rPr>
              <w:t>-</w:t>
            </w:r>
            <w:r w:rsidRPr="00B34437">
              <w:rPr>
                <w:i/>
                <w:iCs/>
                <w:rtl/>
              </w:rPr>
              <w:tab/>
            </w:r>
            <w:r w:rsidRPr="00B34437">
              <w:rPr>
                <w:i/>
                <w:iCs/>
              </w:rPr>
              <w:t>Y.2086</w:t>
            </w:r>
            <w:r w:rsidRPr="00B34437">
              <w:rPr>
                <w:rFonts w:hint="cs"/>
                <w:i/>
                <w:iCs/>
                <w:rtl/>
                <w:lang w:bidi="ar-SA"/>
              </w:rPr>
              <w:t>:</w:t>
            </w:r>
            <w:r w:rsidRPr="00B34437">
              <w:rPr>
                <w:i/>
                <w:iCs/>
                <w:rtl/>
              </w:rPr>
              <w:t xml:space="preserve"> إطار ومتطلبات البنية التحتية </w:t>
            </w:r>
            <w:r w:rsidRPr="00B34437">
              <w:rPr>
                <w:rFonts w:hint="cs"/>
                <w:i/>
                <w:iCs/>
                <w:rtl/>
              </w:rPr>
              <w:t xml:space="preserve">اللامركزية </w:t>
            </w:r>
            <w:r w:rsidRPr="00B34437">
              <w:rPr>
                <w:i/>
                <w:iCs/>
                <w:rtl/>
              </w:rPr>
              <w:t xml:space="preserve">الموثوقة </w:t>
            </w:r>
            <w:r w:rsidRPr="00B34437">
              <w:rPr>
                <w:rFonts w:hint="cs"/>
                <w:i/>
                <w:iCs/>
                <w:rtl/>
              </w:rPr>
              <w:t>للشبكة</w:t>
            </w:r>
            <w:r>
              <w:rPr>
                <w:rFonts w:hint="cs"/>
                <w:rtl/>
              </w:rPr>
              <w:t xml:space="preserve"> </w:t>
            </w:r>
          </w:p>
          <w:p w14:paraId="10A58D43" w14:textId="1B7D2818" w:rsidR="00A845D8" w:rsidRDefault="00A845D8" w:rsidP="000A675F">
            <w:pPr>
              <w:rPr>
                <w:rtl/>
                <w:lang w:bidi="ar-EG"/>
              </w:rPr>
            </w:pPr>
            <w:r>
              <w:t>5</w:t>
            </w:r>
            <w:r>
              <w:tab/>
            </w:r>
            <w:r>
              <w:rPr>
                <w:rFonts w:hint="cs"/>
                <w:rtl/>
                <w:lang w:bidi="ar-EG"/>
              </w:rPr>
              <w:t xml:space="preserve">ويمكن الاطلاع على معلومات براءات الاختراع المتاحة في </w:t>
            </w:r>
            <w:hyperlink r:id="rId11" w:history="1">
              <w:r>
                <w:rPr>
                  <w:rStyle w:val="Hyperlink"/>
                  <w:rFonts w:hint="cs"/>
                  <w:rtl/>
                  <w:lang w:bidi="ar-EG"/>
                </w:rPr>
                <w:t>الموقع الإلكتروني لقطاع تقييس الاتصالات</w:t>
              </w:r>
            </w:hyperlink>
            <w:r>
              <w:rPr>
                <w:rFonts w:hint="cs"/>
                <w:rtl/>
                <w:lang w:bidi="ar-EG"/>
              </w:rPr>
              <w:t>.</w:t>
            </w:r>
          </w:p>
          <w:p w14:paraId="3A28F757" w14:textId="6556B5BA" w:rsidR="00A845D8" w:rsidRDefault="00A845D8" w:rsidP="000A675F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6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وستتاح نسخة النشر المسبق للتوصية الموافَق عليها</w:t>
            </w:r>
            <w:r w:rsidRPr="0095220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في </w:t>
            </w:r>
            <w:hyperlink r:id="rId12" w:history="1">
              <w:r>
                <w:rPr>
                  <w:rStyle w:val="Hyperlink"/>
                  <w:rFonts w:hint="cs"/>
                  <w:rtl/>
                  <w:lang w:bidi="ar-EG"/>
                </w:rPr>
                <w:t>الموقع الإلكتروني لقطاع تقييس الاتصالات</w:t>
              </w:r>
            </w:hyperlink>
          </w:p>
          <w:p w14:paraId="50A5A0B1" w14:textId="6B593520" w:rsidR="00A845D8" w:rsidRPr="00717D70" w:rsidRDefault="00A845D8" w:rsidP="000A67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7</w:t>
            </w:r>
            <w:r>
              <w:rPr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و</w:t>
            </w:r>
            <w:r>
              <w:rPr>
                <w:color w:val="000000"/>
                <w:rtl/>
              </w:rPr>
              <w:t xml:space="preserve">سوف ينشر الاتحاد </w:t>
            </w:r>
            <w:r>
              <w:rPr>
                <w:rFonts w:hint="cs"/>
                <w:color w:val="000000"/>
                <w:rtl/>
              </w:rPr>
              <w:t>نص التوصية</w:t>
            </w:r>
            <w:r>
              <w:rPr>
                <w:color w:val="000000"/>
                <w:rtl/>
              </w:rPr>
              <w:t xml:space="preserve"> الموافَق عليها في أقرب وقت ممكن</w:t>
            </w:r>
            <w:r>
              <w:rPr>
                <w:color w:val="000000"/>
              </w:rPr>
              <w:t>.</w:t>
            </w:r>
          </w:p>
          <w:p w14:paraId="7D128934" w14:textId="142A29C1" w:rsidR="00A845D8" w:rsidRPr="00D517B2" w:rsidRDefault="00A845D8" w:rsidP="000A675F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2019C9FD" w14:textId="30907CB9" w:rsidR="00A845D8" w:rsidRDefault="00881847" w:rsidP="00340887">
            <w:pPr>
              <w:spacing w:before="960"/>
              <w:jc w:val="left"/>
              <w:rPr>
                <w:rtl/>
                <w:lang w:bidi="ar-SY"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58240" behindDoc="1" locked="0" layoutInCell="1" allowOverlap="1" wp14:anchorId="78A51B82" wp14:editId="4C324E9E">
                  <wp:simplePos x="0" y="0"/>
                  <wp:positionH relativeFrom="column">
                    <wp:posOffset>5440680</wp:posOffset>
                  </wp:positionH>
                  <wp:positionV relativeFrom="paragraph">
                    <wp:posOffset>80010</wp:posOffset>
                  </wp:positionV>
                  <wp:extent cx="619125" cy="428625"/>
                  <wp:effectExtent l="0" t="0" r="9525" b="9525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845D8">
              <w:rPr>
                <w:rFonts w:hint="cs"/>
                <w:rtl/>
                <w:lang w:bidi="ar-SY"/>
              </w:rPr>
              <w:t>سيزو</w:t>
            </w:r>
            <w:proofErr w:type="spellEnd"/>
            <w:r w:rsidR="00A845D8"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 w:rsidR="00A845D8"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A845D8" w:rsidRPr="00D517B2">
              <w:rPr>
                <w:rtl/>
                <w:lang w:bidi="ar-SY"/>
              </w:rPr>
              <w:br/>
            </w:r>
            <w:r w:rsidR="00A845D8" w:rsidRPr="00D517B2">
              <w:rPr>
                <w:rFonts w:hint="cs"/>
                <w:rtl/>
                <w:lang w:bidi="ar-SY"/>
              </w:rPr>
              <w:t>مدير</w:t>
            </w:r>
            <w:r w:rsidR="00A845D8" w:rsidRPr="00D517B2">
              <w:rPr>
                <w:rtl/>
                <w:lang w:bidi="ar-SY"/>
              </w:rPr>
              <w:t xml:space="preserve"> </w:t>
            </w:r>
            <w:r w:rsidR="00A845D8" w:rsidRPr="00D517B2">
              <w:rPr>
                <w:rFonts w:hint="cs"/>
                <w:rtl/>
                <w:lang w:bidi="ar-SY"/>
              </w:rPr>
              <w:t>مكتب</w:t>
            </w:r>
            <w:r w:rsidR="00A845D8" w:rsidRPr="00D517B2">
              <w:rPr>
                <w:rtl/>
                <w:lang w:bidi="ar-SY"/>
              </w:rPr>
              <w:t xml:space="preserve"> </w:t>
            </w:r>
            <w:r w:rsidR="00A845D8" w:rsidRPr="00D517B2">
              <w:rPr>
                <w:rFonts w:hint="cs"/>
                <w:rtl/>
                <w:lang w:bidi="ar-SY"/>
              </w:rPr>
              <w:t>تقييس</w:t>
            </w:r>
            <w:r w:rsidR="00A845D8" w:rsidRPr="00D517B2">
              <w:rPr>
                <w:rtl/>
                <w:lang w:bidi="ar-SY"/>
              </w:rPr>
              <w:t xml:space="preserve"> </w:t>
            </w:r>
            <w:r w:rsidR="00A845D8"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37218E7C" w14:textId="1866A4B6" w:rsidR="00580956" w:rsidRPr="00580956" w:rsidRDefault="00A845D8" w:rsidP="003F1A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tl/>
                <w:lang w:val="fr-CH" w:bidi="ar-EG"/>
              </w:rPr>
            </w:pPr>
            <w:r w:rsidRPr="00204B3B">
              <w:rPr>
                <w:b/>
                <w:bCs/>
                <w:rtl/>
                <w:lang w:bidi="ar-SY"/>
              </w:rPr>
              <w:t>الملحق</w:t>
            </w:r>
            <w:r>
              <w:rPr>
                <w:b/>
                <w:bCs/>
                <w:rtl/>
                <w:lang w:bidi="ar-SY"/>
              </w:rPr>
              <w:t>: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lang w:bidi="ar-EG"/>
              </w:rPr>
              <w:t>1</w:t>
            </w:r>
          </w:p>
        </w:tc>
      </w:tr>
    </w:tbl>
    <w:p w14:paraId="582C605F" w14:textId="77777777" w:rsidR="00596808" w:rsidRPr="003F1ACB" w:rsidRDefault="00596808" w:rsidP="00E84438">
      <w:pPr>
        <w:rPr>
          <w:sz w:val="12"/>
          <w:szCs w:val="12"/>
          <w:rtl/>
          <w:lang w:bidi="ar-EG"/>
        </w:rPr>
      </w:pPr>
      <w:r>
        <w:rPr>
          <w:rtl/>
          <w:lang w:bidi="ar-EG"/>
        </w:rPr>
        <w:br w:type="page"/>
      </w:r>
    </w:p>
    <w:p w14:paraId="3979F4DA" w14:textId="56D968B3" w:rsidR="00AF6B5C" w:rsidRDefault="0095220D" w:rsidP="0095220D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6D928B44" w14:textId="71437208" w:rsidR="0095220D" w:rsidRPr="0095220D" w:rsidRDefault="0095220D" w:rsidP="0095220D">
      <w:pPr>
        <w:jc w:val="center"/>
        <w:rPr>
          <w:b/>
          <w:bCs/>
        </w:rPr>
      </w:pPr>
      <w:r w:rsidRPr="0095220D">
        <w:rPr>
          <w:rFonts w:hint="cs"/>
          <w:b/>
          <w:bCs/>
          <w:rtl/>
        </w:rPr>
        <w:t>ملخص</w:t>
      </w:r>
      <w:r w:rsidR="00C5044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التوصية</w:t>
      </w:r>
      <w:r w:rsidR="00C50440">
        <w:rPr>
          <w:rFonts w:hint="cs"/>
          <w:b/>
          <w:bCs/>
          <w:rtl/>
        </w:rPr>
        <w:t xml:space="preserve"> الجديدة </w:t>
      </w:r>
      <w:r w:rsidRPr="0095220D">
        <w:rPr>
          <w:b/>
          <w:bCs/>
        </w:rPr>
        <w:t>ITU-T Y.3082</w:t>
      </w:r>
    </w:p>
    <w:p w14:paraId="7D096061" w14:textId="3B87107A" w:rsidR="0095220D" w:rsidRPr="003D1744" w:rsidRDefault="0095220D" w:rsidP="003D1744">
      <w:pPr>
        <w:pStyle w:val="Rectitle"/>
        <w:rPr>
          <w:sz w:val="24"/>
          <w:szCs w:val="24"/>
          <w:lang w:bidi="ar-EG"/>
        </w:rPr>
      </w:pPr>
      <w:r w:rsidRPr="003D1744">
        <w:rPr>
          <w:rFonts w:hint="cs"/>
          <w:sz w:val="24"/>
          <w:szCs w:val="24"/>
          <w:rtl/>
        </w:rPr>
        <w:t>ت</w:t>
      </w:r>
      <w:r w:rsidRPr="003D1744">
        <w:rPr>
          <w:sz w:val="24"/>
          <w:szCs w:val="24"/>
          <w:rtl/>
        </w:rPr>
        <w:t xml:space="preserve">قاسم الشبكات المتنقلة </w:t>
      </w:r>
      <w:r w:rsidRPr="003D1744">
        <w:rPr>
          <w:rFonts w:hint="cs"/>
          <w:sz w:val="24"/>
          <w:szCs w:val="24"/>
          <w:rtl/>
        </w:rPr>
        <w:t>القائم</w:t>
      </w:r>
      <w:r w:rsidRPr="003D1744">
        <w:rPr>
          <w:sz w:val="24"/>
          <w:szCs w:val="24"/>
          <w:rtl/>
        </w:rPr>
        <w:t xml:space="preserve"> على تكنولوجيا السجلات الموزعة فيما يتعلق</w:t>
      </w:r>
      <w:r w:rsidR="003D1744">
        <w:rPr>
          <w:sz w:val="24"/>
          <w:szCs w:val="24"/>
          <w:rtl/>
        </w:rPr>
        <w:br/>
      </w:r>
      <w:r w:rsidRPr="003D1744">
        <w:rPr>
          <w:rFonts w:hint="cs"/>
          <w:sz w:val="24"/>
          <w:szCs w:val="24"/>
          <w:rtl/>
        </w:rPr>
        <w:t>بشبكات ما بعد</w:t>
      </w:r>
      <w:r w:rsidRPr="003D1744">
        <w:rPr>
          <w:sz w:val="24"/>
          <w:szCs w:val="24"/>
          <w:rtl/>
        </w:rPr>
        <w:t xml:space="preserve"> الاتصالات المتنقلة الدولية-2020</w:t>
      </w:r>
      <w:r w:rsidRPr="003D1744">
        <w:rPr>
          <w:rFonts w:hint="cs"/>
          <w:sz w:val="24"/>
          <w:szCs w:val="24"/>
          <w:rtl/>
          <w:lang w:bidi="ar-EG"/>
        </w:rPr>
        <w:t>: المتطلبات والإطار</w:t>
      </w:r>
    </w:p>
    <w:p w14:paraId="57FE5C22" w14:textId="11C44758" w:rsidR="0095220D" w:rsidRDefault="0095220D" w:rsidP="0095220D">
      <w:pPr>
        <w:rPr>
          <w:rtl/>
          <w:lang w:bidi="ar-EG"/>
        </w:rPr>
      </w:pPr>
      <w:r w:rsidRPr="00160FAB">
        <w:rPr>
          <w:rFonts w:hint="cs"/>
          <w:rtl/>
          <w:lang w:bidi="ar-EG"/>
        </w:rPr>
        <w:t>تحدد هذه التوصية</w:t>
      </w:r>
      <w:r w:rsidR="00451665">
        <w:rPr>
          <w:rFonts w:hint="cs"/>
          <w:rtl/>
          <w:lang w:bidi="ar-EG"/>
        </w:rPr>
        <w:t xml:space="preserve"> </w:t>
      </w:r>
      <w:r w:rsidRPr="0095220D">
        <w:t>ITU-T Y.3082</w:t>
      </w:r>
      <w:r w:rsidR="00451665">
        <w:rPr>
          <w:rFonts w:hint="cs"/>
          <w:rtl/>
        </w:rPr>
        <w:t xml:space="preserve"> </w:t>
      </w:r>
      <w:r w:rsidRPr="0095220D">
        <w:rPr>
          <w:rFonts w:hint="cs"/>
          <w:rtl/>
          <w:lang w:bidi="ar-EG"/>
        </w:rPr>
        <w:t>متطلبات</w:t>
      </w:r>
      <w:r w:rsidRPr="00160FAB">
        <w:rPr>
          <w:rFonts w:hint="cs"/>
          <w:rtl/>
          <w:lang w:bidi="ar-EG"/>
        </w:rPr>
        <w:t xml:space="preserve"> وإطار تكنولوجيا السجلات الموزعة المستعملة في تقاسم الشبكات المتنقلة فيما</w:t>
      </w:r>
      <w:r w:rsidR="00740383">
        <w:rPr>
          <w:rFonts w:hint="eastAsia"/>
          <w:rtl/>
          <w:lang w:bidi="ar-EG"/>
        </w:rPr>
        <w:t> </w:t>
      </w:r>
      <w:r w:rsidRPr="00160FAB">
        <w:rPr>
          <w:rFonts w:hint="cs"/>
          <w:rtl/>
          <w:lang w:bidi="ar-EG"/>
        </w:rPr>
        <w:t xml:space="preserve">يتعلق </w:t>
      </w:r>
      <w:r w:rsidRPr="00160FAB">
        <w:rPr>
          <w:rFonts w:hint="cs"/>
          <w:rtl/>
        </w:rPr>
        <w:t>بشبكات ما بعد</w:t>
      </w:r>
      <w:r w:rsidRPr="00160FAB">
        <w:rPr>
          <w:rtl/>
        </w:rPr>
        <w:t xml:space="preserve"> الاتصالات المتنقلة الدولية</w:t>
      </w:r>
      <w:r>
        <w:rPr>
          <w:rFonts w:hint="cs"/>
          <w:rtl/>
        </w:rPr>
        <w:t>-2020. وتعرض المتطلبات التفصيلية لتقاسم الشبكات المتنقلة القائم على تكنولوجيا السجلات الموزعة. كما تعرض التوصية الإطار رفيع المستوى وإجراءات الخدمة والاعتبارات الأمنية. ويصف التذييل حالات الاستعمال بالتفصيل.</w:t>
      </w:r>
    </w:p>
    <w:p w14:paraId="2F9A6C1B" w14:textId="77777777" w:rsidR="0095220D" w:rsidRDefault="0095220D" w:rsidP="0095220D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5220D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F17D" w14:textId="77777777" w:rsidR="00905C5B" w:rsidRDefault="00905C5B" w:rsidP="006C3242">
      <w:pPr>
        <w:spacing w:before="0" w:line="240" w:lineRule="auto"/>
      </w:pPr>
      <w:r>
        <w:separator/>
      </w:r>
    </w:p>
  </w:endnote>
  <w:endnote w:type="continuationSeparator" w:id="0">
    <w:p w14:paraId="05B8228B" w14:textId="77777777" w:rsidR="00905C5B" w:rsidRDefault="00905C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A1AB" w14:textId="77777777" w:rsidR="00E133DB" w:rsidRDefault="00E13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6AC0" w14:textId="3C1AFEF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D6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E432" w14:textId="77777777" w:rsidR="00905C5B" w:rsidRDefault="00905C5B" w:rsidP="006C3242">
      <w:pPr>
        <w:spacing w:before="0" w:line="240" w:lineRule="auto"/>
      </w:pPr>
      <w:r>
        <w:separator/>
      </w:r>
    </w:p>
  </w:footnote>
  <w:footnote w:type="continuationSeparator" w:id="0">
    <w:p w14:paraId="6DBDBD54" w14:textId="77777777" w:rsidR="00905C5B" w:rsidRDefault="00905C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FFB1" w14:textId="77777777" w:rsidR="00E133DB" w:rsidRDefault="00E13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C34F" w14:textId="41C0FBC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D6D08">
      <w:rPr>
        <w:sz w:val="20"/>
        <w:szCs w:val="20"/>
        <w:lang w:val="en-GB"/>
      </w:rPr>
      <w:t>89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2C14" w14:textId="77777777" w:rsidR="00E133DB" w:rsidRDefault="00E13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5B"/>
    <w:rsid w:val="00002A63"/>
    <w:rsid w:val="00006BD4"/>
    <w:rsid w:val="000173C9"/>
    <w:rsid w:val="00047140"/>
    <w:rsid w:val="0006468A"/>
    <w:rsid w:val="00090574"/>
    <w:rsid w:val="000A675F"/>
    <w:rsid w:val="000C1C0E"/>
    <w:rsid w:val="000C548A"/>
    <w:rsid w:val="000E327F"/>
    <w:rsid w:val="00146FE2"/>
    <w:rsid w:val="00192DB8"/>
    <w:rsid w:val="001B3D74"/>
    <w:rsid w:val="001C0169"/>
    <w:rsid w:val="001D1D50"/>
    <w:rsid w:val="001D6745"/>
    <w:rsid w:val="001E446E"/>
    <w:rsid w:val="00204B3B"/>
    <w:rsid w:val="002154EE"/>
    <w:rsid w:val="002276D2"/>
    <w:rsid w:val="0023283D"/>
    <w:rsid w:val="00251952"/>
    <w:rsid w:val="0026373E"/>
    <w:rsid w:val="002653E6"/>
    <w:rsid w:val="002675B6"/>
    <w:rsid w:val="00271C43"/>
    <w:rsid w:val="00290728"/>
    <w:rsid w:val="002978F4"/>
    <w:rsid w:val="002B028D"/>
    <w:rsid w:val="002D6D08"/>
    <w:rsid w:val="002E196B"/>
    <w:rsid w:val="002E6541"/>
    <w:rsid w:val="00300611"/>
    <w:rsid w:val="00334924"/>
    <w:rsid w:val="00340887"/>
    <w:rsid w:val="003409BC"/>
    <w:rsid w:val="00357185"/>
    <w:rsid w:val="003603B1"/>
    <w:rsid w:val="00383829"/>
    <w:rsid w:val="00391463"/>
    <w:rsid w:val="003A3046"/>
    <w:rsid w:val="003C7EDF"/>
    <w:rsid w:val="003D1744"/>
    <w:rsid w:val="003F1ACB"/>
    <w:rsid w:val="003F4B29"/>
    <w:rsid w:val="00400EC6"/>
    <w:rsid w:val="0042686F"/>
    <w:rsid w:val="004317D8"/>
    <w:rsid w:val="00434183"/>
    <w:rsid w:val="00443869"/>
    <w:rsid w:val="00447F32"/>
    <w:rsid w:val="00451665"/>
    <w:rsid w:val="004E11DC"/>
    <w:rsid w:val="00525DDD"/>
    <w:rsid w:val="005409AC"/>
    <w:rsid w:val="0055516A"/>
    <w:rsid w:val="005731DD"/>
    <w:rsid w:val="00580956"/>
    <w:rsid w:val="0058491B"/>
    <w:rsid w:val="00592EA5"/>
    <w:rsid w:val="00595B52"/>
    <w:rsid w:val="00596808"/>
    <w:rsid w:val="005A3170"/>
    <w:rsid w:val="006341C2"/>
    <w:rsid w:val="006635B2"/>
    <w:rsid w:val="00677396"/>
    <w:rsid w:val="006919F8"/>
    <w:rsid w:val="0069200F"/>
    <w:rsid w:val="006A65CB"/>
    <w:rsid w:val="006B2E77"/>
    <w:rsid w:val="006C1530"/>
    <w:rsid w:val="006C3242"/>
    <w:rsid w:val="006C57D9"/>
    <w:rsid w:val="006C7CC0"/>
    <w:rsid w:val="006E1BAD"/>
    <w:rsid w:val="006F63F7"/>
    <w:rsid w:val="007025C7"/>
    <w:rsid w:val="00706D7A"/>
    <w:rsid w:val="00722F0D"/>
    <w:rsid w:val="00740383"/>
    <w:rsid w:val="0074420E"/>
    <w:rsid w:val="00783E26"/>
    <w:rsid w:val="007C3BC7"/>
    <w:rsid w:val="007C3BCD"/>
    <w:rsid w:val="007C6E82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81847"/>
    <w:rsid w:val="008A7F84"/>
    <w:rsid w:val="00905C5B"/>
    <w:rsid w:val="00907980"/>
    <w:rsid w:val="0091702E"/>
    <w:rsid w:val="00923B0C"/>
    <w:rsid w:val="00926F44"/>
    <w:rsid w:val="0094021C"/>
    <w:rsid w:val="0094432F"/>
    <w:rsid w:val="0095220D"/>
    <w:rsid w:val="00952F86"/>
    <w:rsid w:val="00982B28"/>
    <w:rsid w:val="009D313F"/>
    <w:rsid w:val="009E3C47"/>
    <w:rsid w:val="00A31C03"/>
    <w:rsid w:val="00A36462"/>
    <w:rsid w:val="00A47A5A"/>
    <w:rsid w:val="00A6683B"/>
    <w:rsid w:val="00A77C90"/>
    <w:rsid w:val="00A845D8"/>
    <w:rsid w:val="00A9156F"/>
    <w:rsid w:val="00A97F94"/>
    <w:rsid w:val="00AA7EA2"/>
    <w:rsid w:val="00AF6B5C"/>
    <w:rsid w:val="00B03099"/>
    <w:rsid w:val="00B05BC8"/>
    <w:rsid w:val="00B34437"/>
    <w:rsid w:val="00B6012E"/>
    <w:rsid w:val="00B64B47"/>
    <w:rsid w:val="00B916A7"/>
    <w:rsid w:val="00BA3429"/>
    <w:rsid w:val="00BB0F08"/>
    <w:rsid w:val="00C002DE"/>
    <w:rsid w:val="00C50440"/>
    <w:rsid w:val="00C51F42"/>
    <w:rsid w:val="00C53BF8"/>
    <w:rsid w:val="00C66157"/>
    <w:rsid w:val="00C674FE"/>
    <w:rsid w:val="00C67501"/>
    <w:rsid w:val="00C75633"/>
    <w:rsid w:val="00CC1B68"/>
    <w:rsid w:val="00CE1C08"/>
    <w:rsid w:val="00CE2EE1"/>
    <w:rsid w:val="00CE3349"/>
    <w:rsid w:val="00CE36E5"/>
    <w:rsid w:val="00CE50A1"/>
    <w:rsid w:val="00CF27F5"/>
    <w:rsid w:val="00CF3FFD"/>
    <w:rsid w:val="00D10CCF"/>
    <w:rsid w:val="00D22846"/>
    <w:rsid w:val="00D517B2"/>
    <w:rsid w:val="00D66305"/>
    <w:rsid w:val="00D73806"/>
    <w:rsid w:val="00D76170"/>
    <w:rsid w:val="00D77D0F"/>
    <w:rsid w:val="00D97D0B"/>
    <w:rsid w:val="00DA1CF0"/>
    <w:rsid w:val="00DA7AE5"/>
    <w:rsid w:val="00DC1E02"/>
    <w:rsid w:val="00DC24B4"/>
    <w:rsid w:val="00DC3AE2"/>
    <w:rsid w:val="00DC5FB0"/>
    <w:rsid w:val="00DD1EBB"/>
    <w:rsid w:val="00DF16DC"/>
    <w:rsid w:val="00E133DB"/>
    <w:rsid w:val="00E45211"/>
    <w:rsid w:val="00E473C5"/>
    <w:rsid w:val="00E84438"/>
    <w:rsid w:val="00E85F41"/>
    <w:rsid w:val="00E92863"/>
    <w:rsid w:val="00EB39EC"/>
    <w:rsid w:val="00EB796D"/>
    <w:rsid w:val="00F058DC"/>
    <w:rsid w:val="00F24FC4"/>
    <w:rsid w:val="00F2676C"/>
    <w:rsid w:val="00F52941"/>
    <w:rsid w:val="00F84366"/>
    <w:rsid w:val="00F85089"/>
    <w:rsid w:val="00F974C5"/>
    <w:rsid w:val="00FA4183"/>
    <w:rsid w:val="00FA6F46"/>
    <w:rsid w:val="00FC108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FB19F"/>
  <w15:chartTrackingRefBased/>
  <w15:docId w15:val="{BA11CCF9-9543-484F-BC5F-532F22CE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index.aspx?ser=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22-TSB-CIR-0057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Braud, Olivia</cp:lastModifiedBy>
  <cp:revision>48</cp:revision>
  <cp:lastPrinted>2023-04-17T10:32:00Z</cp:lastPrinted>
  <dcterms:created xsi:type="dcterms:W3CDTF">2023-04-06T11:32:00Z</dcterms:created>
  <dcterms:modified xsi:type="dcterms:W3CDTF">2023-04-17T10:33:00Z</dcterms:modified>
</cp:coreProperties>
</file>