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rsidRPr="00263339" w14:paraId="427248EF" w14:textId="77777777">
        <w:trPr>
          <w:trHeight w:val="1282"/>
        </w:trPr>
        <w:tc>
          <w:tcPr>
            <w:tcW w:w="1276" w:type="dxa"/>
            <w:gridSpan w:val="2"/>
            <w:shd w:val="clear" w:color="auto" w:fill="auto"/>
            <w:tcMar>
              <w:left w:w="0" w:type="dxa"/>
              <w:right w:w="0" w:type="dxa"/>
            </w:tcMar>
            <w:vAlign w:val="center"/>
          </w:tcPr>
          <w:p w14:paraId="63267DAD" w14:textId="77777777" w:rsidR="00FA46A0" w:rsidRPr="00263339" w:rsidRDefault="009747C5">
            <w:pPr>
              <w:pStyle w:val="Tabletext"/>
              <w:jc w:val="center"/>
            </w:pPr>
            <w:r w:rsidRPr="00263339">
              <w:rPr>
                <w:noProof/>
                <w:lang w:val="en-US" w:eastAsia="zh-CN"/>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56B052C1" w14:textId="77777777" w:rsidR="00FA46A0" w:rsidRPr="00263339" w:rsidRDefault="00B61012">
            <w:pPr>
              <w:spacing w:before="0"/>
              <w:rPr>
                <w:rFonts w:cs="Times New Roman Bold"/>
                <w:b/>
                <w:bCs/>
                <w:smallCaps/>
                <w:sz w:val="26"/>
                <w:szCs w:val="26"/>
              </w:rPr>
            </w:pPr>
            <w:r w:rsidRPr="00263339">
              <w:rPr>
                <w:rFonts w:cs="Times New Roman Bold"/>
                <w:b/>
                <w:bCs/>
                <w:smallCaps/>
                <w:sz w:val="36"/>
                <w:szCs w:val="36"/>
              </w:rPr>
              <w:t>International telecommunication union</w:t>
            </w:r>
          </w:p>
          <w:p w14:paraId="45638816" w14:textId="77777777" w:rsidR="00FA46A0" w:rsidRPr="00263339" w:rsidRDefault="00B61012">
            <w:pPr>
              <w:spacing w:before="0"/>
              <w:rPr>
                <w:rFonts w:ascii="Verdana" w:hAnsi="Verdana"/>
                <w:color w:val="FFFFFF"/>
                <w:sz w:val="26"/>
                <w:szCs w:val="26"/>
              </w:rPr>
            </w:pPr>
            <w:r w:rsidRPr="00263339">
              <w:rPr>
                <w:rFonts w:cs="Times New Roman Bold"/>
                <w:b/>
                <w:bCs/>
                <w:iCs/>
                <w:smallCaps/>
                <w:sz w:val="28"/>
                <w:szCs w:val="28"/>
              </w:rPr>
              <w:t>Telecommunication Standardization Bureau</w:t>
            </w:r>
          </w:p>
        </w:tc>
        <w:tc>
          <w:tcPr>
            <w:tcW w:w="1984" w:type="dxa"/>
            <w:shd w:val="clear" w:color="auto" w:fill="auto"/>
            <w:vAlign w:val="center"/>
          </w:tcPr>
          <w:p w14:paraId="166882E5" w14:textId="77777777" w:rsidR="00FA46A0" w:rsidRPr="00263339" w:rsidRDefault="00FA46A0">
            <w:pPr>
              <w:spacing w:before="0"/>
              <w:jc w:val="right"/>
              <w:rPr>
                <w:rFonts w:ascii="Verdana" w:hAnsi="Verdana"/>
                <w:color w:val="FFFFFF"/>
                <w:sz w:val="26"/>
                <w:szCs w:val="26"/>
              </w:rPr>
            </w:pPr>
          </w:p>
        </w:tc>
      </w:tr>
      <w:tr w:rsidR="00FA46A0" w:rsidRPr="00263339" w14:paraId="5225F8B8" w14:textId="77777777">
        <w:trPr>
          <w:cantSplit/>
          <w:trHeight w:val="80"/>
        </w:trPr>
        <w:tc>
          <w:tcPr>
            <w:tcW w:w="4678" w:type="dxa"/>
            <w:gridSpan w:val="3"/>
            <w:vAlign w:val="center"/>
          </w:tcPr>
          <w:p w14:paraId="3564C614" w14:textId="77777777" w:rsidR="00FA46A0" w:rsidRPr="00263339" w:rsidRDefault="00FA46A0">
            <w:pPr>
              <w:pStyle w:val="Tabletext"/>
              <w:jc w:val="right"/>
              <w:rPr>
                <w:sz w:val="22"/>
                <w:szCs w:val="22"/>
              </w:rPr>
            </w:pPr>
          </w:p>
        </w:tc>
        <w:tc>
          <w:tcPr>
            <w:tcW w:w="5103" w:type="dxa"/>
            <w:gridSpan w:val="2"/>
            <w:vAlign w:val="center"/>
          </w:tcPr>
          <w:p w14:paraId="760FAB27" w14:textId="2BB9FF9C" w:rsidR="00FA46A0" w:rsidRPr="00263339" w:rsidRDefault="00263339" w:rsidP="00FF5729">
            <w:pPr>
              <w:pStyle w:val="Tabletext"/>
              <w:spacing w:before="480" w:after="120"/>
              <w:ind w:left="-108"/>
              <w:rPr>
                <w:sz w:val="22"/>
                <w:szCs w:val="22"/>
              </w:rPr>
            </w:pPr>
            <w:r w:rsidRPr="00263339">
              <w:rPr>
                <w:sz w:val="22"/>
                <w:szCs w:val="22"/>
              </w:rPr>
              <w:t>Geneva, 13 March 2023</w:t>
            </w:r>
          </w:p>
        </w:tc>
      </w:tr>
      <w:tr w:rsidR="00FA46A0" w:rsidRPr="00263339" w14:paraId="1188BE59" w14:textId="77777777">
        <w:trPr>
          <w:cantSplit/>
          <w:trHeight w:val="746"/>
        </w:trPr>
        <w:tc>
          <w:tcPr>
            <w:tcW w:w="1134" w:type="dxa"/>
          </w:tcPr>
          <w:p w14:paraId="15C386EF" w14:textId="77777777" w:rsidR="00FA46A0" w:rsidRPr="00263339" w:rsidRDefault="00B61012">
            <w:pPr>
              <w:pStyle w:val="Tabletext"/>
              <w:rPr>
                <w:sz w:val="22"/>
                <w:szCs w:val="22"/>
              </w:rPr>
            </w:pPr>
            <w:r w:rsidRPr="00263339">
              <w:rPr>
                <w:b/>
                <w:sz w:val="22"/>
                <w:szCs w:val="22"/>
              </w:rPr>
              <w:t>Ref:</w:t>
            </w:r>
          </w:p>
        </w:tc>
        <w:tc>
          <w:tcPr>
            <w:tcW w:w="3544" w:type="dxa"/>
            <w:gridSpan w:val="2"/>
          </w:tcPr>
          <w:p w14:paraId="091C3B5F" w14:textId="044276A0" w:rsidR="00FA46A0" w:rsidRPr="00263339" w:rsidRDefault="00B61012" w:rsidP="00FC1C19">
            <w:pPr>
              <w:pStyle w:val="Tabletext"/>
              <w:rPr>
                <w:b/>
                <w:bCs/>
                <w:sz w:val="22"/>
                <w:szCs w:val="22"/>
              </w:rPr>
            </w:pPr>
            <w:r w:rsidRPr="00263339">
              <w:rPr>
                <w:b/>
                <w:bCs/>
                <w:sz w:val="22"/>
                <w:szCs w:val="22"/>
              </w:rPr>
              <w:t xml:space="preserve">TSB Circular </w:t>
            </w:r>
            <w:r w:rsidR="009A1275" w:rsidRPr="00263339">
              <w:rPr>
                <w:b/>
                <w:bCs/>
                <w:sz w:val="22"/>
                <w:szCs w:val="22"/>
              </w:rPr>
              <w:t>81</w:t>
            </w:r>
          </w:p>
        </w:tc>
        <w:tc>
          <w:tcPr>
            <w:tcW w:w="5103" w:type="dxa"/>
            <w:gridSpan w:val="2"/>
            <w:vMerge w:val="restart"/>
          </w:tcPr>
          <w:p w14:paraId="1B1E5600" w14:textId="77777777" w:rsidR="00FF5729" w:rsidRPr="00263339" w:rsidRDefault="00B61012" w:rsidP="00FF5729">
            <w:pPr>
              <w:tabs>
                <w:tab w:val="clear" w:pos="794"/>
                <w:tab w:val="clear" w:pos="1191"/>
                <w:tab w:val="clear" w:pos="1588"/>
                <w:tab w:val="clear" w:pos="1985"/>
                <w:tab w:val="left" w:pos="241"/>
              </w:tabs>
              <w:spacing w:before="0"/>
              <w:ind w:left="283" w:hanging="391"/>
              <w:rPr>
                <w:sz w:val="22"/>
                <w:szCs w:val="22"/>
              </w:rPr>
            </w:pPr>
            <w:r w:rsidRPr="00263339">
              <w:rPr>
                <w:b/>
                <w:sz w:val="22"/>
                <w:szCs w:val="22"/>
              </w:rPr>
              <w:t>To:</w:t>
            </w:r>
          </w:p>
          <w:p w14:paraId="75D5F119" w14:textId="77777777" w:rsidR="00FF5729" w:rsidRPr="00263339" w:rsidRDefault="00FF5729" w:rsidP="009747C5">
            <w:pPr>
              <w:tabs>
                <w:tab w:val="clear" w:pos="794"/>
                <w:tab w:val="clear" w:pos="1191"/>
                <w:tab w:val="clear" w:pos="1588"/>
                <w:tab w:val="clear" w:pos="1985"/>
              </w:tabs>
              <w:spacing w:before="40" w:after="40"/>
              <w:ind w:left="283" w:hanging="391"/>
              <w:rPr>
                <w:sz w:val="22"/>
                <w:szCs w:val="22"/>
              </w:rPr>
            </w:pPr>
            <w:r w:rsidRPr="00263339">
              <w:rPr>
                <w:sz w:val="22"/>
                <w:szCs w:val="22"/>
              </w:rPr>
              <w:t>-</w:t>
            </w:r>
            <w:r w:rsidRPr="00263339">
              <w:rPr>
                <w:sz w:val="22"/>
                <w:szCs w:val="22"/>
              </w:rPr>
              <w:tab/>
              <w:t xml:space="preserve">Administrations of Member States of the </w:t>
            </w:r>
            <w:proofErr w:type="gramStart"/>
            <w:r w:rsidRPr="00263339">
              <w:rPr>
                <w:sz w:val="22"/>
                <w:szCs w:val="22"/>
              </w:rPr>
              <w:t>Union</w:t>
            </w:r>
            <w:r w:rsidR="00A72C30" w:rsidRPr="00263339">
              <w:rPr>
                <w:sz w:val="22"/>
                <w:szCs w:val="22"/>
              </w:rPr>
              <w:t>;</w:t>
            </w:r>
            <w:proofErr w:type="gramEnd"/>
          </w:p>
          <w:p w14:paraId="2B8F47A4" w14:textId="77777777" w:rsidR="00FF5729" w:rsidRPr="00263339" w:rsidRDefault="00FF5729" w:rsidP="009747C5">
            <w:pPr>
              <w:tabs>
                <w:tab w:val="clear" w:pos="794"/>
                <w:tab w:val="clear" w:pos="1191"/>
                <w:tab w:val="clear" w:pos="1588"/>
                <w:tab w:val="clear" w:pos="1985"/>
              </w:tabs>
              <w:spacing w:before="40" w:after="40"/>
              <w:ind w:left="283" w:hanging="391"/>
              <w:rPr>
                <w:sz w:val="22"/>
                <w:szCs w:val="22"/>
                <w:lang w:val="fr-CH"/>
              </w:rPr>
            </w:pPr>
            <w:r w:rsidRPr="00263339">
              <w:rPr>
                <w:sz w:val="22"/>
                <w:szCs w:val="22"/>
                <w:lang w:val="fr-CH"/>
              </w:rPr>
              <w:t>-</w:t>
            </w:r>
            <w:r w:rsidRPr="00263339">
              <w:rPr>
                <w:sz w:val="22"/>
                <w:szCs w:val="22"/>
                <w:lang w:val="fr-CH"/>
              </w:rPr>
              <w:tab/>
              <w:t xml:space="preserve">ITU-T </w:t>
            </w:r>
            <w:proofErr w:type="spellStart"/>
            <w:r w:rsidRPr="00263339">
              <w:rPr>
                <w:sz w:val="22"/>
                <w:szCs w:val="22"/>
                <w:lang w:val="fr-CH"/>
              </w:rPr>
              <w:t>Sector</w:t>
            </w:r>
            <w:proofErr w:type="spellEnd"/>
            <w:r w:rsidRPr="00263339">
              <w:rPr>
                <w:sz w:val="22"/>
                <w:szCs w:val="22"/>
                <w:lang w:val="fr-CH"/>
              </w:rPr>
              <w:t xml:space="preserve"> </w:t>
            </w:r>
            <w:proofErr w:type="gramStart"/>
            <w:r w:rsidRPr="00263339">
              <w:rPr>
                <w:sz w:val="22"/>
                <w:szCs w:val="22"/>
                <w:lang w:val="fr-CH"/>
              </w:rPr>
              <w:t>Members</w:t>
            </w:r>
            <w:r w:rsidR="00A72C30" w:rsidRPr="00263339">
              <w:rPr>
                <w:sz w:val="22"/>
                <w:szCs w:val="22"/>
                <w:lang w:val="fr-CH"/>
              </w:rPr>
              <w:t>;</w:t>
            </w:r>
            <w:proofErr w:type="gramEnd"/>
          </w:p>
          <w:p w14:paraId="32BC2649" w14:textId="77777777" w:rsidR="00FF5729" w:rsidRPr="00263339" w:rsidRDefault="00FF5729" w:rsidP="009747C5">
            <w:pPr>
              <w:tabs>
                <w:tab w:val="clear" w:pos="794"/>
                <w:tab w:val="clear" w:pos="1191"/>
                <w:tab w:val="clear" w:pos="1588"/>
                <w:tab w:val="clear" w:pos="1985"/>
              </w:tabs>
              <w:spacing w:before="40" w:after="40"/>
              <w:ind w:left="283" w:hanging="391"/>
              <w:rPr>
                <w:sz w:val="22"/>
                <w:szCs w:val="22"/>
                <w:lang w:val="fr-CH"/>
              </w:rPr>
            </w:pPr>
            <w:r w:rsidRPr="00263339">
              <w:rPr>
                <w:sz w:val="22"/>
                <w:szCs w:val="22"/>
                <w:lang w:val="fr-CH"/>
              </w:rPr>
              <w:t>-</w:t>
            </w:r>
            <w:r w:rsidRPr="00263339">
              <w:rPr>
                <w:sz w:val="22"/>
                <w:szCs w:val="22"/>
                <w:lang w:val="fr-CH"/>
              </w:rPr>
              <w:tab/>
              <w:t xml:space="preserve">ITU-T </w:t>
            </w:r>
            <w:proofErr w:type="gramStart"/>
            <w:r w:rsidRPr="00263339">
              <w:rPr>
                <w:sz w:val="22"/>
                <w:szCs w:val="22"/>
                <w:lang w:val="fr-CH"/>
              </w:rPr>
              <w:t>Associates</w:t>
            </w:r>
            <w:r w:rsidR="00A72C30" w:rsidRPr="00263339">
              <w:rPr>
                <w:sz w:val="22"/>
                <w:szCs w:val="22"/>
                <w:lang w:val="fr-CH"/>
              </w:rPr>
              <w:t>;</w:t>
            </w:r>
            <w:proofErr w:type="gramEnd"/>
          </w:p>
          <w:p w14:paraId="771591D6" w14:textId="4A9786EA" w:rsidR="00FA46A0" w:rsidRPr="00263339" w:rsidRDefault="00FF5729" w:rsidP="009747C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sz w:val="22"/>
                <w:szCs w:val="22"/>
              </w:rPr>
            </w:pPr>
            <w:r w:rsidRPr="00263339">
              <w:rPr>
                <w:sz w:val="22"/>
                <w:szCs w:val="22"/>
              </w:rPr>
              <w:t>-</w:t>
            </w:r>
            <w:r w:rsidRPr="00263339">
              <w:rPr>
                <w:sz w:val="22"/>
                <w:szCs w:val="22"/>
              </w:rPr>
              <w:tab/>
              <w:t>ITU Academia</w:t>
            </w:r>
            <w:r w:rsidR="0031739D">
              <w:rPr>
                <w:sz w:val="22"/>
                <w:szCs w:val="22"/>
              </w:rPr>
              <w:t>.</w:t>
            </w:r>
          </w:p>
        </w:tc>
      </w:tr>
      <w:tr w:rsidR="00FA46A0" w:rsidRPr="00263339" w14:paraId="4B512585" w14:textId="77777777">
        <w:trPr>
          <w:cantSplit/>
          <w:trHeight w:val="221"/>
        </w:trPr>
        <w:tc>
          <w:tcPr>
            <w:tcW w:w="1134" w:type="dxa"/>
          </w:tcPr>
          <w:p w14:paraId="45FB1CB2" w14:textId="77777777" w:rsidR="00FA46A0" w:rsidRPr="00263339" w:rsidRDefault="00B61012">
            <w:pPr>
              <w:pStyle w:val="Tabletext"/>
              <w:rPr>
                <w:sz w:val="22"/>
                <w:szCs w:val="22"/>
              </w:rPr>
            </w:pPr>
            <w:r w:rsidRPr="00263339">
              <w:rPr>
                <w:b/>
                <w:sz w:val="22"/>
                <w:szCs w:val="22"/>
              </w:rPr>
              <w:t>Tel:</w:t>
            </w:r>
          </w:p>
        </w:tc>
        <w:tc>
          <w:tcPr>
            <w:tcW w:w="3544" w:type="dxa"/>
            <w:gridSpan w:val="2"/>
          </w:tcPr>
          <w:p w14:paraId="4D88B3A0" w14:textId="38BA1F7C" w:rsidR="00FA46A0" w:rsidRPr="00263339" w:rsidRDefault="00C95BF6" w:rsidP="00C95BF6">
            <w:pPr>
              <w:pStyle w:val="Tabletext"/>
              <w:rPr>
                <w:b/>
                <w:sz w:val="22"/>
                <w:szCs w:val="22"/>
              </w:rPr>
            </w:pPr>
            <w:r w:rsidRPr="00263339">
              <w:rPr>
                <w:sz w:val="22"/>
                <w:szCs w:val="22"/>
              </w:rPr>
              <w:t xml:space="preserve">+41 22 730 </w:t>
            </w:r>
            <w:r w:rsidR="00C9319E" w:rsidRPr="00263339">
              <w:rPr>
                <w:sz w:val="22"/>
                <w:szCs w:val="22"/>
              </w:rPr>
              <w:t>5415</w:t>
            </w:r>
          </w:p>
        </w:tc>
        <w:tc>
          <w:tcPr>
            <w:tcW w:w="5103" w:type="dxa"/>
            <w:gridSpan w:val="2"/>
            <w:vMerge/>
          </w:tcPr>
          <w:p w14:paraId="105FEE99" w14:textId="77777777" w:rsidR="00FA46A0" w:rsidRPr="00263339" w:rsidRDefault="00FA46A0" w:rsidP="00FF5729">
            <w:pPr>
              <w:pStyle w:val="Tabletext"/>
              <w:ind w:left="142" w:hanging="391"/>
              <w:rPr>
                <w:sz w:val="22"/>
                <w:szCs w:val="22"/>
              </w:rPr>
            </w:pPr>
          </w:p>
        </w:tc>
      </w:tr>
      <w:tr w:rsidR="00FA46A0" w:rsidRPr="00263339" w14:paraId="0E71A02B" w14:textId="77777777">
        <w:trPr>
          <w:cantSplit/>
          <w:trHeight w:val="282"/>
        </w:trPr>
        <w:tc>
          <w:tcPr>
            <w:tcW w:w="1134" w:type="dxa"/>
          </w:tcPr>
          <w:p w14:paraId="0319332A" w14:textId="77777777" w:rsidR="00FA46A0" w:rsidRPr="00263339" w:rsidRDefault="00B61012">
            <w:pPr>
              <w:pStyle w:val="Tabletext"/>
              <w:rPr>
                <w:sz w:val="22"/>
                <w:szCs w:val="22"/>
              </w:rPr>
            </w:pPr>
            <w:r w:rsidRPr="00263339">
              <w:rPr>
                <w:b/>
                <w:sz w:val="22"/>
                <w:szCs w:val="22"/>
              </w:rPr>
              <w:t>Fax:</w:t>
            </w:r>
          </w:p>
        </w:tc>
        <w:tc>
          <w:tcPr>
            <w:tcW w:w="3544" w:type="dxa"/>
            <w:gridSpan w:val="2"/>
          </w:tcPr>
          <w:p w14:paraId="78CC8F8C" w14:textId="77777777" w:rsidR="00FA46A0" w:rsidRPr="00263339" w:rsidRDefault="00B61012">
            <w:pPr>
              <w:pStyle w:val="Tabletext"/>
              <w:rPr>
                <w:b/>
                <w:sz w:val="22"/>
                <w:szCs w:val="22"/>
              </w:rPr>
            </w:pPr>
            <w:r w:rsidRPr="00263339">
              <w:rPr>
                <w:sz w:val="22"/>
                <w:szCs w:val="22"/>
              </w:rPr>
              <w:t>+41 22 730 5853</w:t>
            </w:r>
          </w:p>
        </w:tc>
        <w:tc>
          <w:tcPr>
            <w:tcW w:w="5103" w:type="dxa"/>
            <w:gridSpan w:val="2"/>
            <w:vMerge/>
          </w:tcPr>
          <w:p w14:paraId="5AABDE07" w14:textId="77777777" w:rsidR="00FA46A0" w:rsidRPr="00263339" w:rsidRDefault="00FA46A0" w:rsidP="00FF5729">
            <w:pPr>
              <w:pStyle w:val="Tabletext"/>
              <w:ind w:left="142" w:hanging="391"/>
              <w:rPr>
                <w:sz w:val="22"/>
                <w:szCs w:val="22"/>
              </w:rPr>
            </w:pPr>
          </w:p>
        </w:tc>
      </w:tr>
      <w:tr w:rsidR="00FA46A0" w:rsidRPr="00263339" w14:paraId="5EBD4325" w14:textId="77777777" w:rsidTr="009A1275">
        <w:trPr>
          <w:cantSplit/>
        </w:trPr>
        <w:tc>
          <w:tcPr>
            <w:tcW w:w="1134" w:type="dxa"/>
          </w:tcPr>
          <w:p w14:paraId="381A3B22" w14:textId="77777777" w:rsidR="00FA46A0" w:rsidRPr="00263339" w:rsidRDefault="00B61012">
            <w:pPr>
              <w:pStyle w:val="Tabletext"/>
              <w:rPr>
                <w:sz w:val="22"/>
                <w:szCs w:val="22"/>
              </w:rPr>
            </w:pPr>
            <w:r w:rsidRPr="00263339">
              <w:rPr>
                <w:b/>
                <w:sz w:val="22"/>
                <w:szCs w:val="22"/>
              </w:rPr>
              <w:t>E-mail:</w:t>
            </w:r>
          </w:p>
        </w:tc>
        <w:tc>
          <w:tcPr>
            <w:tcW w:w="3544" w:type="dxa"/>
            <w:gridSpan w:val="2"/>
          </w:tcPr>
          <w:p w14:paraId="615B52F4" w14:textId="386AD8CD" w:rsidR="00FA46A0" w:rsidRPr="00263339" w:rsidRDefault="00956102" w:rsidP="00FC1C19">
            <w:pPr>
              <w:pStyle w:val="Tabletext"/>
              <w:rPr>
                <w:sz w:val="22"/>
                <w:szCs w:val="22"/>
                <w:lang w:val="en-US"/>
              </w:rPr>
            </w:pPr>
            <w:hyperlink r:id="rId11" w:history="1">
              <w:r w:rsidR="005925F6" w:rsidRPr="00263339">
                <w:rPr>
                  <w:rStyle w:val="Hyperlink"/>
                  <w:sz w:val="22"/>
                  <w:szCs w:val="22"/>
                </w:rPr>
                <w:t>tsbsg2@itu.int</w:t>
              </w:r>
            </w:hyperlink>
            <w:r w:rsidR="00C9319E" w:rsidRPr="00263339">
              <w:rPr>
                <w:sz w:val="22"/>
                <w:szCs w:val="22"/>
              </w:rPr>
              <w:t xml:space="preserve"> </w:t>
            </w:r>
          </w:p>
        </w:tc>
        <w:tc>
          <w:tcPr>
            <w:tcW w:w="5103" w:type="dxa"/>
            <w:gridSpan w:val="2"/>
          </w:tcPr>
          <w:p w14:paraId="078A3F0C" w14:textId="77777777" w:rsidR="00FC1C19" w:rsidRPr="00263339" w:rsidRDefault="00B61012" w:rsidP="00FF5729">
            <w:pPr>
              <w:pStyle w:val="Tabletext"/>
              <w:ind w:left="283" w:hanging="391"/>
              <w:rPr>
                <w:sz w:val="22"/>
                <w:szCs w:val="22"/>
              </w:rPr>
            </w:pPr>
            <w:r w:rsidRPr="00263339">
              <w:rPr>
                <w:b/>
                <w:sz w:val="22"/>
                <w:szCs w:val="22"/>
              </w:rPr>
              <w:t>Copy to:</w:t>
            </w:r>
          </w:p>
          <w:p w14:paraId="5DA1721E" w14:textId="77777777" w:rsidR="003746A5" w:rsidRPr="00263339" w:rsidRDefault="003746A5" w:rsidP="00963900">
            <w:pPr>
              <w:pStyle w:val="Tabletext"/>
              <w:tabs>
                <w:tab w:val="clear" w:pos="284"/>
              </w:tabs>
              <w:ind w:left="283" w:hanging="391"/>
              <w:rPr>
                <w:sz w:val="22"/>
                <w:szCs w:val="22"/>
              </w:rPr>
            </w:pPr>
            <w:r w:rsidRPr="00263339">
              <w:rPr>
                <w:sz w:val="22"/>
                <w:szCs w:val="22"/>
              </w:rPr>
              <w:t>-</w:t>
            </w:r>
            <w:r w:rsidRPr="00263339">
              <w:rPr>
                <w:sz w:val="22"/>
                <w:szCs w:val="22"/>
              </w:rPr>
              <w:tab/>
            </w:r>
            <w:r w:rsidR="00963900" w:rsidRPr="00263339">
              <w:rPr>
                <w:sz w:val="22"/>
                <w:szCs w:val="22"/>
              </w:rPr>
              <w:t>T</w:t>
            </w:r>
            <w:r w:rsidRPr="00263339">
              <w:rPr>
                <w:sz w:val="22"/>
                <w:szCs w:val="22"/>
              </w:rPr>
              <w:t>he Chairm</w:t>
            </w:r>
            <w:r w:rsidR="00D62702" w:rsidRPr="00263339">
              <w:rPr>
                <w:sz w:val="22"/>
                <w:szCs w:val="22"/>
              </w:rPr>
              <w:t>e</w:t>
            </w:r>
            <w:r w:rsidRPr="00263339">
              <w:rPr>
                <w:sz w:val="22"/>
                <w:szCs w:val="22"/>
              </w:rPr>
              <w:t xml:space="preserve">n and Vice-Chairmen of Study </w:t>
            </w:r>
            <w:proofErr w:type="gramStart"/>
            <w:r w:rsidRPr="00263339">
              <w:rPr>
                <w:sz w:val="22"/>
                <w:szCs w:val="22"/>
              </w:rPr>
              <w:t>Group</w:t>
            </w:r>
            <w:r w:rsidR="00FC1C19" w:rsidRPr="00263339">
              <w:rPr>
                <w:sz w:val="22"/>
                <w:szCs w:val="22"/>
              </w:rPr>
              <w:t>s;</w:t>
            </w:r>
            <w:proofErr w:type="gramEnd"/>
          </w:p>
          <w:p w14:paraId="15A3E309" w14:textId="77777777" w:rsidR="003746A5" w:rsidRPr="00263339" w:rsidRDefault="003746A5" w:rsidP="00963900">
            <w:pPr>
              <w:pStyle w:val="Tabletext"/>
              <w:tabs>
                <w:tab w:val="clear" w:pos="284"/>
              </w:tabs>
              <w:ind w:left="283" w:hanging="391"/>
              <w:rPr>
                <w:sz w:val="22"/>
                <w:szCs w:val="22"/>
              </w:rPr>
            </w:pPr>
            <w:r w:rsidRPr="00263339">
              <w:rPr>
                <w:sz w:val="22"/>
                <w:szCs w:val="22"/>
              </w:rPr>
              <w:t>-</w:t>
            </w:r>
            <w:r w:rsidRPr="00263339">
              <w:rPr>
                <w:sz w:val="22"/>
                <w:szCs w:val="22"/>
              </w:rPr>
              <w:tab/>
              <w:t xml:space="preserve">The Director of the Telecommunication Development </w:t>
            </w:r>
            <w:proofErr w:type="gramStart"/>
            <w:r w:rsidRPr="00263339">
              <w:rPr>
                <w:sz w:val="22"/>
                <w:szCs w:val="22"/>
              </w:rPr>
              <w:t>Bureau;</w:t>
            </w:r>
            <w:proofErr w:type="gramEnd"/>
          </w:p>
          <w:p w14:paraId="5BCAAC1E" w14:textId="2A7AF862" w:rsidR="00FA46A0" w:rsidRPr="00263339" w:rsidRDefault="003746A5" w:rsidP="00963900">
            <w:pPr>
              <w:pStyle w:val="Tabletext"/>
              <w:tabs>
                <w:tab w:val="clear" w:pos="284"/>
              </w:tabs>
              <w:ind w:left="283" w:hanging="391"/>
              <w:rPr>
                <w:sz w:val="22"/>
                <w:szCs w:val="22"/>
              </w:rPr>
            </w:pPr>
            <w:r w:rsidRPr="00263339">
              <w:rPr>
                <w:sz w:val="22"/>
                <w:szCs w:val="22"/>
              </w:rPr>
              <w:t>-</w:t>
            </w:r>
            <w:r w:rsidRPr="00263339">
              <w:rPr>
                <w:sz w:val="22"/>
                <w:szCs w:val="22"/>
              </w:rPr>
              <w:tab/>
              <w:t>The Director of the Radiocommunication Bureau</w:t>
            </w:r>
            <w:r w:rsidR="0031739D">
              <w:rPr>
                <w:sz w:val="22"/>
                <w:szCs w:val="22"/>
              </w:rPr>
              <w:t>.</w:t>
            </w:r>
          </w:p>
          <w:p w14:paraId="4B498698" w14:textId="04CD8742" w:rsidR="009A1275" w:rsidRPr="00263339" w:rsidRDefault="009A1275" w:rsidP="00963900">
            <w:pPr>
              <w:pStyle w:val="Tabletext"/>
              <w:tabs>
                <w:tab w:val="clear" w:pos="284"/>
              </w:tabs>
              <w:ind w:left="283" w:hanging="391"/>
              <w:rPr>
                <w:sz w:val="22"/>
                <w:szCs w:val="22"/>
              </w:rPr>
            </w:pPr>
          </w:p>
        </w:tc>
      </w:tr>
      <w:tr w:rsidR="00FA46A0" w:rsidRPr="00263339" w14:paraId="669AAEA7" w14:textId="77777777">
        <w:trPr>
          <w:cantSplit/>
          <w:trHeight w:val="618"/>
        </w:trPr>
        <w:tc>
          <w:tcPr>
            <w:tcW w:w="1134" w:type="dxa"/>
          </w:tcPr>
          <w:p w14:paraId="1DC5B8B0" w14:textId="77777777" w:rsidR="00FA46A0" w:rsidRPr="00263339" w:rsidRDefault="00B61012">
            <w:pPr>
              <w:pStyle w:val="Tabletext"/>
              <w:rPr>
                <w:sz w:val="22"/>
                <w:szCs w:val="22"/>
              </w:rPr>
            </w:pPr>
            <w:r w:rsidRPr="00263339">
              <w:rPr>
                <w:b/>
                <w:sz w:val="22"/>
                <w:szCs w:val="22"/>
              </w:rPr>
              <w:t>Subject:</w:t>
            </w:r>
          </w:p>
        </w:tc>
        <w:tc>
          <w:tcPr>
            <w:tcW w:w="8647" w:type="dxa"/>
            <w:gridSpan w:val="4"/>
          </w:tcPr>
          <w:p w14:paraId="454AEE09" w14:textId="48317A81" w:rsidR="00FA46A0" w:rsidRPr="00263339" w:rsidRDefault="00FD64E8">
            <w:pPr>
              <w:pStyle w:val="Tabletext"/>
              <w:rPr>
                <w:b/>
                <w:bCs/>
                <w:sz w:val="22"/>
                <w:szCs w:val="22"/>
              </w:rPr>
            </w:pPr>
            <w:r w:rsidRPr="00263339">
              <w:rPr>
                <w:b/>
                <w:bCs/>
                <w:sz w:val="22"/>
                <w:szCs w:val="22"/>
              </w:rPr>
              <w:t>Implementation of Recommendation ITU-T E.156 on Guidelines for ITU-T action on reported misuse of ITU-T E.164 number resources</w:t>
            </w:r>
          </w:p>
        </w:tc>
      </w:tr>
    </w:tbl>
    <w:p w14:paraId="51739827" w14:textId="77777777" w:rsidR="00FA46A0" w:rsidRPr="00263339" w:rsidRDefault="00B61012" w:rsidP="005925F6">
      <w:pPr>
        <w:spacing w:before="240"/>
        <w:rPr>
          <w:sz w:val="22"/>
          <w:szCs w:val="22"/>
        </w:rPr>
      </w:pPr>
      <w:r w:rsidRPr="00263339">
        <w:rPr>
          <w:sz w:val="22"/>
          <w:szCs w:val="22"/>
        </w:rPr>
        <w:t>Dear Sir/Madam,</w:t>
      </w:r>
    </w:p>
    <w:p w14:paraId="5DD2FB65" w14:textId="77CF3A58" w:rsidR="005925F6" w:rsidRPr="00263339" w:rsidRDefault="00956102" w:rsidP="005925F6">
      <w:pPr>
        <w:rPr>
          <w:sz w:val="22"/>
          <w:szCs w:val="22"/>
          <w:lang w:val="en-US"/>
        </w:rPr>
      </w:pPr>
      <w:hyperlink r:id="rId12" w:history="1">
        <w:r w:rsidR="005925F6" w:rsidRPr="005925F6">
          <w:rPr>
            <w:rStyle w:val="Hyperlink"/>
            <w:sz w:val="22"/>
            <w:szCs w:val="22"/>
            <w:lang w:val="en-US"/>
          </w:rPr>
          <w:t>Recommendation ITU-T E.156</w:t>
        </w:r>
        <w:r w:rsidR="003846B1" w:rsidRPr="00263339">
          <w:rPr>
            <w:rStyle w:val="Hyperlink"/>
            <w:sz w:val="22"/>
            <w:szCs w:val="22"/>
            <w:lang w:val="en-US"/>
          </w:rPr>
          <w:t xml:space="preserve"> (2020)</w:t>
        </w:r>
      </w:hyperlink>
      <w:r w:rsidR="005925F6" w:rsidRPr="005925F6">
        <w:rPr>
          <w:sz w:val="22"/>
          <w:szCs w:val="22"/>
          <w:lang w:val="en-US"/>
        </w:rPr>
        <w:t xml:space="preserve"> provides guidelines for actions by Administrations, ITU members and Associates and by the Director of the Telecommunication Standardization Bureau (TSB) upon receipt of reports of alleged misuse of ITU</w:t>
      </w:r>
      <w:r w:rsidR="005925F6" w:rsidRPr="005925F6">
        <w:rPr>
          <w:sz w:val="22"/>
          <w:szCs w:val="22"/>
          <w:lang w:val="en-US"/>
        </w:rPr>
        <w:noBreakHyphen/>
        <w:t xml:space="preserve">T E.164 numbering resources. It covers allegations of misuse that are both directly assigned by the </w:t>
      </w:r>
      <w:r w:rsidR="00672E93">
        <w:rPr>
          <w:sz w:val="22"/>
          <w:szCs w:val="22"/>
          <w:lang w:val="en-US"/>
        </w:rPr>
        <w:t>International Telecommunication Union (</w:t>
      </w:r>
      <w:r w:rsidR="005925F6" w:rsidRPr="005925F6">
        <w:rPr>
          <w:sz w:val="22"/>
          <w:szCs w:val="22"/>
          <w:lang w:val="en-US"/>
        </w:rPr>
        <w:t>ITU</w:t>
      </w:r>
      <w:r w:rsidR="00672E93">
        <w:rPr>
          <w:sz w:val="22"/>
          <w:szCs w:val="22"/>
          <w:lang w:val="en-US"/>
        </w:rPr>
        <w:t>)</w:t>
      </w:r>
      <w:r w:rsidR="005925F6" w:rsidRPr="005925F6">
        <w:rPr>
          <w:sz w:val="22"/>
          <w:szCs w:val="22"/>
          <w:lang w:val="en-US"/>
        </w:rPr>
        <w:t xml:space="preserve">, and those that are indirectly assigned under the responsibility of Member States, as indicated in </w:t>
      </w:r>
      <w:hyperlink r:id="rId13" w:history="1">
        <w:r w:rsidR="003846B1" w:rsidRPr="00263339">
          <w:rPr>
            <w:rStyle w:val="Hyperlink"/>
            <w:sz w:val="22"/>
            <w:szCs w:val="22"/>
            <w:lang w:val="en-US"/>
          </w:rPr>
          <w:t>WTSA Resolution 20 (Rev. Geneva, 2022)</w:t>
        </w:r>
      </w:hyperlink>
      <w:r w:rsidR="005925F6" w:rsidRPr="005925F6">
        <w:rPr>
          <w:sz w:val="22"/>
          <w:szCs w:val="22"/>
          <w:lang w:val="en-US"/>
        </w:rPr>
        <w:t>.</w:t>
      </w:r>
      <w:r w:rsidR="00733341">
        <w:rPr>
          <w:sz w:val="22"/>
          <w:szCs w:val="22"/>
          <w:lang w:val="en-US"/>
        </w:rPr>
        <w:t xml:space="preserve"> The ITU webpage on misuse of an E.164 international numbering resource can be found at: </w:t>
      </w:r>
      <w:r w:rsidR="00733341">
        <w:rPr>
          <w:sz w:val="22"/>
          <w:szCs w:val="22"/>
          <w:lang w:val="en-US"/>
        </w:rPr>
        <w:br/>
      </w:r>
      <w:hyperlink r:id="rId14" w:history="1">
        <w:r w:rsidR="00733341" w:rsidRPr="00A90F47">
          <w:rPr>
            <w:rStyle w:val="Hyperlink"/>
            <w:sz w:val="22"/>
            <w:szCs w:val="22"/>
            <w:lang w:val="en-US"/>
          </w:rPr>
          <w:t>https://www.itu.int/en/ITU-T/inr/misuse/Pages/default.aspx</w:t>
        </w:r>
      </w:hyperlink>
      <w:r w:rsidR="00733341">
        <w:rPr>
          <w:sz w:val="22"/>
          <w:szCs w:val="22"/>
          <w:lang w:val="en-US"/>
        </w:rPr>
        <w:t xml:space="preserve"> </w:t>
      </w:r>
    </w:p>
    <w:p w14:paraId="02033F17" w14:textId="77777777" w:rsidR="005925F6" w:rsidRPr="005925F6" w:rsidRDefault="005925F6" w:rsidP="005925F6">
      <w:pPr>
        <w:rPr>
          <w:sz w:val="22"/>
          <w:szCs w:val="22"/>
          <w:lang w:val="en-US"/>
        </w:rPr>
      </w:pPr>
      <w:r w:rsidRPr="005925F6">
        <w:rPr>
          <w:sz w:val="22"/>
          <w:szCs w:val="22"/>
          <w:lang w:val="en-US"/>
        </w:rPr>
        <w:t xml:space="preserve">Different types of ITU-T E.164 numbering resources have different assignment criteria, and therefore different forms of misuse may be identified. There are two distinct situations: </w:t>
      </w:r>
    </w:p>
    <w:p w14:paraId="51981053" w14:textId="35813709" w:rsidR="005925F6" w:rsidRPr="00263339" w:rsidRDefault="005925F6" w:rsidP="008A1CCA">
      <w:pPr>
        <w:pStyle w:val="enumlev1"/>
      </w:pPr>
      <w:r w:rsidRPr="00263339">
        <w:t>1)</w:t>
      </w:r>
      <w:r w:rsidR="009A1275" w:rsidRPr="00263339">
        <w:tab/>
      </w:r>
      <w:r w:rsidRPr="00263339">
        <w:t xml:space="preserve">misuse of numbers directly assigned by TSB to entities who meet the assignment criteria established by the relevant ITU-T </w:t>
      </w:r>
      <w:proofErr w:type="gramStart"/>
      <w:r w:rsidRPr="00263339">
        <w:t>Recommendations;</w:t>
      </w:r>
      <w:proofErr w:type="gramEnd"/>
      <w:r w:rsidRPr="00263339">
        <w:t xml:space="preserve"> </w:t>
      </w:r>
    </w:p>
    <w:p w14:paraId="60905F94" w14:textId="77777777" w:rsidR="008A1CCA" w:rsidRPr="00263339" w:rsidRDefault="005925F6" w:rsidP="008A1CCA">
      <w:pPr>
        <w:pStyle w:val="enumlev1"/>
      </w:pPr>
      <w:r w:rsidRPr="00263339">
        <w:t>2)</w:t>
      </w:r>
      <w:r w:rsidR="009A1275" w:rsidRPr="00263339">
        <w:tab/>
      </w:r>
      <w:r w:rsidRPr="00263339">
        <w:t xml:space="preserve">misuse of numbers that are assigned by national authorities (referred to hereafter as numbers indirectly assigned by TSB). </w:t>
      </w:r>
    </w:p>
    <w:p w14:paraId="51B7181F" w14:textId="35195873" w:rsidR="005925F6" w:rsidRPr="00263339" w:rsidRDefault="005925F6" w:rsidP="008A1CCA">
      <w:pPr>
        <w:rPr>
          <w:sz w:val="22"/>
          <w:szCs w:val="22"/>
          <w:lang w:val="en-US"/>
        </w:rPr>
      </w:pPr>
      <w:r w:rsidRPr="00263339">
        <w:rPr>
          <w:sz w:val="22"/>
          <w:szCs w:val="22"/>
          <w:lang w:val="en-US"/>
        </w:rPr>
        <w:t>The procedures</w:t>
      </w:r>
      <w:r w:rsidR="008A1CCA" w:rsidRPr="00263339">
        <w:rPr>
          <w:sz w:val="22"/>
          <w:szCs w:val="22"/>
          <w:lang w:val="en-US"/>
        </w:rPr>
        <w:t xml:space="preserve"> for submission of reports of possible misuse of directly and indirectly assigned resources</w:t>
      </w:r>
      <w:r w:rsidRPr="00263339">
        <w:rPr>
          <w:sz w:val="22"/>
          <w:szCs w:val="22"/>
          <w:lang w:val="en-US"/>
        </w:rPr>
        <w:t xml:space="preserve"> are specified in clauses 10 and 11 of Recommendation ITU-T E.156</w:t>
      </w:r>
      <w:r w:rsidR="008A1CCA" w:rsidRPr="00263339">
        <w:rPr>
          <w:sz w:val="22"/>
          <w:szCs w:val="22"/>
          <w:lang w:val="en-US"/>
        </w:rPr>
        <w:t>, respectively</w:t>
      </w:r>
      <w:r w:rsidRPr="00263339">
        <w:rPr>
          <w:sz w:val="22"/>
          <w:szCs w:val="22"/>
          <w:lang w:val="en-US"/>
        </w:rPr>
        <w:t>.</w:t>
      </w:r>
    </w:p>
    <w:p w14:paraId="1FA68711" w14:textId="07141E74" w:rsidR="009A1275" w:rsidRPr="00263339" w:rsidRDefault="005925F6" w:rsidP="005925F6">
      <w:pPr>
        <w:rPr>
          <w:sz w:val="22"/>
          <w:szCs w:val="22"/>
        </w:rPr>
      </w:pPr>
      <w:r w:rsidRPr="005925F6">
        <w:rPr>
          <w:sz w:val="22"/>
          <w:szCs w:val="22"/>
        </w:rPr>
        <w:t>An Administration, operating agency (OA) or other assignee that believes misuse of a directly assigned numbering resource is occurring should contact the TSB Director as specified in Recommendation ITU</w:t>
      </w:r>
      <w:r w:rsidRPr="005925F6">
        <w:rPr>
          <w:sz w:val="22"/>
          <w:szCs w:val="22"/>
        </w:rPr>
        <w:noBreakHyphen/>
        <w:t xml:space="preserve">T E.156. </w:t>
      </w:r>
      <w:r w:rsidR="008A1CCA" w:rsidRPr="00263339">
        <w:rPr>
          <w:sz w:val="22"/>
          <w:szCs w:val="22"/>
        </w:rPr>
        <w:t>An ITU user account with appropriate TIES permissions is required to access the</w:t>
      </w:r>
      <w:r w:rsidRPr="005925F6">
        <w:rPr>
          <w:sz w:val="22"/>
          <w:szCs w:val="22"/>
        </w:rPr>
        <w:t xml:space="preserve"> </w:t>
      </w:r>
      <w:r w:rsidR="008A1CCA" w:rsidRPr="00263339">
        <w:rPr>
          <w:sz w:val="22"/>
          <w:szCs w:val="22"/>
        </w:rPr>
        <w:t xml:space="preserve">reporting </w:t>
      </w:r>
      <w:r w:rsidRPr="005925F6">
        <w:rPr>
          <w:sz w:val="22"/>
          <w:szCs w:val="22"/>
        </w:rPr>
        <w:t>form</w:t>
      </w:r>
      <w:r w:rsidR="008A1CCA" w:rsidRPr="00263339">
        <w:rPr>
          <w:sz w:val="22"/>
          <w:szCs w:val="22"/>
        </w:rPr>
        <w:t xml:space="preserve"> at: </w:t>
      </w:r>
      <w:hyperlink r:id="rId15" w:history="1">
        <w:r w:rsidR="009A1275" w:rsidRPr="00263339">
          <w:rPr>
            <w:rStyle w:val="Hyperlink"/>
            <w:sz w:val="22"/>
            <w:szCs w:val="22"/>
          </w:rPr>
          <w:t>https://www.itu.int/net/ITU-T/misuse/secured/Default.aspx</w:t>
        </w:r>
      </w:hyperlink>
    </w:p>
    <w:p w14:paraId="3B665500" w14:textId="7A1FA5A4" w:rsidR="005925F6" w:rsidRPr="005925F6" w:rsidRDefault="005925F6" w:rsidP="005925F6">
      <w:pPr>
        <w:rPr>
          <w:sz w:val="22"/>
          <w:szCs w:val="22"/>
          <w:lang w:val="en-US"/>
        </w:rPr>
      </w:pPr>
      <w:r w:rsidRPr="005925F6">
        <w:rPr>
          <w:sz w:val="22"/>
          <w:szCs w:val="22"/>
          <w:lang w:val="en-US"/>
        </w:rPr>
        <w:t xml:space="preserve">An </w:t>
      </w:r>
      <w:r w:rsidR="00672E93">
        <w:rPr>
          <w:sz w:val="22"/>
          <w:szCs w:val="22"/>
          <w:lang w:val="en-US"/>
        </w:rPr>
        <w:t>A</w:t>
      </w:r>
      <w:r w:rsidRPr="005925F6">
        <w:rPr>
          <w:sz w:val="22"/>
          <w:szCs w:val="22"/>
          <w:lang w:val="en-US"/>
        </w:rPr>
        <w:t xml:space="preserve">dministration, OA or other assignee that believes misuse of an indirectly assigned international numbering resource is occurring should: </w:t>
      </w:r>
    </w:p>
    <w:p w14:paraId="5FD7BEF5" w14:textId="3F1501A7" w:rsidR="005925F6" w:rsidRPr="00263339" w:rsidRDefault="005925F6" w:rsidP="008A1CCA">
      <w:pPr>
        <w:pStyle w:val="enumlev1"/>
      </w:pPr>
      <w:r w:rsidRPr="00263339">
        <w:t>a)</w:t>
      </w:r>
      <w:r w:rsidRPr="00263339">
        <w:tab/>
      </w:r>
      <w:r w:rsidR="002E1962" w:rsidRPr="00263339">
        <w:t xml:space="preserve">Directly </w:t>
      </w:r>
      <w:r w:rsidRPr="00263339">
        <w:t xml:space="preserve">contact the OA believed to be involved in the misuse, if possible. </w:t>
      </w:r>
    </w:p>
    <w:p w14:paraId="72C5B4A9" w14:textId="5CF65193" w:rsidR="005925F6" w:rsidRPr="00263339" w:rsidRDefault="005925F6" w:rsidP="008A1CCA">
      <w:pPr>
        <w:pStyle w:val="enumlev1"/>
      </w:pPr>
      <w:r w:rsidRPr="00263339">
        <w:t>b)</w:t>
      </w:r>
      <w:r w:rsidRPr="00263339">
        <w:tab/>
      </w:r>
      <w:r w:rsidR="002E1962" w:rsidRPr="00263339">
        <w:t xml:space="preserve">Contact </w:t>
      </w:r>
      <w:r w:rsidRPr="00263339">
        <w:t xml:space="preserve">the administration of the OA that is believed to be involved in the misuse. </w:t>
      </w:r>
    </w:p>
    <w:p w14:paraId="25B0BAAC" w14:textId="37D8DA06" w:rsidR="005925F6" w:rsidRPr="00263339" w:rsidRDefault="005925F6" w:rsidP="008A1CCA">
      <w:pPr>
        <w:pStyle w:val="enumlev1"/>
      </w:pPr>
      <w:r w:rsidRPr="00263339">
        <w:rPr>
          <w:lang w:val="en-GB"/>
        </w:rPr>
        <w:t>c)</w:t>
      </w:r>
      <w:r w:rsidRPr="00263339">
        <w:rPr>
          <w:lang w:val="en-GB"/>
        </w:rPr>
        <w:tab/>
      </w:r>
      <w:r w:rsidR="002E1962" w:rsidRPr="00263339">
        <w:rPr>
          <w:lang w:val="en-GB"/>
        </w:rPr>
        <w:t xml:space="preserve">If </w:t>
      </w:r>
      <w:r w:rsidRPr="00263339">
        <w:rPr>
          <w:lang w:val="en-GB"/>
        </w:rPr>
        <w:t>they</w:t>
      </w:r>
      <w:r w:rsidRPr="00263339">
        <w:t xml:space="preserve"> are an ITU member, submit a misuse report to TSB using the TSB website. The misuse report submitted to TSB will be sent to the mailing list created for this purpose</w:t>
      </w:r>
      <w:r w:rsidR="002E1962" w:rsidRPr="00263339">
        <w:t xml:space="preserve"> (details below)</w:t>
      </w:r>
      <w:r w:rsidRPr="00263339">
        <w:t xml:space="preserve">, so that originating networks are aware and can take actions to avoid routing calls to the numbers that are </w:t>
      </w:r>
      <w:r w:rsidR="002E1962" w:rsidRPr="00263339">
        <w:t xml:space="preserve">potentially </w:t>
      </w:r>
      <w:r w:rsidRPr="00263339">
        <w:t>being misused.</w:t>
      </w:r>
    </w:p>
    <w:p w14:paraId="666AB27C" w14:textId="31E75963" w:rsidR="00672E93" w:rsidRDefault="00672E93" w:rsidP="005925F6">
      <w:pPr>
        <w:rPr>
          <w:sz w:val="22"/>
          <w:szCs w:val="22"/>
          <w:lang w:val="en-US"/>
        </w:rPr>
      </w:pPr>
      <w:proofErr w:type="gramStart"/>
      <w:r>
        <w:rPr>
          <w:sz w:val="22"/>
          <w:szCs w:val="22"/>
          <w:lang w:val="en-US"/>
        </w:rPr>
        <w:lastRenderedPageBreak/>
        <w:t xml:space="preserve">In </w:t>
      </w:r>
      <w:r w:rsidRPr="005925F6">
        <w:rPr>
          <w:sz w:val="22"/>
          <w:szCs w:val="22"/>
          <w:lang w:val="en-US"/>
        </w:rPr>
        <w:t>order to</w:t>
      </w:r>
      <w:proofErr w:type="gramEnd"/>
      <w:r w:rsidRPr="005925F6">
        <w:rPr>
          <w:sz w:val="22"/>
          <w:szCs w:val="22"/>
          <w:lang w:val="en-US"/>
        </w:rPr>
        <w:t xml:space="preserve"> implement the provisions of this Recommendation, TSB has created a new mailing list that is open only to ITU members:</w:t>
      </w:r>
    </w:p>
    <w:p w14:paraId="720CCA53" w14:textId="77777777" w:rsidR="00672E93" w:rsidRPr="00263339" w:rsidRDefault="00672E93" w:rsidP="00672E93">
      <w:pPr>
        <w:pStyle w:val="enumlev1"/>
      </w:pPr>
      <w:r w:rsidRPr="00263339">
        <w:t>–</w:t>
      </w:r>
      <w:r w:rsidRPr="00263339">
        <w:tab/>
        <w:t xml:space="preserve">Subscribe to the mailing list </w:t>
      </w:r>
      <w:hyperlink r:id="rId16" w:history="1">
        <w:r w:rsidRPr="00263339">
          <w:rPr>
            <w:rStyle w:val="Hyperlink"/>
          </w:rPr>
          <w:t>here</w:t>
        </w:r>
      </w:hyperlink>
      <w:r w:rsidRPr="00263339">
        <w:t>.</w:t>
      </w:r>
    </w:p>
    <w:p w14:paraId="6FBACB89" w14:textId="77777777" w:rsidR="00672E93" w:rsidRPr="00263339" w:rsidRDefault="00672E93" w:rsidP="00672E93">
      <w:pPr>
        <w:pStyle w:val="enumlev1"/>
      </w:pPr>
      <w:r w:rsidRPr="00263339">
        <w:t>–</w:t>
      </w:r>
      <w:r w:rsidRPr="00263339">
        <w:tab/>
        <w:t xml:space="preserve">Mailing list archive is </w:t>
      </w:r>
      <w:hyperlink r:id="rId17" w:history="1">
        <w:r w:rsidRPr="00263339">
          <w:rPr>
            <w:rStyle w:val="Hyperlink"/>
          </w:rPr>
          <w:t>here</w:t>
        </w:r>
      </w:hyperlink>
      <w:r w:rsidRPr="00263339">
        <w:t>.</w:t>
      </w:r>
    </w:p>
    <w:p w14:paraId="5F88076A" w14:textId="2A631925" w:rsidR="009A1275" w:rsidRPr="005925F6" w:rsidRDefault="005925F6" w:rsidP="005925F6">
      <w:pPr>
        <w:rPr>
          <w:sz w:val="22"/>
          <w:szCs w:val="22"/>
          <w:lang w:val="en-US"/>
        </w:rPr>
      </w:pPr>
      <w:r w:rsidRPr="005925F6">
        <w:rPr>
          <w:sz w:val="22"/>
          <w:szCs w:val="22"/>
          <w:lang w:val="en-US"/>
        </w:rPr>
        <w:t xml:space="preserve">All reports of misuse of indirectly assigned international numbering resources that are reported to TSB will be posted to that mailing list. </w:t>
      </w:r>
      <w:r w:rsidR="002E1962" w:rsidRPr="00263339">
        <w:rPr>
          <w:sz w:val="22"/>
          <w:szCs w:val="22"/>
          <w:lang w:val="en-US"/>
        </w:rPr>
        <w:t xml:space="preserve">Note that the </w:t>
      </w:r>
      <w:r w:rsidR="00672E93" w:rsidRPr="006B1D5F">
        <w:rPr>
          <w:sz w:val="22"/>
          <w:szCs w:val="22"/>
          <w:lang w:val="en-US"/>
        </w:rPr>
        <w:t>misusereports@lists.itu.int</w:t>
      </w:r>
      <w:r w:rsidR="00672E93">
        <w:rPr>
          <w:sz w:val="22"/>
          <w:szCs w:val="22"/>
          <w:lang w:val="en-US"/>
        </w:rPr>
        <w:t xml:space="preserve"> </w:t>
      </w:r>
      <w:r w:rsidR="002E1962" w:rsidRPr="00263339">
        <w:rPr>
          <w:sz w:val="22"/>
          <w:szCs w:val="22"/>
          <w:lang w:val="en-US"/>
        </w:rPr>
        <w:t xml:space="preserve">mailing list will only distribute messages sent from TSB. A separate mailing list, </w:t>
      </w:r>
      <w:hyperlink r:id="rId18" w:history="1">
        <w:r w:rsidR="002E1962" w:rsidRPr="00263339">
          <w:rPr>
            <w:rStyle w:val="Hyperlink"/>
            <w:sz w:val="22"/>
            <w:szCs w:val="22"/>
            <w:lang w:val="en-US"/>
          </w:rPr>
          <w:t>t22sg2misuse@lists.itu.int</w:t>
        </w:r>
      </w:hyperlink>
      <w:r w:rsidR="002E1962" w:rsidRPr="00263339">
        <w:rPr>
          <w:sz w:val="22"/>
          <w:szCs w:val="22"/>
          <w:lang w:val="en-US"/>
        </w:rPr>
        <w:t xml:space="preserve">, is available for discussion among members (subscribe </w:t>
      </w:r>
      <w:hyperlink r:id="rId19" w:history="1">
        <w:r w:rsidR="002E1962" w:rsidRPr="00263339">
          <w:rPr>
            <w:rStyle w:val="Hyperlink"/>
            <w:sz w:val="22"/>
            <w:szCs w:val="22"/>
            <w:lang w:val="en-US"/>
          </w:rPr>
          <w:t>here</w:t>
        </w:r>
      </w:hyperlink>
      <w:r w:rsidR="002E1962" w:rsidRPr="00263339">
        <w:rPr>
          <w:sz w:val="22"/>
          <w:szCs w:val="22"/>
          <w:lang w:val="en-US"/>
        </w:rPr>
        <w:t xml:space="preserve">; archive </w:t>
      </w:r>
      <w:hyperlink r:id="rId20" w:history="1">
        <w:r w:rsidR="002E1962" w:rsidRPr="00263339">
          <w:rPr>
            <w:rStyle w:val="Hyperlink"/>
            <w:sz w:val="22"/>
            <w:szCs w:val="22"/>
            <w:lang w:val="en-US"/>
          </w:rPr>
          <w:t>here</w:t>
        </w:r>
      </w:hyperlink>
      <w:r w:rsidR="002E1962" w:rsidRPr="00263339">
        <w:rPr>
          <w:sz w:val="22"/>
          <w:szCs w:val="22"/>
          <w:lang w:val="en-US"/>
        </w:rPr>
        <w:t>).</w:t>
      </w:r>
    </w:p>
    <w:p w14:paraId="442900D0" w14:textId="6C30F05F" w:rsidR="005925F6" w:rsidRPr="005925F6" w:rsidRDefault="005925F6" w:rsidP="005925F6">
      <w:pPr>
        <w:rPr>
          <w:sz w:val="22"/>
          <w:szCs w:val="22"/>
          <w:lang w:val="en-US"/>
        </w:rPr>
      </w:pPr>
      <w:r w:rsidRPr="005925F6">
        <w:rPr>
          <w:sz w:val="22"/>
          <w:szCs w:val="22"/>
          <w:lang w:val="en-US"/>
        </w:rPr>
        <w:t>Furthermore, TSB is hereby requesting that Administrations and OAs that are members of ITU, and assignees, notify to TSB the Numbering focal point for their organization. The information will be published on the ITU website</w:t>
      </w:r>
      <w:r w:rsidR="002E1962" w:rsidRPr="00263339">
        <w:rPr>
          <w:sz w:val="22"/>
          <w:szCs w:val="22"/>
          <w:lang w:val="en-US"/>
        </w:rPr>
        <w:t xml:space="preserve">: </w:t>
      </w:r>
      <w:hyperlink r:id="rId21" w:history="1">
        <w:r w:rsidR="002E1962" w:rsidRPr="00263339">
          <w:rPr>
            <w:rStyle w:val="Hyperlink"/>
            <w:sz w:val="22"/>
            <w:szCs w:val="22"/>
            <w:lang w:val="en-US"/>
          </w:rPr>
          <w:t>https://www.itu.int/en/ITU-T/inr/misuse/Pages/focal-points.aspx</w:t>
        </w:r>
      </w:hyperlink>
      <w:r w:rsidR="002E1962" w:rsidRPr="00263339">
        <w:rPr>
          <w:sz w:val="22"/>
          <w:szCs w:val="22"/>
          <w:lang w:val="en-US"/>
        </w:rPr>
        <w:t>, unless</w:t>
      </w:r>
      <w:r w:rsidRPr="005925F6">
        <w:rPr>
          <w:sz w:val="22"/>
          <w:szCs w:val="22"/>
          <w:lang w:val="en-US"/>
        </w:rPr>
        <w:t xml:space="preserve"> confidentiality is requested, in which case the </w:t>
      </w:r>
      <w:r w:rsidR="002E1962" w:rsidRPr="00263339">
        <w:rPr>
          <w:sz w:val="22"/>
          <w:szCs w:val="22"/>
          <w:lang w:val="en-US"/>
        </w:rPr>
        <w:t>contact details will be retained within TSB</w:t>
      </w:r>
      <w:r w:rsidRPr="005925F6">
        <w:rPr>
          <w:sz w:val="22"/>
          <w:szCs w:val="22"/>
          <w:lang w:val="en-US"/>
        </w:rPr>
        <w:t xml:space="preserve">. Kindly designate the Numbering focal point for your </w:t>
      </w:r>
      <w:r w:rsidR="006B1D5F">
        <w:rPr>
          <w:sz w:val="22"/>
          <w:szCs w:val="22"/>
          <w:lang w:val="en-US"/>
        </w:rPr>
        <w:t>o</w:t>
      </w:r>
      <w:r w:rsidR="006B1D5F" w:rsidRPr="005925F6">
        <w:rPr>
          <w:sz w:val="22"/>
          <w:szCs w:val="22"/>
          <w:lang w:val="en-US"/>
        </w:rPr>
        <w:t>rganization</w:t>
      </w:r>
      <w:r w:rsidRPr="005925F6">
        <w:rPr>
          <w:sz w:val="22"/>
          <w:szCs w:val="22"/>
          <w:lang w:val="en-US"/>
        </w:rPr>
        <w:t xml:space="preserve">, providing the following information to </w:t>
      </w:r>
      <w:bookmarkStart w:id="0" w:name="_Hlk67303898"/>
      <w:r w:rsidRPr="005925F6">
        <w:rPr>
          <w:sz w:val="22"/>
          <w:szCs w:val="22"/>
          <w:lang w:val="en-US"/>
        </w:rPr>
        <w:fldChar w:fldCharType="begin"/>
      </w:r>
      <w:r w:rsidRPr="005925F6">
        <w:rPr>
          <w:sz w:val="22"/>
          <w:szCs w:val="22"/>
          <w:lang w:val="en-US"/>
        </w:rPr>
        <w:instrText xml:space="preserve"> HYPERLINK "mailto:numbering@itu.int" </w:instrText>
      </w:r>
      <w:r w:rsidRPr="005925F6">
        <w:rPr>
          <w:sz w:val="22"/>
          <w:szCs w:val="22"/>
          <w:lang w:val="en-US"/>
        </w:rPr>
      </w:r>
      <w:r w:rsidRPr="005925F6">
        <w:rPr>
          <w:sz w:val="22"/>
          <w:szCs w:val="22"/>
          <w:lang w:val="en-US"/>
        </w:rPr>
        <w:fldChar w:fldCharType="separate"/>
      </w:r>
      <w:r w:rsidRPr="005925F6">
        <w:rPr>
          <w:rStyle w:val="Hyperlink"/>
          <w:sz w:val="22"/>
          <w:szCs w:val="22"/>
          <w:lang w:val="en-US"/>
        </w:rPr>
        <w:t>numbering@itu.int</w:t>
      </w:r>
      <w:bookmarkEnd w:id="0"/>
      <w:r w:rsidRPr="005925F6">
        <w:rPr>
          <w:sz w:val="22"/>
          <w:szCs w:val="22"/>
        </w:rPr>
        <w:fldChar w:fldCharType="end"/>
      </w:r>
      <w:r w:rsidRPr="005925F6">
        <w:rPr>
          <w:sz w:val="22"/>
          <w:szCs w:val="22"/>
          <w:lang w:val="en-US"/>
        </w:rPr>
        <w:t>:</w:t>
      </w:r>
    </w:p>
    <w:p w14:paraId="74110C84" w14:textId="4AEB558A" w:rsidR="005925F6" w:rsidRPr="00263339" w:rsidRDefault="005925F6" w:rsidP="008A1CCA">
      <w:pPr>
        <w:pStyle w:val="enumlev1"/>
      </w:pPr>
      <w:r w:rsidRPr="00263339">
        <w:t>–</w:t>
      </w:r>
      <w:r w:rsidRPr="00263339">
        <w:tab/>
        <w:t>First name, family name, e-mail address and/or ITU account username.</w:t>
      </w:r>
      <w:r w:rsidRPr="00263339">
        <w:br/>
        <w:t xml:space="preserve">Alternatively, </w:t>
      </w:r>
      <w:bookmarkStart w:id="1" w:name="_Hlk67303744"/>
      <w:r w:rsidRPr="00263339">
        <w:t xml:space="preserve">a dedicated email address for numbering misuse may be provided </w:t>
      </w:r>
      <w:bookmarkEnd w:id="1"/>
      <w:r w:rsidRPr="00263339">
        <w:t>instead of a personal email address.</w:t>
      </w:r>
    </w:p>
    <w:p w14:paraId="4D1A25CE" w14:textId="6A02805F" w:rsidR="005925F6" w:rsidRPr="00263339" w:rsidRDefault="005925F6" w:rsidP="008A1CCA">
      <w:pPr>
        <w:pStyle w:val="enumlev1"/>
      </w:pPr>
      <w:r w:rsidRPr="00263339">
        <w:t>–</w:t>
      </w:r>
      <w:r w:rsidRPr="00263339">
        <w:tab/>
        <w:t>Country and organization.</w:t>
      </w:r>
    </w:p>
    <w:p w14:paraId="7F29216E" w14:textId="1057ED97" w:rsidR="005925F6" w:rsidRPr="00263339" w:rsidRDefault="005925F6" w:rsidP="008A1CCA">
      <w:pPr>
        <w:pStyle w:val="enumlev1"/>
      </w:pPr>
      <w:r w:rsidRPr="00263339">
        <w:rPr>
          <w:lang w:val="en-GB"/>
        </w:rPr>
        <w:t>–</w:t>
      </w:r>
      <w:r w:rsidRPr="00263339">
        <w:rPr>
          <w:lang w:val="en-GB"/>
        </w:rPr>
        <w:tab/>
        <w:t>Whether</w:t>
      </w:r>
      <w:r w:rsidRPr="00263339">
        <w:t xml:space="preserve"> or not you wish these contact details to be visible publicly via the ITU website.</w:t>
      </w:r>
    </w:p>
    <w:p w14:paraId="5AA0E3DD" w14:textId="48C672C1" w:rsidR="00FA46A0" w:rsidRPr="00263339" w:rsidRDefault="005925F6" w:rsidP="00672E93">
      <w:pPr>
        <w:rPr>
          <w:sz w:val="22"/>
          <w:szCs w:val="22"/>
        </w:rPr>
      </w:pPr>
      <w:r w:rsidRPr="00263339">
        <w:rPr>
          <w:sz w:val="22"/>
          <w:szCs w:val="22"/>
          <w:lang w:val="en-US"/>
        </w:rPr>
        <w:t>If no specific information is provided, or if no contact can be made with the Numbering focal point, then questions relating to misuse reports will be addressed to the main ADMIN contact for your organization, as indicated</w:t>
      </w:r>
      <w:r w:rsidRPr="00263339" w:rsidDel="00151836">
        <w:rPr>
          <w:sz w:val="22"/>
          <w:szCs w:val="22"/>
          <w:lang w:val="en-US"/>
        </w:rPr>
        <w:t xml:space="preserve"> </w:t>
      </w:r>
      <w:r w:rsidRPr="00263339">
        <w:rPr>
          <w:sz w:val="22"/>
          <w:szCs w:val="22"/>
          <w:lang w:val="en-US"/>
        </w:rPr>
        <w:t xml:space="preserve">in the </w:t>
      </w:r>
      <w:hyperlink r:id="rId22" w:history="1">
        <w:r w:rsidRPr="00263339">
          <w:rPr>
            <w:rStyle w:val="Hyperlink"/>
            <w:sz w:val="22"/>
            <w:szCs w:val="22"/>
          </w:rPr>
          <w:t>Global Directory</w:t>
        </w:r>
      </w:hyperlink>
      <w:r w:rsidRPr="00263339">
        <w:rPr>
          <w:sz w:val="22"/>
          <w:szCs w:val="22"/>
          <w:lang w:val="en-US"/>
        </w:rPr>
        <w:t>.</w:t>
      </w:r>
    </w:p>
    <w:p w14:paraId="19DFD76A" w14:textId="68222F68" w:rsidR="00FA46A0" w:rsidRDefault="00B61012" w:rsidP="00672E93">
      <w:pPr>
        <w:rPr>
          <w:sz w:val="22"/>
          <w:szCs w:val="22"/>
        </w:rPr>
      </w:pPr>
      <w:r w:rsidRPr="00263339">
        <w:rPr>
          <w:sz w:val="22"/>
          <w:szCs w:val="22"/>
        </w:rPr>
        <w:t>Yours faithfully,</w:t>
      </w:r>
    </w:p>
    <w:p w14:paraId="117ECDA7" w14:textId="7553A830" w:rsidR="00672E93" w:rsidRDefault="00956102" w:rsidP="00672E93">
      <w:pPr>
        <w:rPr>
          <w:sz w:val="22"/>
          <w:szCs w:val="22"/>
        </w:rPr>
      </w:pPr>
      <w:r>
        <w:rPr>
          <w:noProof/>
          <w:sz w:val="22"/>
          <w:szCs w:val="22"/>
        </w:rPr>
        <w:drawing>
          <wp:anchor distT="0" distB="0" distL="114300" distR="114300" simplePos="0" relativeHeight="251659264" behindDoc="0" locked="0" layoutInCell="1" allowOverlap="1" wp14:anchorId="256822DD" wp14:editId="6ECD3D9C">
            <wp:simplePos x="0" y="0"/>
            <wp:positionH relativeFrom="column">
              <wp:posOffset>-1270</wp:posOffset>
            </wp:positionH>
            <wp:positionV relativeFrom="paragraph">
              <wp:posOffset>170180</wp:posOffset>
            </wp:positionV>
            <wp:extent cx="880534" cy="371950"/>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880534" cy="371950"/>
                    </a:xfrm>
                    <a:prstGeom prst="rect">
                      <a:avLst/>
                    </a:prstGeom>
                  </pic:spPr>
                </pic:pic>
              </a:graphicData>
            </a:graphic>
            <wp14:sizeRelH relativeFrom="margin">
              <wp14:pctWidth>0</wp14:pctWidth>
            </wp14:sizeRelH>
            <wp14:sizeRelV relativeFrom="margin">
              <wp14:pctHeight>0</wp14:pctHeight>
            </wp14:sizeRelV>
          </wp:anchor>
        </w:drawing>
      </w:r>
    </w:p>
    <w:p w14:paraId="49FC1073" w14:textId="76BDC285" w:rsidR="000B5AA8" w:rsidRDefault="000B5AA8" w:rsidP="00672E93">
      <w:pPr>
        <w:rPr>
          <w:sz w:val="22"/>
          <w:szCs w:val="22"/>
        </w:rPr>
      </w:pPr>
    </w:p>
    <w:p w14:paraId="509BD302" w14:textId="6B259127" w:rsidR="00672E93" w:rsidRPr="00263339" w:rsidRDefault="00672E93" w:rsidP="00672E93">
      <w:pPr>
        <w:rPr>
          <w:sz w:val="22"/>
          <w:szCs w:val="22"/>
        </w:rPr>
      </w:pPr>
    </w:p>
    <w:p w14:paraId="2D952C13" w14:textId="04607FDE" w:rsidR="00D62702" w:rsidRPr="007C080C" w:rsidRDefault="00CF4EE3" w:rsidP="009B2EB5">
      <w:pPr>
        <w:spacing w:before="0"/>
        <w:rPr>
          <w:sz w:val="22"/>
          <w:szCs w:val="22"/>
        </w:rPr>
      </w:pPr>
      <w:r w:rsidRPr="00263339">
        <w:rPr>
          <w:sz w:val="22"/>
          <w:szCs w:val="22"/>
          <w:lang w:val="en-US"/>
        </w:rPr>
        <w:t>Seizo Onoe</w:t>
      </w:r>
      <w:r w:rsidR="00B61012" w:rsidRPr="00263339">
        <w:rPr>
          <w:sz w:val="22"/>
          <w:szCs w:val="22"/>
        </w:rPr>
        <w:br/>
        <w:t>Director of the Telecommunication</w:t>
      </w:r>
      <w:r w:rsidR="00B61012" w:rsidRPr="00263339">
        <w:rPr>
          <w:sz w:val="22"/>
          <w:szCs w:val="22"/>
        </w:rPr>
        <w:br/>
        <w:t>Standardization Bureau</w:t>
      </w:r>
    </w:p>
    <w:sectPr w:rsidR="00D62702" w:rsidRPr="007C080C" w:rsidSect="00FA46A0">
      <w:headerReference w:type="default" r:id="rId24"/>
      <w:footerReference w:type="first" r:id="rId2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60BB" w14:textId="77777777" w:rsidR="0037437D" w:rsidRDefault="0037437D">
      <w:r>
        <w:separator/>
      </w:r>
    </w:p>
  </w:endnote>
  <w:endnote w:type="continuationSeparator" w:id="0">
    <w:p w14:paraId="77CD7C04" w14:textId="77777777" w:rsidR="0037437D" w:rsidRDefault="0037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4EC0" w14:textId="77777777" w:rsidR="0037437D" w:rsidRDefault="0037437D">
      <w:r>
        <w:t>____________________</w:t>
      </w:r>
    </w:p>
  </w:footnote>
  <w:footnote w:type="continuationSeparator" w:id="0">
    <w:p w14:paraId="231E8730" w14:textId="77777777" w:rsidR="0037437D" w:rsidRDefault="00374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0265" w14:textId="20EF3F4E"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 xml:space="preserve">TSB Circular </w:t>
    </w:r>
    <w:r w:rsidR="009A1275">
      <w:rPr>
        <w:noProof/>
      </w:rPr>
      <w:t>81</w:t>
    </w:r>
  </w:p>
  <w:p w14:paraId="1D768AB3" w14:textId="77777777" w:rsidR="00FA46A0" w:rsidRDefault="00FA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16cid:durableId="1197112239">
    <w:abstractNumId w:val="9"/>
  </w:num>
  <w:num w:numId="2" w16cid:durableId="418454494">
    <w:abstractNumId w:val="7"/>
  </w:num>
  <w:num w:numId="3" w16cid:durableId="432088853">
    <w:abstractNumId w:val="6"/>
  </w:num>
  <w:num w:numId="4" w16cid:durableId="1662587651">
    <w:abstractNumId w:val="5"/>
  </w:num>
  <w:num w:numId="5" w16cid:durableId="102960939">
    <w:abstractNumId w:val="4"/>
  </w:num>
  <w:num w:numId="6" w16cid:durableId="1086463945">
    <w:abstractNumId w:val="8"/>
  </w:num>
  <w:num w:numId="7" w16cid:durableId="212161909">
    <w:abstractNumId w:val="3"/>
  </w:num>
  <w:num w:numId="8" w16cid:durableId="374736138">
    <w:abstractNumId w:val="2"/>
  </w:num>
  <w:num w:numId="9" w16cid:durableId="1111972862">
    <w:abstractNumId w:val="1"/>
  </w:num>
  <w:num w:numId="10" w16cid:durableId="69739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F4"/>
    <w:rsid w:val="00022E6B"/>
    <w:rsid w:val="000A2454"/>
    <w:rsid w:val="000B15C8"/>
    <w:rsid w:val="000B5AA8"/>
    <w:rsid w:val="001018E1"/>
    <w:rsid w:val="00112F37"/>
    <w:rsid w:val="001A34EC"/>
    <w:rsid w:val="00263339"/>
    <w:rsid w:val="002E1962"/>
    <w:rsid w:val="0031739D"/>
    <w:rsid w:val="00356B73"/>
    <w:rsid w:val="0037437D"/>
    <w:rsid w:val="003746A5"/>
    <w:rsid w:val="003846B1"/>
    <w:rsid w:val="003D4690"/>
    <w:rsid w:val="00453CEA"/>
    <w:rsid w:val="00487330"/>
    <w:rsid w:val="004E6165"/>
    <w:rsid w:val="00503ADB"/>
    <w:rsid w:val="005925F6"/>
    <w:rsid w:val="005E003C"/>
    <w:rsid w:val="00645862"/>
    <w:rsid w:val="00672E93"/>
    <w:rsid w:val="006B1D5F"/>
    <w:rsid w:val="00730A58"/>
    <w:rsid w:val="00733341"/>
    <w:rsid w:val="0079763E"/>
    <w:rsid w:val="007A65E8"/>
    <w:rsid w:val="007C080C"/>
    <w:rsid w:val="00854BCC"/>
    <w:rsid w:val="008A1CCA"/>
    <w:rsid w:val="00956102"/>
    <w:rsid w:val="00960974"/>
    <w:rsid w:val="00963900"/>
    <w:rsid w:val="009747C5"/>
    <w:rsid w:val="009A1275"/>
    <w:rsid w:val="009B2EB5"/>
    <w:rsid w:val="00A72C30"/>
    <w:rsid w:val="00B2488F"/>
    <w:rsid w:val="00B4669D"/>
    <w:rsid w:val="00B61012"/>
    <w:rsid w:val="00B66EBD"/>
    <w:rsid w:val="00C9319E"/>
    <w:rsid w:val="00C95BF6"/>
    <w:rsid w:val="00CF4EE3"/>
    <w:rsid w:val="00D62702"/>
    <w:rsid w:val="00DE47F4"/>
    <w:rsid w:val="00EA2114"/>
    <w:rsid w:val="00EC15F4"/>
    <w:rsid w:val="00F22314"/>
    <w:rsid w:val="00FA46A0"/>
    <w:rsid w:val="00FC1C19"/>
    <w:rsid w:val="00FD64E8"/>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3F8AEE"/>
  <w15:docId w15:val="{EBDF21F1-7555-4023-92C4-83996FC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8A1CCA"/>
    <w:pPr>
      <w:tabs>
        <w:tab w:val="clear" w:pos="794"/>
        <w:tab w:val="clear" w:pos="1191"/>
        <w:tab w:val="clear" w:pos="1588"/>
        <w:tab w:val="clear" w:pos="1985"/>
      </w:tabs>
      <w:spacing w:before="60"/>
      <w:ind w:left="567" w:hanging="567"/>
    </w:pPr>
    <w:rPr>
      <w:sz w:val="22"/>
      <w:szCs w:val="22"/>
      <w:lang w:val="en-US"/>
    </w:r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C9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568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pub/T-RES-T.20-2022" TargetMode="External"/><Relationship Id="rId18" Type="http://schemas.openxmlformats.org/officeDocument/2006/relationships/hyperlink" Target="mailto:t22sg2misuse@lists.itu.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ITU-T/inr/misuse/Pages/focal-points.aspx" TargetMode="External"/><Relationship Id="rId7" Type="http://schemas.openxmlformats.org/officeDocument/2006/relationships/webSettings" Target="webSettings.xml"/><Relationship Id="rId12" Type="http://schemas.openxmlformats.org/officeDocument/2006/relationships/hyperlink" Target="https://www.itu.int/rec/T-REC-E.156" TargetMode="External"/><Relationship Id="rId17" Type="http://schemas.openxmlformats.org/officeDocument/2006/relationships/hyperlink" Target="https://www.itu.int/ml/lists/arc/misuserepor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net4/iwm?p0=0&amp;p11=ITU&amp;p12=ITU-SEP-ITU-T-SEP-Other%20Groups-SEP-misusereports&amp;p21=ITU&amp;p22=ITU" TargetMode="External"/><Relationship Id="rId20" Type="http://schemas.openxmlformats.org/officeDocument/2006/relationships/hyperlink" Target="https://www.itu.int/ml/lists/arc/t22sg2misuse/2022-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itu.in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tu.int/net/ITU-T/misuse/secured/Default.aspx"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itu.int/net4/iwm?p0=0&amp;p11=ITU&amp;p12=ITU-SEP-ITU-T-SEP-SP%2017-SEP-Study%20Group%202&amp;p21=ITU&amp;p22=I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inr/misuse/Pages/default.aspx" TargetMode="External"/><Relationship Id="rId22" Type="http://schemas.openxmlformats.org/officeDocument/2006/relationships/hyperlink" Target="https://www.itu.int/hub/membership/our-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3524D-A050-468C-A65B-64444514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F92AE-FFFB-478A-BBBE-E2F45AF7355D}">
  <ds:schemaRefs>
    <ds:schemaRef ds:uri="http://schemas.microsoft.com/office/2006/documentManagement/types"/>
    <ds:schemaRef ds:uri="http://purl.org/dc/terms/"/>
    <ds:schemaRef ds:uri="http://purl.org/dc/dcmitype/"/>
    <ds:schemaRef ds:uri="http://www.w3.org/XML/1998/namespace"/>
    <ds:schemaRef ds:uri="1238c2fb-f919-419c-a17c-617fee3c8b80"/>
    <ds:schemaRef ds:uri="http://purl.org/dc/elements/1.1/"/>
    <ds:schemaRef ds:uri="http://schemas.openxmlformats.org/package/2006/metadata/core-properties"/>
    <ds:schemaRef ds:uri="http://schemas.microsoft.com/office/infopath/2007/PartnerControls"/>
    <ds:schemaRef ds:uri="fb0eb7e9-6560-4c49-b26e-dd8179726d23"/>
    <ds:schemaRef ds:uri="http://schemas.microsoft.com/office/2006/metadata/properties"/>
  </ds:schemaRefs>
</ds:datastoreItem>
</file>

<file path=customXml/itemProps3.xml><?xml version="1.0" encoding="utf-8"?>
<ds:datastoreItem xmlns:ds="http://schemas.openxmlformats.org/officeDocument/2006/customXml" ds:itemID="{84969D37-7554-472D-8C35-297ACA26F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9</TotalTime>
  <Pages>2</Pages>
  <Words>809</Words>
  <Characters>4771</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Maguire, Mairéad</cp:lastModifiedBy>
  <cp:revision>8</cp:revision>
  <dcterms:created xsi:type="dcterms:W3CDTF">2023-03-12T12:56:00Z</dcterms:created>
  <dcterms:modified xsi:type="dcterms:W3CDTF">2023-03-13T07:18:00Z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