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167EA4" w14:paraId="548C41A5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28C6BA3" w14:textId="77777777" w:rsidR="007B6316" w:rsidRPr="00167EA4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167EA4">
              <w:rPr>
                <w:noProof/>
                <w:lang w:val="en-US" w:eastAsia="ko-KR"/>
              </w:rPr>
              <w:drawing>
                <wp:inline distT="0" distB="0" distL="0" distR="0" wp14:anchorId="4CA69E59" wp14:editId="2F15967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700A32A4" w14:textId="77777777" w:rsidR="007B6316" w:rsidRPr="00167EA4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167EA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245A308" w14:textId="77777777" w:rsidR="007B6316" w:rsidRPr="00167EA4" w:rsidRDefault="007B6316" w:rsidP="007B6316">
            <w:pPr>
              <w:spacing w:before="0"/>
            </w:pPr>
            <w:r w:rsidRPr="00167EA4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167EA4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167EA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870B9A" w14:paraId="1BE1E84D" w14:textId="77777777" w:rsidTr="00303D62">
        <w:trPr>
          <w:cantSplit/>
          <w:trHeight w:val="340"/>
        </w:trPr>
        <w:tc>
          <w:tcPr>
            <w:tcW w:w="993" w:type="dxa"/>
          </w:tcPr>
          <w:p w14:paraId="23BF4BAF" w14:textId="5A5ED9F0" w:rsidR="007B6316" w:rsidRPr="00870B9A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884" w:type="dxa"/>
            <w:gridSpan w:val="2"/>
          </w:tcPr>
          <w:p w14:paraId="7CC72BE6" w14:textId="77777777" w:rsidR="007B6316" w:rsidRPr="00870B9A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329" w:type="dxa"/>
          </w:tcPr>
          <w:p w14:paraId="7FEC00A6" w14:textId="5629EA4B" w:rsidR="007B6316" w:rsidRPr="00870B9A" w:rsidRDefault="007B6316" w:rsidP="007360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870B9A">
              <w:rPr>
                <w:sz w:val="22"/>
                <w:szCs w:val="22"/>
              </w:rPr>
              <w:t>Ginebra,</w:t>
            </w:r>
            <w:r w:rsidR="00906B2A" w:rsidRPr="00870B9A">
              <w:rPr>
                <w:rFonts w:ascii="Calibri" w:eastAsia="Batang" w:hAnsi="Calibri"/>
                <w:sz w:val="22"/>
                <w:szCs w:val="18"/>
              </w:rPr>
              <w:t xml:space="preserve"> </w:t>
            </w:r>
            <w:r w:rsidR="00736048">
              <w:rPr>
                <w:sz w:val="22"/>
                <w:szCs w:val="22"/>
              </w:rPr>
              <w:t>10 de febrero de 2023</w:t>
            </w:r>
          </w:p>
        </w:tc>
      </w:tr>
      <w:tr w:rsidR="00906B2A" w:rsidRPr="00870B9A" w14:paraId="64359619" w14:textId="77777777" w:rsidTr="00303D62">
        <w:trPr>
          <w:cantSplit/>
          <w:trHeight w:val="340"/>
        </w:trPr>
        <w:tc>
          <w:tcPr>
            <w:tcW w:w="993" w:type="dxa"/>
          </w:tcPr>
          <w:p w14:paraId="44999F86" w14:textId="77777777" w:rsidR="00906B2A" w:rsidRPr="00870B9A" w:rsidRDefault="00906B2A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szCs w:val="18"/>
              </w:rPr>
            </w:pPr>
            <w:r w:rsidRPr="00870B9A">
              <w:rPr>
                <w:b/>
                <w:bCs/>
                <w:sz w:val="20"/>
                <w:szCs w:val="18"/>
              </w:rPr>
              <w:t>Ref.:</w:t>
            </w:r>
          </w:p>
          <w:p w14:paraId="5489B171" w14:textId="77777777" w:rsidR="00906B2A" w:rsidRPr="00870B9A" w:rsidRDefault="00906B2A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884" w:type="dxa"/>
            <w:gridSpan w:val="2"/>
          </w:tcPr>
          <w:p w14:paraId="41692D1E" w14:textId="3B8069AE" w:rsidR="00906B2A" w:rsidRPr="00870B9A" w:rsidRDefault="00906B2A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18"/>
              </w:rPr>
            </w:pPr>
            <w:r w:rsidRPr="00870B9A">
              <w:rPr>
                <w:b/>
                <w:sz w:val="22"/>
                <w:szCs w:val="18"/>
              </w:rPr>
              <w:t xml:space="preserve">Circular TSB </w:t>
            </w:r>
            <w:r w:rsidR="00736048">
              <w:rPr>
                <w:b/>
                <w:sz w:val="22"/>
                <w:szCs w:val="18"/>
              </w:rPr>
              <w:t>7</w:t>
            </w:r>
            <w:r w:rsidR="00A73E26">
              <w:rPr>
                <w:b/>
                <w:sz w:val="22"/>
                <w:szCs w:val="18"/>
              </w:rPr>
              <w:t>5</w:t>
            </w:r>
          </w:p>
          <w:p w14:paraId="18E04AFF" w14:textId="5B640D74" w:rsidR="00906B2A" w:rsidRPr="00870B9A" w:rsidRDefault="00906B2A" w:rsidP="007B6316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18"/>
              </w:rPr>
            </w:pPr>
            <w:r w:rsidRPr="00870B9A">
              <w:rPr>
                <w:b/>
                <w:bCs/>
                <w:sz w:val="22"/>
                <w:szCs w:val="18"/>
              </w:rPr>
              <w:t>SG20/CB</w:t>
            </w:r>
          </w:p>
        </w:tc>
        <w:tc>
          <w:tcPr>
            <w:tcW w:w="5329" w:type="dxa"/>
            <w:vMerge w:val="restart"/>
          </w:tcPr>
          <w:p w14:paraId="3893527F" w14:textId="1B917A58" w:rsidR="00906B2A" w:rsidRPr="00870B9A" w:rsidRDefault="00906B2A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 w:val="22"/>
                <w:szCs w:val="18"/>
              </w:rPr>
            </w:pPr>
            <w:bookmarkStart w:id="0" w:name="Addressee_S"/>
            <w:bookmarkEnd w:id="0"/>
            <w:r w:rsidRPr="00870B9A">
              <w:rPr>
                <w:b/>
                <w:bCs/>
                <w:sz w:val="22"/>
                <w:szCs w:val="18"/>
              </w:rPr>
              <w:t>A:</w:t>
            </w:r>
          </w:p>
          <w:p w14:paraId="3B3FCFB8" w14:textId="3614D275" w:rsidR="00906B2A" w:rsidRPr="00870B9A" w:rsidRDefault="00AB7CBE" w:rsidP="00AB7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  <w:rPr>
                <w:sz w:val="22"/>
                <w:szCs w:val="18"/>
              </w:rPr>
            </w:pP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ab/>
              <w:t>las Administraciones de los Estados Miembros de la</w:t>
            </w:r>
            <w:r w:rsidR="001A4DCA" w:rsidRPr="00870B9A">
              <w:rPr>
                <w:sz w:val="22"/>
                <w:szCs w:val="18"/>
              </w:rPr>
              <w:t> </w:t>
            </w:r>
            <w:r w:rsidR="00906B2A" w:rsidRPr="00870B9A">
              <w:rPr>
                <w:sz w:val="22"/>
                <w:szCs w:val="18"/>
              </w:rPr>
              <w:t>Unión;</w:t>
            </w:r>
          </w:p>
          <w:p w14:paraId="1A10A23C" w14:textId="77777777" w:rsidR="00906B2A" w:rsidRPr="00870B9A" w:rsidRDefault="00906B2A" w:rsidP="00303D62">
            <w:pPr>
              <w:tabs>
                <w:tab w:val="left" w:pos="4111"/>
              </w:tabs>
              <w:spacing w:before="0"/>
              <w:rPr>
                <w:sz w:val="22"/>
                <w:szCs w:val="18"/>
              </w:rPr>
            </w:pPr>
            <w:r w:rsidRPr="00870B9A">
              <w:rPr>
                <w:b/>
                <w:sz w:val="22"/>
                <w:szCs w:val="18"/>
              </w:rPr>
              <w:t>Copia</w:t>
            </w:r>
            <w:r w:rsidRPr="00870B9A">
              <w:rPr>
                <w:sz w:val="22"/>
                <w:szCs w:val="18"/>
              </w:rPr>
              <w:t>:</w:t>
            </w:r>
          </w:p>
          <w:p w14:paraId="0B2C9551" w14:textId="5A502D98" w:rsidR="00906B2A" w:rsidRPr="00870B9A" w:rsidRDefault="00AB7CBE" w:rsidP="00AB7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 w:after="120"/>
              <w:ind w:left="284" w:hanging="227"/>
              <w:rPr>
                <w:sz w:val="22"/>
                <w:szCs w:val="18"/>
              </w:rPr>
            </w:pP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ab/>
              <w:t xml:space="preserve">Miembros de Sector </w:t>
            </w:r>
            <w:r w:rsidR="000B05F1">
              <w:rPr>
                <w:sz w:val="22"/>
                <w:szCs w:val="18"/>
              </w:rPr>
              <w:t xml:space="preserve">del </w:t>
            </w:r>
            <w:r w:rsidR="00906B2A" w:rsidRPr="00870B9A">
              <w:rPr>
                <w:sz w:val="22"/>
                <w:szCs w:val="18"/>
              </w:rPr>
              <w:t>UIT</w:t>
            </w: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>T;</w:t>
            </w:r>
          </w:p>
          <w:p w14:paraId="4868FCC6" w14:textId="7604B446" w:rsidR="00906B2A" w:rsidRPr="00870B9A" w:rsidRDefault="00AB7CBE" w:rsidP="00AB7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sz w:val="22"/>
                <w:szCs w:val="18"/>
              </w:rPr>
            </w:pP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ab/>
              <w:t>Asociados de la Comisión de Estudio 20 del UIT</w:t>
            </w: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>T;</w:t>
            </w:r>
          </w:p>
          <w:p w14:paraId="7EB6022E" w14:textId="4507BFA5" w:rsidR="00906B2A" w:rsidRPr="00870B9A" w:rsidRDefault="00AB7CBE" w:rsidP="00AB7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sz w:val="22"/>
                <w:szCs w:val="18"/>
              </w:rPr>
            </w:pP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ab/>
              <w:t>Instituciones Académicas de la UIT;</w:t>
            </w:r>
          </w:p>
          <w:p w14:paraId="277E9F24" w14:textId="7345A906" w:rsidR="00906B2A" w:rsidRPr="00870B9A" w:rsidRDefault="00AB7CBE" w:rsidP="00AB7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sz w:val="22"/>
                <w:szCs w:val="18"/>
              </w:rPr>
            </w:pP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ab/>
              <w:t>Presidente y a los Vicepresidentes de la Comisión de Estudio 20 del UIT</w:t>
            </w: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>T;</w:t>
            </w:r>
          </w:p>
          <w:p w14:paraId="3FABE871" w14:textId="0535E6C4" w:rsidR="00906B2A" w:rsidRPr="00870B9A" w:rsidRDefault="00AB7CBE" w:rsidP="00AB7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sz w:val="22"/>
                <w:szCs w:val="18"/>
              </w:rPr>
            </w:pP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ab/>
              <w:t>Director de la Oficina de Desarrollo de las Telecomunicaciones;</w:t>
            </w:r>
          </w:p>
          <w:p w14:paraId="6FA9E7FC" w14:textId="3204BE5C" w:rsidR="00906B2A" w:rsidRPr="00870B9A" w:rsidRDefault="00AB7CBE" w:rsidP="00AB7CB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40"/>
              <w:ind w:left="284" w:hanging="227"/>
              <w:rPr>
                <w:sz w:val="22"/>
                <w:szCs w:val="18"/>
              </w:rPr>
            </w:pPr>
            <w:r w:rsidRPr="00870B9A">
              <w:rPr>
                <w:sz w:val="22"/>
                <w:szCs w:val="18"/>
              </w:rPr>
              <w:t>–</w:t>
            </w:r>
            <w:r w:rsidR="00906B2A" w:rsidRPr="00870B9A">
              <w:rPr>
                <w:sz w:val="22"/>
                <w:szCs w:val="18"/>
              </w:rPr>
              <w:tab/>
              <w:t>Director de la Oficina de Radiocomunicaciones</w:t>
            </w:r>
          </w:p>
        </w:tc>
      </w:tr>
      <w:tr w:rsidR="00906B2A" w:rsidRPr="00870B9A" w14:paraId="4360D132" w14:textId="77777777" w:rsidTr="00303D62">
        <w:trPr>
          <w:cantSplit/>
        </w:trPr>
        <w:tc>
          <w:tcPr>
            <w:tcW w:w="993" w:type="dxa"/>
          </w:tcPr>
          <w:p w14:paraId="76CC181E" w14:textId="77777777" w:rsidR="00906B2A" w:rsidRPr="00870B9A" w:rsidRDefault="00906B2A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szCs w:val="18"/>
              </w:rPr>
            </w:pPr>
            <w:r w:rsidRPr="00870B9A">
              <w:rPr>
                <w:b/>
                <w:bCs/>
                <w:sz w:val="20"/>
                <w:szCs w:val="18"/>
              </w:rPr>
              <w:t>Tel.:</w:t>
            </w:r>
          </w:p>
        </w:tc>
        <w:tc>
          <w:tcPr>
            <w:tcW w:w="3884" w:type="dxa"/>
            <w:gridSpan w:val="2"/>
          </w:tcPr>
          <w:p w14:paraId="0EC62B57" w14:textId="4A8A7C79" w:rsidR="00906B2A" w:rsidRPr="00870B9A" w:rsidRDefault="00906B2A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18"/>
              </w:rPr>
            </w:pPr>
            <w:r w:rsidRPr="00870B9A">
              <w:rPr>
                <w:sz w:val="22"/>
                <w:szCs w:val="18"/>
              </w:rPr>
              <w:t>+41 22 730 6301</w:t>
            </w:r>
          </w:p>
        </w:tc>
        <w:tc>
          <w:tcPr>
            <w:tcW w:w="5329" w:type="dxa"/>
            <w:vMerge/>
          </w:tcPr>
          <w:p w14:paraId="63796692" w14:textId="013722D4" w:rsidR="00906B2A" w:rsidRPr="00870B9A" w:rsidRDefault="00906B2A" w:rsidP="00906B2A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18"/>
              </w:rPr>
            </w:pPr>
          </w:p>
        </w:tc>
      </w:tr>
      <w:tr w:rsidR="00906B2A" w:rsidRPr="00870B9A" w14:paraId="1788375A" w14:textId="77777777" w:rsidTr="00303D62">
        <w:trPr>
          <w:cantSplit/>
        </w:trPr>
        <w:tc>
          <w:tcPr>
            <w:tcW w:w="993" w:type="dxa"/>
          </w:tcPr>
          <w:p w14:paraId="7446430D" w14:textId="77777777" w:rsidR="00906B2A" w:rsidRPr="00870B9A" w:rsidRDefault="00906B2A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szCs w:val="18"/>
              </w:rPr>
            </w:pPr>
            <w:r w:rsidRPr="00870B9A">
              <w:rPr>
                <w:b/>
                <w:bCs/>
                <w:sz w:val="20"/>
                <w:szCs w:val="18"/>
              </w:rPr>
              <w:t>Fax:</w:t>
            </w:r>
          </w:p>
        </w:tc>
        <w:tc>
          <w:tcPr>
            <w:tcW w:w="3884" w:type="dxa"/>
            <w:gridSpan w:val="2"/>
          </w:tcPr>
          <w:p w14:paraId="46874C66" w14:textId="7301C39C" w:rsidR="00906B2A" w:rsidRPr="00870B9A" w:rsidRDefault="00906B2A" w:rsidP="001A4DCA">
            <w:pPr>
              <w:spacing w:before="0"/>
              <w:rPr>
                <w:rStyle w:val="Hyperlink"/>
                <w:sz w:val="22"/>
                <w:szCs w:val="18"/>
              </w:rPr>
            </w:pPr>
            <w:r w:rsidRPr="00870B9A">
              <w:rPr>
                <w:sz w:val="22"/>
                <w:szCs w:val="18"/>
              </w:rPr>
              <w:t>+41 22 730 5853</w:t>
            </w:r>
          </w:p>
        </w:tc>
        <w:tc>
          <w:tcPr>
            <w:tcW w:w="5329" w:type="dxa"/>
            <w:vMerge/>
          </w:tcPr>
          <w:p w14:paraId="4F8AB680" w14:textId="0487EB0B" w:rsidR="00906B2A" w:rsidRPr="00870B9A" w:rsidRDefault="00906B2A" w:rsidP="00906B2A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  <w:sz w:val="22"/>
                <w:szCs w:val="18"/>
              </w:rPr>
            </w:pPr>
          </w:p>
        </w:tc>
      </w:tr>
      <w:tr w:rsidR="00906B2A" w:rsidRPr="00870B9A" w14:paraId="6558CFAC" w14:textId="77777777" w:rsidTr="00303D62">
        <w:trPr>
          <w:cantSplit/>
        </w:trPr>
        <w:tc>
          <w:tcPr>
            <w:tcW w:w="993" w:type="dxa"/>
          </w:tcPr>
          <w:p w14:paraId="5FC02BEB" w14:textId="5747614E" w:rsidR="00906B2A" w:rsidRPr="00870B9A" w:rsidRDefault="00906B2A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  <w:szCs w:val="18"/>
              </w:rPr>
            </w:pPr>
            <w:r w:rsidRPr="00870B9A">
              <w:rPr>
                <w:b/>
                <w:bCs/>
                <w:sz w:val="20"/>
                <w:szCs w:val="18"/>
              </w:rPr>
              <w:t>Correo-e:</w:t>
            </w:r>
          </w:p>
        </w:tc>
        <w:tc>
          <w:tcPr>
            <w:tcW w:w="3884" w:type="dxa"/>
            <w:gridSpan w:val="2"/>
          </w:tcPr>
          <w:p w14:paraId="6A61C75C" w14:textId="0C4EBEE1" w:rsidR="00906B2A" w:rsidRPr="00870B9A" w:rsidRDefault="00E13232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9" w:history="1">
              <w:r w:rsidR="00906B2A" w:rsidRPr="00870B9A">
                <w:rPr>
                  <w:rStyle w:val="Hyperlink"/>
                  <w:sz w:val="22"/>
                  <w:szCs w:val="18"/>
                </w:rPr>
                <w:t>tsbsg20@itu.int</w:t>
              </w:r>
            </w:hyperlink>
          </w:p>
        </w:tc>
        <w:tc>
          <w:tcPr>
            <w:tcW w:w="5329" w:type="dxa"/>
            <w:vMerge/>
          </w:tcPr>
          <w:p w14:paraId="1442E506" w14:textId="71D07774" w:rsidR="00906B2A" w:rsidRPr="00870B9A" w:rsidRDefault="00906B2A" w:rsidP="00906B2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 w:val="22"/>
                <w:szCs w:val="18"/>
              </w:rPr>
            </w:pPr>
          </w:p>
        </w:tc>
      </w:tr>
      <w:tr w:rsidR="007B6316" w:rsidRPr="00870B9A" w14:paraId="74AD6E77" w14:textId="77777777" w:rsidTr="00DA30ED">
        <w:trPr>
          <w:cantSplit/>
        </w:trPr>
        <w:tc>
          <w:tcPr>
            <w:tcW w:w="993" w:type="dxa"/>
          </w:tcPr>
          <w:p w14:paraId="1B23F80A" w14:textId="77777777" w:rsidR="007B6316" w:rsidRPr="00870B9A" w:rsidRDefault="007B6316" w:rsidP="001A4DCA">
            <w:pPr>
              <w:tabs>
                <w:tab w:val="left" w:pos="4111"/>
              </w:tabs>
              <w:ind w:left="57"/>
              <w:rPr>
                <w:b/>
                <w:bCs/>
                <w:sz w:val="20"/>
                <w:szCs w:val="18"/>
              </w:rPr>
            </w:pPr>
            <w:r w:rsidRPr="00870B9A">
              <w:rPr>
                <w:b/>
                <w:bCs/>
                <w:sz w:val="22"/>
              </w:rPr>
              <w:t>Asunto</w:t>
            </w:r>
            <w:r w:rsidRPr="00870B9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9213" w:type="dxa"/>
            <w:gridSpan w:val="3"/>
          </w:tcPr>
          <w:p w14:paraId="4DEF6974" w14:textId="11E614A1" w:rsidR="007B6316" w:rsidRPr="00870B9A" w:rsidRDefault="00736048" w:rsidP="004A765B">
            <w:pPr>
              <w:tabs>
                <w:tab w:val="left" w:pos="4111"/>
              </w:tabs>
              <w:ind w:right="57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Situación de las Recomendaciones</w:t>
            </w:r>
            <w:r w:rsidR="00906B2A" w:rsidRPr="00870B9A">
              <w:rPr>
                <w:b/>
                <w:sz w:val="22"/>
                <w:szCs w:val="18"/>
              </w:rPr>
              <w:t xml:space="preserve"> UIT-T Y.4601 (ex </w:t>
            </w:r>
            <w:proofErr w:type="spellStart"/>
            <w:r w:rsidR="00906B2A" w:rsidRPr="00870B9A">
              <w:rPr>
                <w:b/>
                <w:sz w:val="22"/>
                <w:szCs w:val="18"/>
              </w:rPr>
              <w:t>Y.dt-smartfirefighting</w:t>
            </w:r>
            <w:proofErr w:type="spellEnd"/>
            <w:r w:rsidR="00906B2A" w:rsidRPr="00870B9A">
              <w:rPr>
                <w:b/>
                <w:sz w:val="22"/>
                <w:szCs w:val="18"/>
              </w:rPr>
              <w:t>) e Y.4500</w:t>
            </w:r>
            <w:r w:rsidR="00FD7D27" w:rsidRPr="00870B9A">
              <w:rPr>
                <w:b/>
                <w:sz w:val="22"/>
                <w:szCs w:val="18"/>
              </w:rPr>
              <w:t>.</w:t>
            </w:r>
            <w:r>
              <w:rPr>
                <w:b/>
                <w:sz w:val="22"/>
                <w:szCs w:val="18"/>
              </w:rPr>
              <w:t>3</w:t>
            </w:r>
            <w:r w:rsidR="004A765B">
              <w:rPr>
                <w:b/>
                <w:sz w:val="22"/>
                <w:szCs w:val="18"/>
              </w:rPr>
              <w:br/>
            </w:r>
            <w:r>
              <w:rPr>
                <w:b/>
                <w:sz w:val="22"/>
                <w:szCs w:val="18"/>
              </w:rPr>
              <w:t>(ex Y.oneM2M.SEC.SOL) después de</w:t>
            </w:r>
            <w:r w:rsidR="00906B2A" w:rsidRPr="00870B9A">
              <w:rPr>
                <w:b/>
                <w:sz w:val="22"/>
                <w:szCs w:val="18"/>
              </w:rPr>
              <w:t xml:space="preserve"> la reunión de la Comisión de Estudio 20 del UIT-T</w:t>
            </w:r>
            <w:r w:rsidR="004A765B">
              <w:rPr>
                <w:b/>
                <w:sz w:val="22"/>
                <w:szCs w:val="18"/>
              </w:rPr>
              <w:br/>
            </w:r>
            <w:r w:rsidR="00906B2A" w:rsidRPr="00870B9A">
              <w:rPr>
                <w:b/>
                <w:sz w:val="22"/>
                <w:szCs w:val="18"/>
              </w:rPr>
              <w:t>(Ginebra,</w:t>
            </w:r>
            <w:r w:rsidR="00AB7CBE" w:rsidRPr="00870B9A">
              <w:rPr>
                <w:b/>
                <w:sz w:val="22"/>
                <w:szCs w:val="18"/>
              </w:rPr>
              <w:t> </w:t>
            </w:r>
            <w:r w:rsidR="00906B2A" w:rsidRPr="00870B9A">
              <w:rPr>
                <w:b/>
                <w:sz w:val="22"/>
                <w:szCs w:val="18"/>
              </w:rPr>
              <w:t>30 de enero – 10</w:t>
            </w:r>
            <w:r w:rsidR="001A4DCA" w:rsidRPr="00870B9A">
              <w:rPr>
                <w:b/>
                <w:sz w:val="22"/>
                <w:szCs w:val="18"/>
              </w:rPr>
              <w:t> </w:t>
            </w:r>
            <w:r w:rsidR="00906B2A" w:rsidRPr="00870B9A">
              <w:rPr>
                <w:b/>
                <w:sz w:val="22"/>
                <w:szCs w:val="18"/>
              </w:rPr>
              <w:t>de febrero de 2023)</w:t>
            </w:r>
          </w:p>
        </w:tc>
      </w:tr>
    </w:tbl>
    <w:p w14:paraId="63C21DF4" w14:textId="7D8556C3" w:rsidR="00A73E26" w:rsidRPr="00940FE9" w:rsidRDefault="00A73E26" w:rsidP="00A73E26">
      <w:pPr>
        <w:spacing w:before="320"/>
        <w:rPr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40FE9">
        <w:rPr>
          <w:sz w:val="22"/>
          <w:szCs w:val="22"/>
        </w:rPr>
        <w:t>Muy Señora mía/Muy Señor mío</w:t>
      </w:r>
      <w:r w:rsidR="00940FE9" w:rsidRPr="00940FE9">
        <w:rPr>
          <w:sz w:val="22"/>
          <w:szCs w:val="22"/>
        </w:rPr>
        <w:t>,</w:t>
      </w:r>
    </w:p>
    <w:p w14:paraId="64AFFB91" w14:textId="328263EC" w:rsidR="00736048" w:rsidRPr="00513B51" w:rsidRDefault="00A73E26" w:rsidP="00A73E26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</w:r>
      <w:proofErr w:type="gramStart"/>
      <w:r w:rsidR="00736048" w:rsidRPr="00513B51">
        <w:rPr>
          <w:sz w:val="22"/>
          <w:szCs w:val="22"/>
        </w:rPr>
        <w:t>En</w:t>
      </w:r>
      <w:proofErr w:type="gramEnd"/>
      <w:r w:rsidR="00736048" w:rsidRPr="00513B51">
        <w:rPr>
          <w:sz w:val="22"/>
          <w:szCs w:val="22"/>
        </w:rPr>
        <w:t xml:space="preserve"> relación con la </w:t>
      </w:r>
      <w:hyperlink r:id="rId10" w:history="1">
        <w:r w:rsidR="00736048" w:rsidRPr="00A73E26">
          <w:rPr>
            <w:rStyle w:val="Hyperlink"/>
            <w:sz w:val="22"/>
            <w:szCs w:val="22"/>
          </w:rPr>
          <w:t xml:space="preserve">Circular TSB </w:t>
        </w:r>
        <w:r w:rsidRPr="00A73E26">
          <w:rPr>
            <w:rStyle w:val="Hyperlink"/>
            <w:spacing w:val="-2"/>
            <w:sz w:val="22"/>
            <w:szCs w:val="22"/>
          </w:rPr>
          <w:t>3</w:t>
        </w:r>
        <w:r w:rsidR="00736048" w:rsidRPr="00A73E26">
          <w:rPr>
            <w:rStyle w:val="Hyperlink"/>
            <w:spacing w:val="-2"/>
            <w:sz w:val="22"/>
            <w:szCs w:val="22"/>
          </w:rPr>
          <w:t>7</w:t>
        </w:r>
      </w:hyperlink>
      <w:r w:rsidR="00736048" w:rsidRPr="00513B51">
        <w:rPr>
          <w:sz w:val="22"/>
          <w:szCs w:val="22"/>
        </w:rPr>
        <w:t xml:space="preserve"> de </w:t>
      </w:r>
      <w:r w:rsidR="00515B33">
        <w:rPr>
          <w:sz w:val="22"/>
          <w:szCs w:val="22"/>
        </w:rPr>
        <w:t>14 de septiembre</w:t>
      </w:r>
      <w:r w:rsidR="00736048" w:rsidRPr="00513B51">
        <w:rPr>
          <w:sz w:val="22"/>
          <w:szCs w:val="22"/>
        </w:rPr>
        <w:t xml:space="preserve"> de 2022 y con arreglo a lo dispuesto en </w:t>
      </w:r>
      <w:r w:rsidR="00515B33">
        <w:rPr>
          <w:sz w:val="22"/>
          <w:szCs w:val="22"/>
        </w:rPr>
        <w:t>el</w:t>
      </w:r>
      <w:r w:rsidR="0075361B">
        <w:rPr>
          <w:sz w:val="22"/>
          <w:szCs w:val="22"/>
        </w:rPr>
        <w:t> §</w:t>
      </w:r>
      <w:r>
        <w:rPr>
          <w:sz w:val="22"/>
          <w:szCs w:val="22"/>
        </w:rPr>
        <w:t> </w:t>
      </w:r>
      <w:r w:rsidR="00736048" w:rsidRPr="00513B51">
        <w:rPr>
          <w:sz w:val="22"/>
          <w:szCs w:val="22"/>
        </w:rPr>
        <w:t>9.5 de la Resolución 1 (Rev. Ginebra, 2022), por la presente le informo de que la Comisión de Estudio</w:t>
      </w:r>
      <w:r>
        <w:rPr>
          <w:sz w:val="22"/>
          <w:szCs w:val="22"/>
        </w:rPr>
        <w:t> </w:t>
      </w:r>
      <w:r w:rsidR="00515B33">
        <w:rPr>
          <w:sz w:val="22"/>
          <w:szCs w:val="22"/>
        </w:rPr>
        <w:t>20</w:t>
      </w:r>
      <w:r w:rsidR="00736048" w:rsidRPr="00513B51">
        <w:rPr>
          <w:sz w:val="22"/>
          <w:szCs w:val="22"/>
        </w:rPr>
        <w:t xml:space="preserve"> adoptó la siguiente</w:t>
      </w:r>
      <w:r w:rsidR="00515B33">
        <w:rPr>
          <w:sz w:val="22"/>
          <w:szCs w:val="22"/>
        </w:rPr>
        <w:t xml:space="preserve"> decisión</w:t>
      </w:r>
      <w:r w:rsidR="00736048" w:rsidRPr="00513B51">
        <w:rPr>
          <w:sz w:val="22"/>
          <w:szCs w:val="22"/>
        </w:rPr>
        <w:t xml:space="preserve"> </w:t>
      </w:r>
      <w:r w:rsidR="00515B33">
        <w:rPr>
          <w:sz w:val="22"/>
          <w:szCs w:val="22"/>
        </w:rPr>
        <w:t>en</w:t>
      </w:r>
      <w:r w:rsidR="00736048" w:rsidRPr="00513B51">
        <w:rPr>
          <w:sz w:val="22"/>
          <w:szCs w:val="22"/>
        </w:rPr>
        <w:t xml:space="preserve"> su Sesión Plenaria celebrada el </w:t>
      </w:r>
      <w:r w:rsidR="00515B33">
        <w:rPr>
          <w:sz w:val="22"/>
          <w:szCs w:val="22"/>
        </w:rPr>
        <w:t>30 de enero de 2023</w:t>
      </w:r>
      <w:r w:rsidR="00736048" w:rsidRPr="00513B51">
        <w:rPr>
          <w:sz w:val="22"/>
          <w:szCs w:val="22"/>
        </w:rPr>
        <w:t xml:space="preserve"> </w:t>
      </w:r>
      <w:r w:rsidR="00515B33">
        <w:rPr>
          <w:sz w:val="22"/>
          <w:szCs w:val="22"/>
        </w:rPr>
        <w:t xml:space="preserve">en Ginebra, </w:t>
      </w:r>
      <w:r w:rsidR="00736048" w:rsidRPr="00513B51">
        <w:rPr>
          <w:sz w:val="22"/>
          <w:szCs w:val="22"/>
        </w:rPr>
        <w:t xml:space="preserve">respecto de los siguientes proyectos de texto </w:t>
      </w:r>
      <w:r w:rsidR="00515B33">
        <w:rPr>
          <w:sz w:val="22"/>
          <w:szCs w:val="22"/>
        </w:rPr>
        <w:t xml:space="preserve">del </w:t>
      </w:r>
      <w:r w:rsidR="00736048" w:rsidRPr="00513B51">
        <w:rPr>
          <w:sz w:val="22"/>
          <w:szCs w:val="22"/>
        </w:rPr>
        <w:t>UIT-T: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5626"/>
        <w:gridCol w:w="1912"/>
      </w:tblGrid>
      <w:tr w:rsidR="00736048" w:rsidRPr="00515B33" w14:paraId="736C5E98" w14:textId="77777777" w:rsidTr="00A73E26">
        <w:trPr>
          <w:cantSplit/>
          <w:tblHeader/>
          <w:jc w:val="center"/>
        </w:trPr>
        <w:tc>
          <w:tcPr>
            <w:tcW w:w="2211" w:type="dxa"/>
            <w:vAlign w:val="center"/>
          </w:tcPr>
          <w:p w14:paraId="4E52C40A" w14:textId="77777777" w:rsidR="00736048" w:rsidRPr="00515B33" w:rsidRDefault="00736048" w:rsidP="00496DED">
            <w:pPr>
              <w:pStyle w:val="Tablehead0"/>
              <w:rPr>
                <w:szCs w:val="22"/>
                <w:lang w:val="es-ES"/>
              </w:rPr>
            </w:pPr>
            <w:r w:rsidRPr="00515B33">
              <w:rPr>
                <w:szCs w:val="22"/>
                <w:lang w:val="es-ES"/>
              </w:rPr>
              <w:t>Número</w:t>
            </w:r>
          </w:p>
        </w:tc>
        <w:tc>
          <w:tcPr>
            <w:tcW w:w="5626" w:type="dxa"/>
            <w:vAlign w:val="center"/>
          </w:tcPr>
          <w:p w14:paraId="58378FB8" w14:textId="77777777" w:rsidR="00736048" w:rsidRPr="00515B33" w:rsidRDefault="00736048" w:rsidP="00496DED">
            <w:pPr>
              <w:pStyle w:val="Tablehead0"/>
              <w:rPr>
                <w:szCs w:val="22"/>
                <w:lang w:val="es-ES"/>
              </w:rPr>
            </w:pPr>
            <w:r w:rsidRPr="00515B33">
              <w:rPr>
                <w:szCs w:val="22"/>
                <w:lang w:val="es-ES"/>
              </w:rPr>
              <w:t>Título</w:t>
            </w:r>
          </w:p>
        </w:tc>
        <w:tc>
          <w:tcPr>
            <w:tcW w:w="1912" w:type="dxa"/>
            <w:vAlign w:val="center"/>
          </w:tcPr>
          <w:p w14:paraId="669168BF" w14:textId="77777777" w:rsidR="00736048" w:rsidRPr="00515B33" w:rsidRDefault="00736048" w:rsidP="00496DED">
            <w:pPr>
              <w:pStyle w:val="Tablehead0"/>
              <w:rPr>
                <w:szCs w:val="22"/>
                <w:lang w:val="es-ES"/>
              </w:rPr>
            </w:pPr>
            <w:r w:rsidRPr="00515B33">
              <w:rPr>
                <w:szCs w:val="22"/>
                <w:lang w:val="es-ES"/>
              </w:rPr>
              <w:t>Decisión</w:t>
            </w:r>
          </w:p>
        </w:tc>
      </w:tr>
      <w:tr w:rsidR="00515B33" w:rsidRPr="00515B33" w14:paraId="210A817B" w14:textId="77777777" w:rsidTr="00A73E26">
        <w:trPr>
          <w:cantSplit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148" w14:textId="1E48570E" w:rsidR="00515B33" w:rsidRPr="00F07A67" w:rsidRDefault="00515B33" w:rsidP="00515B33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en-GB" w:eastAsia="zh-CN"/>
              </w:rPr>
            </w:pPr>
            <w:r w:rsidRPr="00F07A67">
              <w:rPr>
                <w:rFonts w:cstheme="minorHAnsi"/>
                <w:sz w:val="22"/>
                <w:szCs w:val="22"/>
                <w:lang w:val="en-GB" w:eastAsia="zh-CN"/>
              </w:rPr>
              <w:t>UIT-T Y.4601</w:t>
            </w:r>
          </w:p>
          <w:p w14:paraId="1F75ED0C" w14:textId="5DF9B4A5" w:rsidR="00515B33" w:rsidRPr="00F07A67" w:rsidRDefault="00515B33" w:rsidP="00515B33">
            <w:pPr>
              <w:pStyle w:val="Tabletext0"/>
              <w:jc w:val="center"/>
              <w:rPr>
                <w:szCs w:val="22"/>
                <w:lang w:val="en-GB"/>
              </w:rPr>
            </w:pPr>
            <w:r w:rsidRPr="00F07A67">
              <w:rPr>
                <w:rFonts w:cstheme="minorHAnsi"/>
                <w:szCs w:val="22"/>
                <w:lang w:val="en-GB" w:eastAsia="zh-CN"/>
              </w:rPr>
              <w:t>(</w:t>
            </w:r>
            <w:proofErr w:type="spellStart"/>
            <w:proofErr w:type="gramStart"/>
            <w:r w:rsidRPr="00F07A67">
              <w:rPr>
                <w:rFonts w:cstheme="minorHAnsi"/>
                <w:szCs w:val="22"/>
                <w:lang w:val="en-GB" w:eastAsia="zh-CN"/>
              </w:rPr>
              <w:t>anteriormente</w:t>
            </w:r>
            <w:proofErr w:type="spellEnd"/>
            <w:proofErr w:type="gramEnd"/>
            <w:r w:rsidR="00A73E26" w:rsidRPr="00F07A67">
              <w:rPr>
                <w:rFonts w:cstheme="minorHAnsi"/>
                <w:szCs w:val="22"/>
                <w:lang w:val="en-GB" w:eastAsia="zh-CN"/>
              </w:rPr>
              <w:br/>
            </w:r>
            <w:proofErr w:type="spellStart"/>
            <w:r w:rsidRPr="00F07A67">
              <w:rPr>
                <w:rFonts w:cstheme="minorHAnsi"/>
                <w:szCs w:val="22"/>
                <w:lang w:val="en-GB" w:eastAsia="zh-CN"/>
              </w:rPr>
              <w:t>Y.dt-smartfirefighting</w:t>
            </w:r>
            <w:proofErr w:type="spellEnd"/>
            <w:r w:rsidRPr="00F07A67">
              <w:rPr>
                <w:rFonts w:cstheme="minorHAnsi"/>
                <w:szCs w:val="22"/>
                <w:lang w:val="en-GB" w:eastAsia="zh-CN"/>
              </w:rPr>
              <w:t>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AB5" w14:textId="0F885255" w:rsidR="00515B33" w:rsidRPr="00515B33" w:rsidRDefault="00120FB8" w:rsidP="00A73E26">
            <w:pPr>
              <w:pStyle w:val="Tabletext0"/>
              <w:rPr>
                <w:szCs w:val="22"/>
                <w:lang w:val="es-ES"/>
              </w:rPr>
            </w:pPr>
            <w:r>
              <w:rPr>
                <w:szCs w:val="22"/>
                <w:lang w:val="es-ES"/>
              </w:rPr>
              <w:t>R</w:t>
            </w:r>
            <w:r w:rsidRPr="00120FB8">
              <w:rPr>
                <w:szCs w:val="22"/>
                <w:lang w:val="es-ES"/>
              </w:rPr>
              <w:t>equisitos y marco de capacidad de gemelos digitales para la lucha contraincendios inteligente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60F6" w14:textId="77777777" w:rsidR="00515B33" w:rsidRPr="00515B33" w:rsidRDefault="00515B33" w:rsidP="00A73E26">
            <w:pPr>
              <w:pStyle w:val="Tabletext0"/>
              <w:jc w:val="center"/>
              <w:rPr>
                <w:szCs w:val="22"/>
                <w:lang w:val="es-ES"/>
              </w:rPr>
            </w:pPr>
            <w:r w:rsidRPr="00515B33">
              <w:rPr>
                <w:szCs w:val="22"/>
                <w:lang w:val="es-ES"/>
              </w:rPr>
              <w:t>Aprobada</w:t>
            </w:r>
          </w:p>
        </w:tc>
      </w:tr>
      <w:tr w:rsidR="00515B33" w:rsidRPr="00515B33" w14:paraId="53BC1AF5" w14:textId="77777777" w:rsidTr="00A73E26">
        <w:trPr>
          <w:cantSplit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4113" w14:textId="2B19186F" w:rsidR="00515B33" w:rsidRPr="00515B33" w:rsidRDefault="00515B33" w:rsidP="00515B33">
            <w:pPr>
              <w:keepNext/>
              <w:keepLines/>
              <w:spacing w:before="0"/>
              <w:jc w:val="center"/>
              <w:rPr>
                <w:rFonts w:cstheme="minorHAnsi"/>
                <w:sz w:val="22"/>
                <w:szCs w:val="22"/>
                <w:lang w:val="es-ES" w:eastAsia="zh-CN"/>
              </w:rPr>
            </w:pPr>
            <w:r w:rsidRPr="00515B33">
              <w:rPr>
                <w:rFonts w:cstheme="minorHAnsi"/>
                <w:sz w:val="22"/>
                <w:szCs w:val="22"/>
                <w:lang w:val="es-ES" w:eastAsia="zh-CN"/>
              </w:rPr>
              <w:t>UIT-T Y.4500.3</w:t>
            </w:r>
          </w:p>
          <w:p w14:paraId="2B16036F" w14:textId="7638980A" w:rsidR="00515B33" w:rsidRPr="00515B33" w:rsidRDefault="00515B33" w:rsidP="00515B33">
            <w:pPr>
              <w:pStyle w:val="Tabletext0"/>
              <w:jc w:val="center"/>
              <w:rPr>
                <w:bCs/>
                <w:szCs w:val="22"/>
                <w:lang w:val="es-ES"/>
              </w:rPr>
            </w:pPr>
            <w:r w:rsidRPr="00515B33">
              <w:rPr>
                <w:rFonts w:cstheme="minorHAnsi"/>
                <w:szCs w:val="22"/>
                <w:lang w:val="es-ES" w:eastAsia="zh-CN"/>
              </w:rPr>
              <w:t>(anteriormente</w:t>
            </w:r>
            <w:r w:rsidR="00E33EB1">
              <w:rPr>
                <w:rFonts w:cstheme="minorHAnsi"/>
                <w:szCs w:val="22"/>
                <w:lang w:val="es-ES" w:eastAsia="zh-CN"/>
              </w:rPr>
              <w:br/>
            </w:r>
            <w:r w:rsidRPr="00515B33">
              <w:rPr>
                <w:rFonts w:cstheme="minorHAnsi"/>
                <w:szCs w:val="22"/>
                <w:lang w:val="es-ES" w:eastAsia="zh-CN"/>
              </w:rPr>
              <w:t>Y.oneM2M.SEC.SOL)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233" w14:textId="53EA5EA3" w:rsidR="00515B33" w:rsidRPr="00515B33" w:rsidRDefault="00120FB8" w:rsidP="00A73E26">
            <w:pPr>
              <w:pStyle w:val="Tabletext0"/>
              <w:rPr>
                <w:szCs w:val="22"/>
                <w:lang w:val="es-ES"/>
              </w:rPr>
            </w:pPr>
            <w:r w:rsidRPr="003B01DA">
              <w:rPr>
                <w:rFonts w:cstheme="minorHAnsi"/>
                <w:szCs w:val="22"/>
                <w:lang w:eastAsia="ko-KR"/>
              </w:rPr>
              <w:t>oneM2M –</w:t>
            </w:r>
            <w:r>
              <w:rPr>
                <w:rFonts w:cstheme="minorHAnsi"/>
                <w:szCs w:val="22"/>
                <w:lang w:eastAsia="ko-KR"/>
              </w:rPr>
              <w:t xml:space="preserve"> </w:t>
            </w:r>
            <w:r w:rsidRPr="00120FB8">
              <w:rPr>
                <w:rFonts w:cstheme="minorHAnsi"/>
                <w:szCs w:val="22"/>
                <w:lang w:eastAsia="ko-KR"/>
              </w:rPr>
              <w:t>Soluciones de seguridad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BCD6" w14:textId="77777777" w:rsidR="00515B33" w:rsidRPr="00515B33" w:rsidRDefault="00515B33" w:rsidP="00A73E26">
            <w:pPr>
              <w:pStyle w:val="Tabletext0"/>
              <w:jc w:val="center"/>
              <w:rPr>
                <w:szCs w:val="22"/>
                <w:lang w:val="es-ES"/>
              </w:rPr>
            </w:pPr>
            <w:r w:rsidRPr="00515B33">
              <w:rPr>
                <w:szCs w:val="22"/>
                <w:lang w:val="es-ES"/>
              </w:rPr>
              <w:t>Aprobada</w:t>
            </w:r>
          </w:p>
        </w:tc>
      </w:tr>
    </w:tbl>
    <w:p w14:paraId="1D616994" w14:textId="249E716E" w:rsidR="00736048" w:rsidRPr="00513B51" w:rsidRDefault="00736048" w:rsidP="00736048">
      <w:pPr>
        <w:rPr>
          <w:sz w:val="22"/>
          <w:szCs w:val="22"/>
        </w:rPr>
      </w:pPr>
      <w:r w:rsidRPr="00513B51">
        <w:rPr>
          <w:sz w:val="22"/>
          <w:szCs w:val="22"/>
        </w:rPr>
        <w:t>2</w:t>
      </w:r>
      <w:r w:rsidRPr="00513B51">
        <w:rPr>
          <w:sz w:val="22"/>
          <w:szCs w:val="22"/>
        </w:rPr>
        <w:tab/>
      </w:r>
      <w:proofErr w:type="gramStart"/>
      <w:r w:rsidRPr="00513B51">
        <w:rPr>
          <w:sz w:val="22"/>
          <w:szCs w:val="22"/>
        </w:rPr>
        <w:t>La</w:t>
      </w:r>
      <w:proofErr w:type="gramEnd"/>
      <w:r w:rsidRPr="00513B51">
        <w:rPr>
          <w:sz w:val="22"/>
          <w:szCs w:val="22"/>
        </w:rPr>
        <w:t xml:space="preserve"> información disponible sobre patentes puede consultarse en línea en el </w:t>
      </w:r>
      <w:hyperlink r:id="rId11" w:history="1">
        <w:r w:rsidRPr="00513B51">
          <w:rPr>
            <w:rStyle w:val="Hyperlink"/>
            <w:sz w:val="22"/>
            <w:szCs w:val="22"/>
          </w:rPr>
          <w:t>sitio web del UIT-T</w:t>
        </w:r>
      </w:hyperlink>
    </w:p>
    <w:p w14:paraId="3D1C1AFF" w14:textId="424999F8" w:rsidR="00736048" w:rsidRPr="00513B51" w:rsidRDefault="00736048" w:rsidP="00A73E26">
      <w:pPr>
        <w:jc w:val="both"/>
        <w:rPr>
          <w:sz w:val="22"/>
          <w:szCs w:val="22"/>
        </w:rPr>
      </w:pPr>
      <w:r w:rsidRPr="00513B51">
        <w:rPr>
          <w:sz w:val="22"/>
          <w:szCs w:val="22"/>
        </w:rPr>
        <w:t>3</w:t>
      </w:r>
      <w:r w:rsidRPr="00513B51">
        <w:rPr>
          <w:sz w:val="22"/>
          <w:szCs w:val="22"/>
        </w:rPr>
        <w:tab/>
      </w:r>
      <w:proofErr w:type="gramStart"/>
      <w:r w:rsidRPr="00513B51">
        <w:rPr>
          <w:sz w:val="22"/>
          <w:szCs w:val="22"/>
        </w:rPr>
        <w:t>Los</w:t>
      </w:r>
      <w:proofErr w:type="gramEnd"/>
      <w:r w:rsidRPr="00513B51">
        <w:rPr>
          <w:sz w:val="22"/>
          <w:szCs w:val="22"/>
        </w:rPr>
        <w:t xml:space="preserve"> t</w:t>
      </w:r>
      <w:r w:rsidR="00120FB8">
        <w:rPr>
          <w:sz w:val="22"/>
          <w:szCs w:val="22"/>
        </w:rPr>
        <w:t xml:space="preserve">extos de las Recomendaciones </w:t>
      </w:r>
      <w:r w:rsidRPr="00513B51">
        <w:rPr>
          <w:sz w:val="22"/>
          <w:szCs w:val="22"/>
        </w:rPr>
        <w:t xml:space="preserve">publicadas </w:t>
      </w:r>
      <w:r w:rsidR="00120FB8">
        <w:rPr>
          <w:sz w:val="22"/>
          <w:szCs w:val="22"/>
        </w:rPr>
        <w:t>previamente figuran</w:t>
      </w:r>
      <w:r w:rsidRPr="00513B51">
        <w:rPr>
          <w:sz w:val="22"/>
          <w:szCs w:val="22"/>
        </w:rPr>
        <w:t xml:space="preserve"> en el sitio web del UIT-T en la dirección: </w:t>
      </w:r>
      <w:hyperlink r:id="rId12" w:history="1">
        <w:r w:rsidRPr="00513B51">
          <w:rPr>
            <w:rStyle w:val="Hyperlink"/>
            <w:sz w:val="22"/>
            <w:szCs w:val="22"/>
          </w:rPr>
          <w:t>https://www.itu.int/itu-t/recommendations/</w:t>
        </w:r>
      </w:hyperlink>
    </w:p>
    <w:p w14:paraId="7A44865E" w14:textId="5BE94032" w:rsidR="00736048" w:rsidRPr="00513B51" w:rsidRDefault="00736048" w:rsidP="00736048">
      <w:pPr>
        <w:rPr>
          <w:sz w:val="22"/>
          <w:szCs w:val="22"/>
        </w:rPr>
      </w:pPr>
      <w:r w:rsidRPr="00513B51">
        <w:rPr>
          <w:sz w:val="22"/>
          <w:szCs w:val="22"/>
        </w:rPr>
        <w:t>4</w:t>
      </w:r>
      <w:r w:rsidRPr="00513B51">
        <w:rPr>
          <w:sz w:val="22"/>
          <w:szCs w:val="22"/>
        </w:rPr>
        <w:tab/>
      </w:r>
      <w:proofErr w:type="gramStart"/>
      <w:r w:rsidRPr="00513B51">
        <w:rPr>
          <w:sz w:val="22"/>
          <w:szCs w:val="22"/>
        </w:rPr>
        <w:t>La</w:t>
      </w:r>
      <w:proofErr w:type="gramEnd"/>
      <w:r w:rsidRPr="00513B51">
        <w:rPr>
          <w:sz w:val="22"/>
          <w:szCs w:val="22"/>
        </w:rPr>
        <w:t xml:space="preserve"> UIT publicará lo antes posible los textos de las Recomendaciones aprobadas.</w:t>
      </w:r>
    </w:p>
    <w:p w14:paraId="31E3CD45" w14:textId="288FFFE1" w:rsidR="00736048" w:rsidRPr="00513B51" w:rsidRDefault="00736048" w:rsidP="00736048">
      <w:pPr>
        <w:rPr>
          <w:sz w:val="22"/>
          <w:szCs w:val="22"/>
        </w:rPr>
      </w:pPr>
      <w:r w:rsidRPr="00513B51">
        <w:rPr>
          <w:sz w:val="22"/>
          <w:szCs w:val="22"/>
        </w:rPr>
        <w:t>Atentamente,</w:t>
      </w:r>
    </w:p>
    <w:p w14:paraId="07B50F3E" w14:textId="7F5E607C" w:rsidR="00F07A67" w:rsidRDefault="00E13232" w:rsidP="00120FB8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  <w:lang w:val="es-ES" w:eastAsia="ko-KR"/>
        </w:rPr>
        <w:drawing>
          <wp:anchor distT="0" distB="0" distL="114300" distR="114300" simplePos="0" relativeHeight="251658240" behindDoc="1" locked="0" layoutInCell="1" allowOverlap="1" wp14:anchorId="7E1488B7" wp14:editId="1CB06F3C">
            <wp:simplePos x="0" y="0"/>
            <wp:positionH relativeFrom="column">
              <wp:posOffset>41910</wp:posOffset>
            </wp:positionH>
            <wp:positionV relativeFrom="paragraph">
              <wp:posOffset>142875</wp:posOffset>
            </wp:positionV>
            <wp:extent cx="761354" cy="342900"/>
            <wp:effectExtent l="0" t="0" r="127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048" w:rsidRPr="00736048">
        <w:rPr>
          <w:noProof/>
          <w:sz w:val="22"/>
          <w:szCs w:val="22"/>
          <w:lang w:val="es-ES" w:eastAsia="ko-KR"/>
        </w:rPr>
        <w:t>Seizo Onoe</w:t>
      </w:r>
      <w:r w:rsidR="00736048" w:rsidRPr="00513B51">
        <w:rPr>
          <w:sz w:val="22"/>
          <w:szCs w:val="22"/>
        </w:rPr>
        <w:br/>
      </w:r>
      <w:proofErr w:type="gramStart"/>
      <w:r w:rsidR="00736048" w:rsidRPr="00513B51">
        <w:rPr>
          <w:sz w:val="22"/>
          <w:szCs w:val="22"/>
        </w:rPr>
        <w:t>Director</w:t>
      </w:r>
      <w:proofErr w:type="gramEnd"/>
      <w:r w:rsidR="00736048" w:rsidRPr="00513B51">
        <w:rPr>
          <w:sz w:val="22"/>
          <w:szCs w:val="22"/>
        </w:rPr>
        <w:t xml:space="preserve"> de la Oficina de Normalización</w:t>
      </w:r>
      <w:r w:rsidR="00A73E26">
        <w:rPr>
          <w:sz w:val="22"/>
          <w:szCs w:val="22"/>
        </w:rPr>
        <w:br/>
      </w:r>
      <w:r w:rsidR="00736048" w:rsidRPr="00513B51">
        <w:rPr>
          <w:sz w:val="22"/>
          <w:szCs w:val="22"/>
        </w:rPr>
        <w:t>de las Telecomunicaciones</w:t>
      </w:r>
    </w:p>
    <w:sectPr w:rsidR="00F07A67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8A2A" w14:textId="77777777" w:rsidR="00906B2A" w:rsidRDefault="00906B2A">
      <w:r>
        <w:separator/>
      </w:r>
    </w:p>
  </w:endnote>
  <w:endnote w:type="continuationSeparator" w:id="0">
    <w:p w14:paraId="6A83E9B8" w14:textId="77777777" w:rsidR="00906B2A" w:rsidRDefault="0090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DC76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98FB" w14:textId="77777777" w:rsidR="00906B2A" w:rsidRDefault="00906B2A">
      <w:r>
        <w:t>____________________</w:t>
      </w:r>
    </w:p>
  </w:footnote>
  <w:footnote w:type="continuationSeparator" w:id="0">
    <w:p w14:paraId="5662FA18" w14:textId="77777777" w:rsidR="00906B2A" w:rsidRDefault="00906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E941" w14:textId="25896AD7" w:rsidR="006969B4" w:rsidRPr="00303D62" w:rsidRDefault="004039FF">
    <w:pPr>
      <w:pStyle w:val="Header"/>
      <w:rPr>
        <w:sz w:val="18"/>
        <w:szCs w:val="18"/>
      </w:rPr>
    </w:pPr>
    <w:r>
      <w:rPr>
        <w:sz w:val="18"/>
        <w:szCs w:val="18"/>
      </w:rPr>
      <w:t>–</w:t>
    </w:r>
    <w:r w:rsidR="006969B4" w:rsidRPr="00303D62">
      <w:rPr>
        <w:sz w:val="18"/>
        <w:szCs w:val="18"/>
      </w:rPr>
      <w:t xml:space="preserve"> </w:t>
    </w:r>
    <w:r w:rsidR="00B87E9E" w:rsidRPr="00303D62">
      <w:rPr>
        <w:rStyle w:val="PageNumber"/>
        <w:sz w:val="18"/>
        <w:szCs w:val="18"/>
      </w:rPr>
      <w:fldChar w:fldCharType="begin"/>
    </w:r>
    <w:r w:rsidR="006969B4"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20FB8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="006969B4" w:rsidRPr="00303D62"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>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549D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5264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981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09B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8E6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8A9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12F1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A01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1A4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F46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966308109">
    <w:abstractNumId w:val="10"/>
  </w:num>
  <w:num w:numId="2" w16cid:durableId="21052358">
    <w:abstractNumId w:val="13"/>
  </w:num>
  <w:num w:numId="3" w16cid:durableId="458375173">
    <w:abstractNumId w:val="12"/>
  </w:num>
  <w:num w:numId="4" w16cid:durableId="1916623822">
    <w:abstractNumId w:val="11"/>
  </w:num>
  <w:num w:numId="5" w16cid:durableId="693962176">
    <w:abstractNumId w:val="9"/>
  </w:num>
  <w:num w:numId="6" w16cid:durableId="1809936315">
    <w:abstractNumId w:val="7"/>
  </w:num>
  <w:num w:numId="7" w16cid:durableId="650445629">
    <w:abstractNumId w:val="6"/>
  </w:num>
  <w:num w:numId="8" w16cid:durableId="782576325">
    <w:abstractNumId w:val="5"/>
  </w:num>
  <w:num w:numId="9" w16cid:durableId="1886133652">
    <w:abstractNumId w:val="4"/>
  </w:num>
  <w:num w:numId="10" w16cid:durableId="2009551039">
    <w:abstractNumId w:val="8"/>
  </w:num>
  <w:num w:numId="11" w16cid:durableId="875041825">
    <w:abstractNumId w:val="3"/>
  </w:num>
  <w:num w:numId="12" w16cid:durableId="1035084938">
    <w:abstractNumId w:val="2"/>
  </w:num>
  <w:num w:numId="13" w16cid:durableId="496575498">
    <w:abstractNumId w:val="1"/>
  </w:num>
  <w:num w:numId="14" w16cid:durableId="205253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2A"/>
    <w:rsid w:val="00002529"/>
    <w:rsid w:val="00085662"/>
    <w:rsid w:val="000B05F1"/>
    <w:rsid w:val="000C382F"/>
    <w:rsid w:val="001173CC"/>
    <w:rsid w:val="00120FB8"/>
    <w:rsid w:val="0014464D"/>
    <w:rsid w:val="00167EA4"/>
    <w:rsid w:val="0019684A"/>
    <w:rsid w:val="001A4DCA"/>
    <w:rsid w:val="001A54CC"/>
    <w:rsid w:val="00206B57"/>
    <w:rsid w:val="00257FB4"/>
    <w:rsid w:val="00291F4F"/>
    <w:rsid w:val="002E496E"/>
    <w:rsid w:val="00303D62"/>
    <w:rsid w:val="00335367"/>
    <w:rsid w:val="00370C2D"/>
    <w:rsid w:val="003D1E8D"/>
    <w:rsid w:val="003D673B"/>
    <w:rsid w:val="003E737B"/>
    <w:rsid w:val="003F2855"/>
    <w:rsid w:val="00401C20"/>
    <w:rsid w:val="004039FF"/>
    <w:rsid w:val="004A765B"/>
    <w:rsid w:val="004A7957"/>
    <w:rsid w:val="004B02A5"/>
    <w:rsid w:val="004C4144"/>
    <w:rsid w:val="00515B33"/>
    <w:rsid w:val="0055719E"/>
    <w:rsid w:val="005D7189"/>
    <w:rsid w:val="006449F9"/>
    <w:rsid w:val="00654F58"/>
    <w:rsid w:val="006969B4"/>
    <w:rsid w:val="006E4F7B"/>
    <w:rsid w:val="00736048"/>
    <w:rsid w:val="007404E4"/>
    <w:rsid w:val="0075361B"/>
    <w:rsid w:val="00757A33"/>
    <w:rsid w:val="00781E2A"/>
    <w:rsid w:val="007933A2"/>
    <w:rsid w:val="007B6316"/>
    <w:rsid w:val="00814503"/>
    <w:rsid w:val="008258C2"/>
    <w:rsid w:val="008505BD"/>
    <w:rsid w:val="00850C78"/>
    <w:rsid w:val="00870B9A"/>
    <w:rsid w:val="00876165"/>
    <w:rsid w:val="00884D12"/>
    <w:rsid w:val="008C17AD"/>
    <w:rsid w:val="008D02CD"/>
    <w:rsid w:val="00906B2A"/>
    <w:rsid w:val="0091370C"/>
    <w:rsid w:val="00940FE9"/>
    <w:rsid w:val="0095172A"/>
    <w:rsid w:val="009A0BA0"/>
    <w:rsid w:val="00A54E47"/>
    <w:rsid w:val="00A73E26"/>
    <w:rsid w:val="00A77832"/>
    <w:rsid w:val="00AB6E3A"/>
    <w:rsid w:val="00AB7CBE"/>
    <w:rsid w:val="00AE7093"/>
    <w:rsid w:val="00B34AA0"/>
    <w:rsid w:val="00B35776"/>
    <w:rsid w:val="00B422BC"/>
    <w:rsid w:val="00B43F77"/>
    <w:rsid w:val="00B55A3E"/>
    <w:rsid w:val="00B86CF8"/>
    <w:rsid w:val="00B87E9E"/>
    <w:rsid w:val="00B95F0A"/>
    <w:rsid w:val="00B96180"/>
    <w:rsid w:val="00C116FE"/>
    <w:rsid w:val="00C17AC0"/>
    <w:rsid w:val="00C23315"/>
    <w:rsid w:val="00C34772"/>
    <w:rsid w:val="00C5465A"/>
    <w:rsid w:val="00D54642"/>
    <w:rsid w:val="00D834E7"/>
    <w:rsid w:val="00DB6D44"/>
    <w:rsid w:val="00DD77C9"/>
    <w:rsid w:val="00DF3538"/>
    <w:rsid w:val="00E13232"/>
    <w:rsid w:val="00E33EB1"/>
    <w:rsid w:val="00E42DA0"/>
    <w:rsid w:val="00E839B0"/>
    <w:rsid w:val="00E92C09"/>
    <w:rsid w:val="00F07A67"/>
    <w:rsid w:val="00F14380"/>
    <w:rsid w:val="00F53425"/>
    <w:rsid w:val="00F6461F"/>
    <w:rsid w:val="00F71A83"/>
    <w:rsid w:val="00FC416A"/>
    <w:rsid w:val="00FD2B2D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8CF86"/>
  <w15:docId w15:val="{E8EE27FE-038A-43F7-94DC-F914BAB4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qFormat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6B2A"/>
    <w:rPr>
      <w:color w:val="605E5C"/>
      <w:shd w:val="clear" w:color="auto" w:fill="E1DFDD"/>
    </w:rPr>
  </w:style>
  <w:style w:type="table" w:styleId="TableGrid">
    <w:name w:val="Table Grid"/>
    <w:basedOn w:val="TableNormal"/>
    <w:rsid w:val="00A77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3E73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TabletextChar">
    <w:name w:val="Table_text Char"/>
    <w:link w:val="Tabletext0"/>
    <w:qFormat/>
    <w:locked/>
    <w:rsid w:val="00515B33"/>
    <w:rPr>
      <w:rFonts w:asciiTheme="minorHAnsi" w:hAnsiTheme="minorHAnsi"/>
      <w:sz w:val="22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3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037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irez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E21C9-5494-4BD7-9E1D-D6228CCB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45</TotalTime>
  <Pages>1</Pages>
  <Words>292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2152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11</cp:revision>
  <cp:lastPrinted>2023-03-27T13:23:00Z</cp:lastPrinted>
  <dcterms:created xsi:type="dcterms:W3CDTF">2023-02-13T10:20:00Z</dcterms:created>
  <dcterms:modified xsi:type="dcterms:W3CDTF">2023-03-27T13:23:00Z</dcterms:modified>
</cp:coreProperties>
</file>