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8" w:type="dxa"/>
        <w:tblLayout w:type="fixed"/>
        <w:tblLook w:val="0000" w:firstRow="0" w:lastRow="0" w:firstColumn="0" w:lastColumn="0" w:noHBand="0" w:noVBand="0"/>
      </w:tblPr>
      <w:tblGrid>
        <w:gridCol w:w="1336"/>
        <w:gridCol w:w="6"/>
        <w:gridCol w:w="3186"/>
        <w:gridCol w:w="5111"/>
      </w:tblGrid>
      <w:tr w:rsidR="007B6316" w:rsidRPr="00BB3AEE" w14:paraId="29B2C532" w14:textId="77777777" w:rsidTr="00C011F1">
        <w:trPr>
          <w:cantSplit/>
          <w:trHeight w:val="340"/>
        </w:trPr>
        <w:tc>
          <w:tcPr>
            <w:tcW w:w="1342" w:type="dxa"/>
            <w:gridSpan w:val="2"/>
          </w:tcPr>
          <w:p w14:paraId="1984C53A" w14:textId="77777777" w:rsidR="007B6316" w:rsidRPr="00BB3AEE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BB3AEE">
              <w:rPr>
                <w:noProof/>
                <w:lang w:eastAsia="zh-CN"/>
              </w:rPr>
              <w:drawing>
                <wp:inline distT="0" distB="0" distL="0" distR="0" wp14:anchorId="25927F81" wp14:editId="00322D24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2"/>
            <w:vAlign w:val="center"/>
          </w:tcPr>
          <w:p w14:paraId="158F0668" w14:textId="77777777" w:rsidR="007B6316" w:rsidRPr="00BB3AEE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BB3AEE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2AF5906F" w14:textId="77777777" w:rsidR="007B6316" w:rsidRPr="00BB3AEE" w:rsidRDefault="007B6316" w:rsidP="007B6316">
            <w:pPr>
              <w:spacing w:before="0"/>
            </w:pPr>
            <w:r w:rsidRPr="00BB3AEE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BB3AEE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BB3AEE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F51948" w14:paraId="3D43A5AC" w14:textId="77777777" w:rsidTr="009F664E">
        <w:trPr>
          <w:cantSplit/>
          <w:trHeight w:val="340"/>
        </w:trPr>
        <w:tc>
          <w:tcPr>
            <w:tcW w:w="1336" w:type="dxa"/>
          </w:tcPr>
          <w:p w14:paraId="4A43E4F5" w14:textId="77777777" w:rsidR="007B6316" w:rsidRPr="00F51948" w:rsidRDefault="007B6316" w:rsidP="00C011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92" w:type="dxa"/>
            <w:gridSpan w:val="2"/>
          </w:tcPr>
          <w:p w14:paraId="29B36405" w14:textId="77777777" w:rsidR="007B6316" w:rsidRPr="00F51948" w:rsidRDefault="007B6316" w:rsidP="00C011F1">
            <w:pPr>
              <w:tabs>
                <w:tab w:val="left" w:pos="4111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11" w:type="dxa"/>
          </w:tcPr>
          <w:p w14:paraId="247F3F4E" w14:textId="77777777" w:rsidR="007B6316" w:rsidRPr="00F51948" w:rsidRDefault="007B6316" w:rsidP="00C011F1">
            <w:pPr>
              <w:rPr>
                <w:rFonts w:cstheme="minorHAnsi"/>
                <w:sz w:val="22"/>
                <w:szCs w:val="22"/>
              </w:rPr>
            </w:pPr>
            <w:r w:rsidRPr="00F51948">
              <w:rPr>
                <w:rFonts w:cstheme="minorHAnsi"/>
                <w:sz w:val="22"/>
                <w:szCs w:val="22"/>
              </w:rPr>
              <w:t>Ginebra,</w:t>
            </w:r>
            <w:r w:rsidR="00FA0602" w:rsidRPr="00F51948">
              <w:rPr>
                <w:rFonts w:cstheme="minorHAnsi"/>
                <w:sz w:val="22"/>
                <w:szCs w:val="22"/>
              </w:rPr>
              <w:t xml:space="preserve"> 8 de </w:t>
            </w:r>
            <w:r w:rsidR="00782FD8" w:rsidRPr="00F51948">
              <w:rPr>
                <w:rFonts w:cstheme="minorHAnsi"/>
                <w:sz w:val="22"/>
                <w:szCs w:val="22"/>
              </w:rPr>
              <w:t xml:space="preserve">febrero </w:t>
            </w:r>
            <w:r w:rsidR="00FA0602" w:rsidRPr="00F51948">
              <w:rPr>
                <w:rFonts w:cstheme="minorHAnsi"/>
                <w:sz w:val="22"/>
                <w:szCs w:val="22"/>
              </w:rPr>
              <w:t>de 2023</w:t>
            </w:r>
          </w:p>
          <w:p w14:paraId="6210E590" w14:textId="22A4B9F9" w:rsidR="000D4C5A" w:rsidRPr="00F51948" w:rsidRDefault="000D4C5A" w:rsidP="00C011F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F664E" w:rsidRPr="00F51948" w14:paraId="6FF9DCD8" w14:textId="77777777" w:rsidTr="009F664E">
        <w:trPr>
          <w:cantSplit/>
          <w:trHeight w:val="340"/>
        </w:trPr>
        <w:tc>
          <w:tcPr>
            <w:tcW w:w="1336" w:type="dxa"/>
          </w:tcPr>
          <w:p w14:paraId="577349FB" w14:textId="68D939F5" w:rsidR="009F664E" w:rsidRPr="00F51948" w:rsidRDefault="009F664E" w:rsidP="009F664E">
            <w:pPr>
              <w:spacing w:before="40" w:after="40"/>
              <w:rPr>
                <w:rFonts w:cstheme="minorHAnsi"/>
                <w:b/>
                <w:bCs/>
                <w:sz w:val="22"/>
                <w:szCs w:val="22"/>
              </w:rPr>
            </w:pPr>
            <w:r w:rsidRPr="00F51948">
              <w:rPr>
                <w:rFonts w:cstheme="minorHAnsi"/>
                <w:b/>
                <w:bCs/>
                <w:sz w:val="22"/>
                <w:szCs w:val="22"/>
              </w:rPr>
              <w:t>Ref.:</w:t>
            </w:r>
          </w:p>
        </w:tc>
        <w:tc>
          <w:tcPr>
            <w:tcW w:w="3192" w:type="dxa"/>
            <w:gridSpan w:val="2"/>
          </w:tcPr>
          <w:p w14:paraId="6C19AD1E" w14:textId="7943E056" w:rsidR="009F664E" w:rsidRPr="00F51948" w:rsidRDefault="009F664E" w:rsidP="009F664E">
            <w:pPr>
              <w:spacing w:before="40" w:after="40"/>
              <w:rPr>
                <w:rFonts w:cstheme="minorHAnsi"/>
                <w:b/>
                <w:bCs/>
                <w:sz w:val="22"/>
                <w:szCs w:val="22"/>
              </w:rPr>
            </w:pPr>
            <w:r w:rsidRPr="00F51948">
              <w:rPr>
                <w:rFonts w:cstheme="minorHAnsi"/>
                <w:b/>
                <w:bCs/>
                <w:sz w:val="22"/>
                <w:szCs w:val="22"/>
              </w:rPr>
              <w:t>Circular TSB 0</w:t>
            </w:r>
            <w:r w:rsidR="00782FD8" w:rsidRPr="00F51948">
              <w:rPr>
                <w:rFonts w:cstheme="minorHAnsi"/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5111" w:type="dxa"/>
            <w:vMerge w:val="restart"/>
          </w:tcPr>
          <w:p w14:paraId="6E5908C7" w14:textId="77777777" w:rsidR="009F664E" w:rsidRPr="00F51948" w:rsidRDefault="009F664E" w:rsidP="009F664E">
            <w:pPr>
              <w:spacing w:before="40" w:after="20"/>
              <w:rPr>
                <w:rFonts w:cstheme="minorHAnsi"/>
                <w:b/>
                <w:bCs/>
                <w:sz w:val="22"/>
                <w:szCs w:val="22"/>
              </w:rPr>
            </w:pPr>
            <w:bookmarkStart w:id="0" w:name="Addressee_S"/>
            <w:bookmarkEnd w:id="0"/>
            <w:r w:rsidRPr="00F51948">
              <w:rPr>
                <w:rFonts w:cstheme="minorHAnsi"/>
                <w:b/>
                <w:bCs/>
                <w:sz w:val="22"/>
                <w:szCs w:val="22"/>
              </w:rPr>
              <w:t>A:</w:t>
            </w:r>
          </w:p>
          <w:p w14:paraId="68B2BE9D" w14:textId="77777777" w:rsidR="009F664E" w:rsidRPr="00F51948" w:rsidRDefault="009F664E" w:rsidP="00C011F1">
            <w:pPr>
              <w:tabs>
                <w:tab w:val="clear" w:pos="794"/>
                <w:tab w:val="left" w:pos="364"/>
              </w:tabs>
              <w:spacing w:before="20" w:after="20"/>
              <w:ind w:left="307" w:hanging="307"/>
              <w:rPr>
                <w:rFonts w:cstheme="minorHAnsi"/>
                <w:sz w:val="22"/>
                <w:szCs w:val="22"/>
              </w:rPr>
            </w:pPr>
            <w:r w:rsidRPr="00F51948">
              <w:rPr>
                <w:rFonts w:cstheme="minorHAnsi"/>
                <w:sz w:val="22"/>
                <w:szCs w:val="22"/>
              </w:rPr>
              <w:t>–</w:t>
            </w:r>
            <w:r w:rsidRPr="00F51948">
              <w:rPr>
                <w:rFonts w:cstheme="minorHAnsi"/>
                <w:sz w:val="22"/>
                <w:szCs w:val="22"/>
              </w:rPr>
              <w:tab/>
              <w:t>las Administraciones de los Estados Miembros de la Unión;</w:t>
            </w:r>
          </w:p>
          <w:p w14:paraId="2C4784D9" w14:textId="77777777" w:rsidR="009F664E" w:rsidRPr="00F51948" w:rsidRDefault="009F664E" w:rsidP="00C011F1">
            <w:pPr>
              <w:tabs>
                <w:tab w:val="clear" w:pos="794"/>
                <w:tab w:val="left" w:pos="364"/>
              </w:tabs>
              <w:spacing w:before="20" w:after="20"/>
              <w:rPr>
                <w:rFonts w:cstheme="minorHAnsi"/>
                <w:sz w:val="22"/>
                <w:szCs w:val="22"/>
              </w:rPr>
            </w:pPr>
            <w:r w:rsidRPr="00F51948">
              <w:rPr>
                <w:rFonts w:cstheme="minorHAnsi"/>
                <w:sz w:val="22"/>
                <w:szCs w:val="22"/>
              </w:rPr>
              <w:t>–</w:t>
            </w:r>
            <w:r w:rsidRPr="00F51948">
              <w:rPr>
                <w:rFonts w:cstheme="minorHAnsi"/>
                <w:sz w:val="22"/>
                <w:szCs w:val="22"/>
              </w:rPr>
              <w:tab/>
              <w:t>los Miembros de Sector del UIT-T;</w:t>
            </w:r>
          </w:p>
          <w:p w14:paraId="4EC03D51" w14:textId="77777777" w:rsidR="009F664E" w:rsidRPr="00F51948" w:rsidRDefault="009F664E" w:rsidP="00C011F1">
            <w:pPr>
              <w:tabs>
                <w:tab w:val="clear" w:pos="794"/>
                <w:tab w:val="left" w:pos="364"/>
              </w:tabs>
              <w:spacing w:before="20" w:after="20"/>
              <w:rPr>
                <w:rFonts w:cstheme="minorHAnsi"/>
                <w:sz w:val="22"/>
                <w:szCs w:val="22"/>
              </w:rPr>
            </w:pPr>
            <w:r w:rsidRPr="00F51948">
              <w:rPr>
                <w:rFonts w:cstheme="minorHAnsi"/>
                <w:sz w:val="22"/>
                <w:szCs w:val="22"/>
              </w:rPr>
              <w:t>–</w:t>
            </w:r>
            <w:r w:rsidRPr="00F51948">
              <w:rPr>
                <w:rFonts w:cstheme="minorHAnsi"/>
                <w:sz w:val="22"/>
                <w:szCs w:val="22"/>
              </w:rPr>
              <w:tab/>
              <w:t>los Asociados del UIT-T;</w:t>
            </w:r>
          </w:p>
          <w:p w14:paraId="3013503C" w14:textId="3FFD2704" w:rsidR="009F664E" w:rsidRPr="00F51948" w:rsidRDefault="009F664E" w:rsidP="00C011F1">
            <w:pPr>
              <w:tabs>
                <w:tab w:val="clear" w:pos="794"/>
                <w:tab w:val="left" w:pos="364"/>
              </w:tabs>
              <w:spacing w:before="20" w:after="20"/>
              <w:rPr>
                <w:rFonts w:cstheme="minorHAnsi"/>
                <w:sz w:val="22"/>
                <w:szCs w:val="22"/>
              </w:rPr>
            </w:pPr>
            <w:r w:rsidRPr="00F51948">
              <w:rPr>
                <w:rFonts w:cstheme="minorHAnsi"/>
                <w:sz w:val="22"/>
                <w:szCs w:val="22"/>
              </w:rPr>
              <w:t>–</w:t>
            </w:r>
            <w:r w:rsidRPr="00F51948">
              <w:rPr>
                <w:rFonts w:cstheme="minorHAnsi"/>
                <w:sz w:val="22"/>
                <w:szCs w:val="22"/>
              </w:rPr>
              <w:tab/>
              <w:t>las Instituciones Académicas de la UIT</w:t>
            </w:r>
          </w:p>
        </w:tc>
      </w:tr>
      <w:tr w:rsidR="009F664E" w:rsidRPr="00F51948" w14:paraId="5C975430" w14:textId="77777777" w:rsidTr="009F664E">
        <w:trPr>
          <w:cantSplit/>
          <w:trHeight w:val="340"/>
        </w:trPr>
        <w:tc>
          <w:tcPr>
            <w:tcW w:w="1336" w:type="dxa"/>
          </w:tcPr>
          <w:p w14:paraId="6D93632E" w14:textId="4BABB439" w:rsidR="009F664E" w:rsidRPr="00F51948" w:rsidRDefault="009F664E" w:rsidP="009F664E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92" w:type="dxa"/>
            <w:gridSpan w:val="2"/>
          </w:tcPr>
          <w:p w14:paraId="4A50C2AA" w14:textId="497A845E" w:rsidR="009F664E" w:rsidRPr="00F51948" w:rsidRDefault="00782FD8" w:rsidP="009F664E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F51948">
              <w:rPr>
                <w:rFonts w:cstheme="minorHAnsi"/>
                <w:sz w:val="22"/>
                <w:szCs w:val="22"/>
              </w:rPr>
              <w:t>SG13/TK</w:t>
            </w:r>
          </w:p>
        </w:tc>
        <w:tc>
          <w:tcPr>
            <w:tcW w:w="5111" w:type="dxa"/>
            <w:vMerge/>
          </w:tcPr>
          <w:p w14:paraId="1748BD6A" w14:textId="77777777" w:rsidR="009F664E" w:rsidRPr="00F51948" w:rsidRDefault="009F664E" w:rsidP="009D4B76">
            <w:pPr>
              <w:spacing w:before="20" w:after="20"/>
              <w:ind w:left="57"/>
              <w:rPr>
                <w:rFonts w:cstheme="minorHAnsi"/>
                <w:sz w:val="22"/>
                <w:szCs w:val="22"/>
              </w:rPr>
            </w:pPr>
          </w:p>
        </w:tc>
      </w:tr>
      <w:tr w:rsidR="009F664E" w:rsidRPr="00F51948" w14:paraId="4780AE6B" w14:textId="77777777" w:rsidTr="009F664E">
        <w:trPr>
          <w:cantSplit/>
        </w:trPr>
        <w:tc>
          <w:tcPr>
            <w:tcW w:w="1336" w:type="dxa"/>
          </w:tcPr>
          <w:p w14:paraId="5F9A3C82" w14:textId="77777777" w:rsidR="009F664E" w:rsidRPr="00F51948" w:rsidRDefault="009F664E" w:rsidP="009F664E">
            <w:pPr>
              <w:spacing w:before="40" w:after="40"/>
              <w:rPr>
                <w:rFonts w:cstheme="minorHAnsi"/>
                <w:b/>
                <w:bCs/>
                <w:sz w:val="22"/>
                <w:szCs w:val="22"/>
              </w:rPr>
            </w:pPr>
            <w:r w:rsidRPr="00F51948">
              <w:rPr>
                <w:rFonts w:cstheme="minorHAnsi"/>
                <w:b/>
                <w:bCs/>
                <w:sz w:val="22"/>
                <w:szCs w:val="22"/>
              </w:rPr>
              <w:t>Tel.:</w:t>
            </w:r>
          </w:p>
        </w:tc>
        <w:tc>
          <w:tcPr>
            <w:tcW w:w="3192" w:type="dxa"/>
            <w:gridSpan w:val="2"/>
          </w:tcPr>
          <w:p w14:paraId="3B1032C0" w14:textId="1ADD87C0" w:rsidR="009F664E" w:rsidRPr="00F51948" w:rsidRDefault="009F664E" w:rsidP="009F664E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F51948">
              <w:rPr>
                <w:rFonts w:cstheme="minorHAnsi"/>
                <w:sz w:val="22"/>
                <w:szCs w:val="22"/>
              </w:rPr>
              <w:t xml:space="preserve">+41 22 730 </w:t>
            </w:r>
            <w:r w:rsidR="00782FD8" w:rsidRPr="00F51948">
              <w:rPr>
                <w:rFonts w:cstheme="minorHAnsi"/>
                <w:sz w:val="22"/>
                <w:szCs w:val="22"/>
              </w:rPr>
              <w:t>5126</w:t>
            </w:r>
          </w:p>
        </w:tc>
        <w:tc>
          <w:tcPr>
            <w:tcW w:w="5111" w:type="dxa"/>
            <w:vMerge/>
          </w:tcPr>
          <w:p w14:paraId="7777BC53" w14:textId="77777777" w:rsidR="009F664E" w:rsidRPr="00F51948" w:rsidRDefault="009F664E" w:rsidP="009D4B76">
            <w:pPr>
              <w:spacing w:before="20" w:after="20"/>
              <w:ind w:left="57"/>
              <w:rPr>
                <w:rFonts w:cstheme="minorHAnsi"/>
                <w:sz w:val="22"/>
                <w:szCs w:val="22"/>
              </w:rPr>
            </w:pPr>
          </w:p>
        </w:tc>
      </w:tr>
      <w:tr w:rsidR="009F664E" w:rsidRPr="00F51948" w14:paraId="3F868790" w14:textId="77777777" w:rsidTr="009F664E">
        <w:trPr>
          <w:cantSplit/>
        </w:trPr>
        <w:tc>
          <w:tcPr>
            <w:tcW w:w="1336" w:type="dxa"/>
          </w:tcPr>
          <w:p w14:paraId="2EB018DD" w14:textId="77777777" w:rsidR="009F664E" w:rsidRPr="00F51948" w:rsidRDefault="009F664E" w:rsidP="009F664E">
            <w:pPr>
              <w:spacing w:before="40" w:after="40"/>
              <w:rPr>
                <w:rFonts w:cstheme="minorHAnsi"/>
                <w:b/>
                <w:bCs/>
                <w:sz w:val="22"/>
                <w:szCs w:val="22"/>
              </w:rPr>
            </w:pPr>
            <w:r w:rsidRPr="00F51948">
              <w:rPr>
                <w:rFonts w:cstheme="minorHAnsi"/>
                <w:b/>
                <w:bCs/>
                <w:sz w:val="22"/>
                <w:szCs w:val="22"/>
              </w:rPr>
              <w:t>Fax:</w:t>
            </w:r>
          </w:p>
        </w:tc>
        <w:tc>
          <w:tcPr>
            <w:tcW w:w="3192" w:type="dxa"/>
            <w:gridSpan w:val="2"/>
          </w:tcPr>
          <w:p w14:paraId="34B68F88" w14:textId="26778233" w:rsidR="009F664E" w:rsidRPr="00F51948" w:rsidRDefault="009F664E" w:rsidP="009F664E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F51948">
              <w:rPr>
                <w:rFonts w:cstheme="minorHAnsi"/>
                <w:sz w:val="22"/>
                <w:szCs w:val="22"/>
              </w:rPr>
              <w:t>+41 22 730 5853</w:t>
            </w:r>
          </w:p>
        </w:tc>
        <w:tc>
          <w:tcPr>
            <w:tcW w:w="5111" w:type="dxa"/>
            <w:vMerge/>
          </w:tcPr>
          <w:p w14:paraId="5AAD258D" w14:textId="77777777" w:rsidR="009F664E" w:rsidRPr="00F51948" w:rsidRDefault="009F664E" w:rsidP="009D4B76">
            <w:pPr>
              <w:spacing w:before="20" w:after="20"/>
              <w:ind w:left="57"/>
              <w:rPr>
                <w:rFonts w:cstheme="minorHAnsi"/>
                <w:sz w:val="22"/>
                <w:szCs w:val="22"/>
              </w:rPr>
            </w:pPr>
          </w:p>
        </w:tc>
      </w:tr>
      <w:tr w:rsidR="009F664E" w:rsidRPr="00F51948" w14:paraId="2B71C318" w14:textId="77777777" w:rsidTr="009F664E">
        <w:trPr>
          <w:cantSplit/>
        </w:trPr>
        <w:tc>
          <w:tcPr>
            <w:tcW w:w="1336" w:type="dxa"/>
          </w:tcPr>
          <w:p w14:paraId="6F67C905" w14:textId="09CDE20B" w:rsidR="009F664E" w:rsidRPr="00F51948" w:rsidRDefault="009F664E" w:rsidP="009F664E">
            <w:pPr>
              <w:spacing w:before="40" w:after="40"/>
              <w:rPr>
                <w:rFonts w:cstheme="minorHAnsi"/>
                <w:b/>
                <w:bCs/>
                <w:sz w:val="22"/>
                <w:szCs w:val="22"/>
              </w:rPr>
            </w:pPr>
            <w:r w:rsidRPr="00F51948">
              <w:rPr>
                <w:rFonts w:cstheme="minorHAnsi"/>
                <w:b/>
                <w:bCs/>
                <w:sz w:val="22"/>
                <w:szCs w:val="22"/>
              </w:rPr>
              <w:t>Correo-e:</w:t>
            </w:r>
          </w:p>
        </w:tc>
        <w:tc>
          <w:tcPr>
            <w:tcW w:w="3192" w:type="dxa"/>
            <w:gridSpan w:val="2"/>
          </w:tcPr>
          <w:p w14:paraId="7B97CA43" w14:textId="0D0C4FE3" w:rsidR="009F664E" w:rsidRPr="00F51948" w:rsidRDefault="00E279EB" w:rsidP="009F664E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hyperlink r:id="rId9" w:history="1">
              <w:r w:rsidR="00782FD8" w:rsidRPr="00F51948">
                <w:rPr>
                  <w:rStyle w:val="Hyperlink"/>
                  <w:rFonts w:cstheme="minorHAnsi"/>
                  <w:bCs/>
                  <w:sz w:val="22"/>
                  <w:szCs w:val="22"/>
                </w:rPr>
                <w:t>tsbjcaml@itu.int</w:t>
              </w:r>
            </w:hyperlink>
          </w:p>
        </w:tc>
        <w:tc>
          <w:tcPr>
            <w:tcW w:w="5111" w:type="dxa"/>
            <w:vMerge/>
          </w:tcPr>
          <w:p w14:paraId="09375984" w14:textId="77777777" w:rsidR="009F664E" w:rsidRPr="00F51948" w:rsidRDefault="009F664E" w:rsidP="009D4B76">
            <w:pPr>
              <w:spacing w:before="20" w:after="20"/>
              <w:ind w:left="57"/>
              <w:rPr>
                <w:rFonts w:cstheme="minorHAnsi"/>
                <w:sz w:val="22"/>
                <w:szCs w:val="22"/>
              </w:rPr>
            </w:pPr>
          </w:p>
        </w:tc>
      </w:tr>
      <w:tr w:rsidR="00C34772" w:rsidRPr="00F51948" w14:paraId="4A8A26CF" w14:textId="77777777" w:rsidTr="009F664E">
        <w:trPr>
          <w:cantSplit/>
        </w:trPr>
        <w:tc>
          <w:tcPr>
            <w:tcW w:w="1336" w:type="dxa"/>
          </w:tcPr>
          <w:p w14:paraId="270B6406" w14:textId="1753ED93" w:rsidR="00C34772" w:rsidRPr="00F51948" w:rsidRDefault="00C34772" w:rsidP="00C011F1">
            <w:pPr>
              <w:spacing w:before="20" w:after="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92" w:type="dxa"/>
            <w:gridSpan w:val="2"/>
          </w:tcPr>
          <w:p w14:paraId="7B09034E" w14:textId="5BBC5ED5" w:rsidR="00C34772" w:rsidRPr="00F51948" w:rsidRDefault="00C34772" w:rsidP="00C011F1">
            <w:pPr>
              <w:spacing w:before="20" w:after="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11" w:type="dxa"/>
          </w:tcPr>
          <w:p w14:paraId="28E8E1B5" w14:textId="77777777" w:rsidR="00FA0602" w:rsidRPr="00F51948" w:rsidRDefault="00FA0602" w:rsidP="009F664E">
            <w:pPr>
              <w:spacing w:before="40" w:after="20"/>
              <w:rPr>
                <w:rFonts w:cstheme="minorHAnsi"/>
                <w:b/>
                <w:bCs/>
                <w:sz w:val="22"/>
                <w:szCs w:val="22"/>
              </w:rPr>
            </w:pPr>
            <w:r w:rsidRPr="00F51948">
              <w:rPr>
                <w:rFonts w:cstheme="minorHAnsi"/>
                <w:b/>
                <w:bCs/>
                <w:sz w:val="22"/>
                <w:szCs w:val="22"/>
              </w:rPr>
              <w:t>Copia:</w:t>
            </w:r>
          </w:p>
          <w:p w14:paraId="0927B240" w14:textId="77777777" w:rsidR="00FA0602" w:rsidRPr="00F51948" w:rsidRDefault="00FA0602" w:rsidP="00C011F1">
            <w:pPr>
              <w:tabs>
                <w:tab w:val="clear" w:pos="794"/>
                <w:tab w:val="left" w:pos="364"/>
              </w:tabs>
              <w:spacing w:before="20" w:after="20"/>
              <w:ind w:left="307" w:hanging="307"/>
              <w:rPr>
                <w:rFonts w:cstheme="minorHAnsi"/>
                <w:sz w:val="22"/>
                <w:szCs w:val="22"/>
              </w:rPr>
            </w:pPr>
            <w:r w:rsidRPr="00F51948">
              <w:rPr>
                <w:rFonts w:cstheme="minorHAnsi"/>
                <w:sz w:val="22"/>
                <w:szCs w:val="22"/>
              </w:rPr>
              <w:t>–</w:t>
            </w:r>
            <w:r w:rsidRPr="00F51948">
              <w:rPr>
                <w:rFonts w:cstheme="minorHAnsi"/>
                <w:sz w:val="22"/>
                <w:szCs w:val="22"/>
              </w:rPr>
              <w:tab/>
              <w:t xml:space="preserve">a los </w:t>
            </w:r>
            <w:proofErr w:type="gramStart"/>
            <w:r w:rsidRPr="00F51948">
              <w:rPr>
                <w:rFonts w:cstheme="minorHAnsi"/>
                <w:sz w:val="22"/>
                <w:szCs w:val="22"/>
              </w:rPr>
              <w:t>Presidentes</w:t>
            </w:r>
            <w:proofErr w:type="gramEnd"/>
            <w:r w:rsidRPr="00F51948">
              <w:rPr>
                <w:rFonts w:cstheme="minorHAnsi"/>
                <w:sz w:val="22"/>
                <w:szCs w:val="22"/>
              </w:rPr>
              <w:t xml:space="preserve"> y Vicepresidentes de las Comisiones de Estudio;</w:t>
            </w:r>
          </w:p>
          <w:p w14:paraId="52EDFE64" w14:textId="37BB5382" w:rsidR="00FA0602" w:rsidRPr="00F51948" w:rsidRDefault="00FA0602" w:rsidP="00C011F1">
            <w:pPr>
              <w:tabs>
                <w:tab w:val="clear" w:pos="794"/>
                <w:tab w:val="left" w:pos="364"/>
              </w:tabs>
              <w:spacing w:before="20" w:after="20"/>
              <w:ind w:left="307" w:hanging="307"/>
              <w:rPr>
                <w:rFonts w:cstheme="minorHAnsi"/>
                <w:sz w:val="22"/>
                <w:szCs w:val="22"/>
              </w:rPr>
            </w:pPr>
            <w:r w:rsidRPr="00F51948">
              <w:rPr>
                <w:rFonts w:cstheme="minorHAnsi"/>
                <w:sz w:val="22"/>
                <w:szCs w:val="22"/>
              </w:rPr>
              <w:t>–</w:t>
            </w:r>
            <w:r w:rsidRPr="00F51948">
              <w:rPr>
                <w:rFonts w:cstheme="minorHAnsi"/>
                <w:sz w:val="22"/>
                <w:szCs w:val="22"/>
              </w:rPr>
              <w:tab/>
              <w:t xml:space="preserve">al </w:t>
            </w:r>
            <w:proofErr w:type="gramStart"/>
            <w:r w:rsidRPr="00F51948">
              <w:rPr>
                <w:rFonts w:cstheme="minorHAnsi"/>
                <w:sz w:val="22"/>
                <w:szCs w:val="22"/>
              </w:rPr>
              <w:t>Director</w:t>
            </w:r>
            <w:proofErr w:type="gramEnd"/>
            <w:r w:rsidRPr="00F51948">
              <w:rPr>
                <w:rFonts w:cstheme="minorHAnsi"/>
                <w:sz w:val="22"/>
                <w:szCs w:val="22"/>
              </w:rPr>
              <w:t xml:space="preserve"> de la Oficina de Desarrollo de las Telecomunicaciones;</w:t>
            </w:r>
          </w:p>
          <w:p w14:paraId="0F452490" w14:textId="6DE08B17" w:rsidR="00FA0602" w:rsidRPr="00F51948" w:rsidRDefault="00FA0602" w:rsidP="001579AA">
            <w:pPr>
              <w:tabs>
                <w:tab w:val="clear" w:pos="794"/>
                <w:tab w:val="left" w:pos="364"/>
              </w:tabs>
              <w:spacing w:before="20" w:after="20"/>
              <w:ind w:left="364" w:hanging="364"/>
              <w:rPr>
                <w:rFonts w:cstheme="minorHAnsi"/>
                <w:sz w:val="22"/>
                <w:szCs w:val="22"/>
              </w:rPr>
            </w:pPr>
            <w:r w:rsidRPr="00F51948">
              <w:rPr>
                <w:rFonts w:cstheme="minorHAnsi"/>
                <w:sz w:val="22"/>
                <w:szCs w:val="22"/>
              </w:rPr>
              <w:t>–</w:t>
            </w:r>
            <w:r w:rsidRPr="00F51948">
              <w:rPr>
                <w:rFonts w:cstheme="minorHAnsi"/>
                <w:sz w:val="22"/>
                <w:szCs w:val="22"/>
              </w:rPr>
              <w:tab/>
              <w:t xml:space="preserve">al </w:t>
            </w:r>
            <w:proofErr w:type="gramStart"/>
            <w:r w:rsidRPr="00F51948">
              <w:rPr>
                <w:rFonts w:cstheme="minorHAnsi"/>
                <w:sz w:val="22"/>
                <w:szCs w:val="22"/>
              </w:rPr>
              <w:t>Director</w:t>
            </w:r>
            <w:proofErr w:type="gramEnd"/>
            <w:r w:rsidRPr="00F51948">
              <w:rPr>
                <w:rFonts w:cstheme="minorHAnsi"/>
                <w:sz w:val="22"/>
                <w:szCs w:val="22"/>
              </w:rPr>
              <w:t xml:space="preserve"> de la Oficina de Radiocomunicaciones</w:t>
            </w:r>
            <w:r w:rsidR="005A00F0" w:rsidRPr="00F51948">
              <w:rPr>
                <w:rFonts w:cstheme="minorHAnsi"/>
                <w:sz w:val="22"/>
                <w:szCs w:val="22"/>
              </w:rPr>
              <w:t>;</w:t>
            </w:r>
          </w:p>
          <w:p w14:paraId="2D72DC3C" w14:textId="77777777" w:rsidR="00C34772" w:rsidRPr="00F51948" w:rsidRDefault="00FA0602" w:rsidP="00C011F1">
            <w:pPr>
              <w:tabs>
                <w:tab w:val="clear" w:pos="794"/>
                <w:tab w:val="left" w:pos="364"/>
              </w:tabs>
              <w:spacing w:before="20" w:after="20"/>
              <w:ind w:left="307" w:hanging="307"/>
              <w:rPr>
                <w:rFonts w:cstheme="minorHAnsi"/>
                <w:sz w:val="22"/>
                <w:szCs w:val="22"/>
              </w:rPr>
            </w:pPr>
            <w:r w:rsidRPr="00F51948">
              <w:rPr>
                <w:rFonts w:cstheme="minorHAnsi"/>
                <w:sz w:val="22"/>
                <w:szCs w:val="22"/>
              </w:rPr>
              <w:t>–</w:t>
            </w:r>
            <w:r w:rsidRPr="00F51948">
              <w:rPr>
                <w:rFonts w:cstheme="minorHAnsi"/>
                <w:sz w:val="22"/>
                <w:szCs w:val="22"/>
              </w:rPr>
              <w:tab/>
              <w:t xml:space="preserve">a los </w:t>
            </w:r>
            <w:proofErr w:type="gramStart"/>
            <w:r w:rsidRPr="00F51948">
              <w:rPr>
                <w:rFonts w:cstheme="minorHAnsi"/>
                <w:sz w:val="22"/>
                <w:szCs w:val="22"/>
              </w:rPr>
              <w:t>Directores</w:t>
            </w:r>
            <w:proofErr w:type="gramEnd"/>
            <w:r w:rsidRPr="00F51948">
              <w:rPr>
                <w:rFonts w:cstheme="minorHAnsi"/>
                <w:sz w:val="22"/>
                <w:szCs w:val="22"/>
              </w:rPr>
              <w:t xml:space="preserve"> de las Oficinas Regionales de la UIT</w:t>
            </w:r>
          </w:p>
          <w:p w14:paraId="741AFDDE" w14:textId="2A77B181" w:rsidR="000D4C5A" w:rsidRPr="00F51948" w:rsidRDefault="000D4C5A" w:rsidP="000D4C5A">
            <w:pPr>
              <w:tabs>
                <w:tab w:val="clear" w:pos="794"/>
                <w:tab w:val="left" w:pos="364"/>
              </w:tabs>
              <w:spacing w:before="20" w:after="20"/>
              <w:rPr>
                <w:rFonts w:cstheme="minorHAnsi"/>
                <w:sz w:val="22"/>
                <w:szCs w:val="22"/>
              </w:rPr>
            </w:pPr>
          </w:p>
        </w:tc>
      </w:tr>
      <w:tr w:rsidR="007B6316" w:rsidRPr="00F51948" w14:paraId="79A167AF" w14:textId="77777777" w:rsidTr="009F664E">
        <w:trPr>
          <w:cantSplit/>
        </w:trPr>
        <w:tc>
          <w:tcPr>
            <w:tcW w:w="1336" w:type="dxa"/>
          </w:tcPr>
          <w:p w14:paraId="30FFA21A" w14:textId="77777777" w:rsidR="007B6316" w:rsidRPr="00F51948" w:rsidRDefault="007B6316" w:rsidP="00C011F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51948">
              <w:rPr>
                <w:rFonts w:cstheme="minorHAnsi"/>
                <w:b/>
                <w:bCs/>
                <w:sz w:val="22"/>
                <w:szCs w:val="22"/>
              </w:rPr>
              <w:t>Asunto:</w:t>
            </w:r>
          </w:p>
        </w:tc>
        <w:tc>
          <w:tcPr>
            <w:tcW w:w="8303" w:type="dxa"/>
            <w:gridSpan w:val="3"/>
          </w:tcPr>
          <w:p w14:paraId="59FA7D2F" w14:textId="248759BC" w:rsidR="007B6316" w:rsidRPr="00F51948" w:rsidRDefault="009D4B76" w:rsidP="00C011F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51948">
              <w:rPr>
                <w:rFonts w:cstheme="minorHAnsi"/>
                <w:b/>
                <w:bCs/>
                <w:sz w:val="22"/>
                <w:szCs w:val="22"/>
              </w:rPr>
              <w:t xml:space="preserve">Creación de la Actividad Conjunta de Coordinación sobre </w:t>
            </w:r>
            <w:r w:rsidR="00782FD8" w:rsidRPr="00F51948">
              <w:rPr>
                <w:rFonts w:cstheme="minorHAnsi"/>
                <w:b/>
                <w:bCs/>
                <w:sz w:val="22"/>
                <w:szCs w:val="22"/>
              </w:rPr>
              <w:t>aprendizaje automático</w:t>
            </w:r>
            <w:r w:rsidRPr="00F51948" w:rsidDel="0043451F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F51948">
              <w:rPr>
                <w:rFonts w:cstheme="minorHAnsi"/>
                <w:b/>
                <w:bCs/>
                <w:sz w:val="22"/>
                <w:szCs w:val="22"/>
              </w:rPr>
              <w:t>(</w:t>
            </w:r>
            <w:r w:rsidR="00782FD8" w:rsidRPr="00F51948">
              <w:rPr>
                <w:rFonts w:cstheme="minorHAnsi"/>
                <w:b/>
                <w:bCs/>
                <w:sz w:val="22"/>
                <w:szCs w:val="22"/>
              </w:rPr>
              <w:t>ML</w:t>
            </w:r>
            <w:r w:rsidRPr="00F51948">
              <w:rPr>
                <w:rFonts w:cstheme="minorHAnsi"/>
                <w:b/>
                <w:bCs/>
                <w:sz w:val="22"/>
                <w:szCs w:val="22"/>
              </w:rPr>
              <w:t xml:space="preserve">) </w:t>
            </w:r>
            <w:r w:rsidR="00782FD8" w:rsidRPr="00F51948">
              <w:rPr>
                <w:rFonts w:cstheme="minorHAnsi"/>
                <w:b/>
                <w:bCs/>
                <w:sz w:val="22"/>
                <w:szCs w:val="22"/>
              </w:rPr>
              <w:t>e invitación a la</w:t>
            </w:r>
            <w:r w:rsidRPr="00F51948">
              <w:rPr>
                <w:rFonts w:cstheme="minorHAnsi"/>
                <w:b/>
                <w:bCs/>
                <w:sz w:val="22"/>
                <w:szCs w:val="22"/>
              </w:rPr>
              <w:t xml:space="preserve"> primera reunión de </w:t>
            </w:r>
            <w:proofErr w:type="gramStart"/>
            <w:r w:rsidRPr="00F51948">
              <w:rPr>
                <w:rFonts w:cstheme="minorHAnsi"/>
                <w:b/>
                <w:bCs/>
                <w:sz w:val="22"/>
                <w:szCs w:val="22"/>
              </w:rPr>
              <w:t>la misma</w:t>
            </w:r>
            <w:proofErr w:type="gramEnd"/>
            <w:r w:rsidRPr="00F51948">
              <w:rPr>
                <w:rFonts w:cstheme="minorHAnsi"/>
                <w:b/>
                <w:bCs/>
                <w:sz w:val="22"/>
                <w:szCs w:val="22"/>
              </w:rPr>
              <w:t xml:space="preserve"> (Ginebra, </w:t>
            </w:r>
            <w:r w:rsidR="00782FD8" w:rsidRPr="00F51948">
              <w:rPr>
                <w:rFonts w:cstheme="minorHAnsi"/>
                <w:b/>
                <w:bCs/>
                <w:sz w:val="22"/>
                <w:szCs w:val="22"/>
              </w:rPr>
              <w:t>16</w:t>
            </w:r>
            <w:r w:rsidRPr="00F51948">
              <w:rPr>
                <w:rFonts w:cstheme="minorHAnsi"/>
                <w:b/>
                <w:bCs/>
                <w:sz w:val="22"/>
                <w:szCs w:val="22"/>
              </w:rPr>
              <w:t xml:space="preserve"> de marzo de</w:t>
            </w:r>
            <w:r w:rsidR="00272196" w:rsidRPr="00F51948">
              <w:rPr>
                <w:rFonts w:cstheme="minorHAnsi"/>
                <w:b/>
                <w:bCs/>
                <w:sz w:val="22"/>
                <w:szCs w:val="22"/>
              </w:rPr>
              <w:t> </w:t>
            </w:r>
            <w:r w:rsidRPr="00F51948">
              <w:rPr>
                <w:rFonts w:cstheme="minorHAnsi"/>
                <w:b/>
                <w:bCs/>
                <w:sz w:val="22"/>
                <w:szCs w:val="22"/>
              </w:rPr>
              <w:t>2023)</w:t>
            </w:r>
          </w:p>
        </w:tc>
      </w:tr>
    </w:tbl>
    <w:p w14:paraId="4013AF31" w14:textId="77777777" w:rsidR="00C34772" w:rsidRPr="00F51948" w:rsidRDefault="00C34772" w:rsidP="00C011F1">
      <w:pPr>
        <w:pStyle w:val="Normalaftertitle0"/>
        <w:rPr>
          <w:rFonts w:cstheme="minorHAnsi"/>
          <w:sz w:val="22"/>
          <w:szCs w:val="22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F51948">
        <w:rPr>
          <w:rFonts w:cstheme="minorHAnsi"/>
          <w:sz w:val="22"/>
          <w:szCs w:val="22"/>
        </w:rPr>
        <w:t>Muy Señora mía/Muy Señor mío:</w:t>
      </w:r>
    </w:p>
    <w:p w14:paraId="050A8093" w14:textId="552AC796" w:rsidR="00C22D84" w:rsidRPr="00F51948" w:rsidRDefault="00782FD8" w:rsidP="0009065B">
      <w:pPr>
        <w:rPr>
          <w:rFonts w:cstheme="minorHAnsi"/>
          <w:sz w:val="22"/>
          <w:szCs w:val="22"/>
        </w:rPr>
      </w:pPr>
      <w:bookmarkStart w:id="4" w:name="lt_pId072"/>
      <w:r w:rsidRPr="00F51948">
        <w:rPr>
          <w:rFonts w:cstheme="minorHAnsi"/>
          <w:sz w:val="22"/>
          <w:szCs w:val="22"/>
        </w:rPr>
        <w:t>1</w:t>
      </w:r>
      <w:r w:rsidRPr="00F51948">
        <w:rPr>
          <w:rFonts w:cstheme="minorHAnsi"/>
          <w:sz w:val="22"/>
          <w:szCs w:val="22"/>
        </w:rPr>
        <w:tab/>
      </w:r>
      <w:proofErr w:type="gramStart"/>
      <w:r w:rsidR="00C22D84" w:rsidRPr="00F51948">
        <w:rPr>
          <w:rFonts w:cstheme="minorHAnsi"/>
          <w:sz w:val="22"/>
          <w:szCs w:val="22"/>
        </w:rPr>
        <w:t>Me</w:t>
      </w:r>
      <w:proofErr w:type="gramEnd"/>
      <w:r w:rsidR="00C22D84" w:rsidRPr="00F51948">
        <w:rPr>
          <w:rFonts w:cstheme="minorHAnsi"/>
          <w:sz w:val="22"/>
          <w:szCs w:val="22"/>
        </w:rPr>
        <w:t xml:space="preserve"> complace informarle de que</w:t>
      </w:r>
      <w:r w:rsidR="004031DE" w:rsidRPr="00F51948">
        <w:rPr>
          <w:rFonts w:cstheme="minorHAnsi"/>
          <w:sz w:val="22"/>
          <w:szCs w:val="22"/>
        </w:rPr>
        <w:t xml:space="preserve"> </w:t>
      </w:r>
      <w:r w:rsidR="00C22D84" w:rsidRPr="00F51948">
        <w:rPr>
          <w:rFonts w:cstheme="minorHAnsi"/>
          <w:sz w:val="22"/>
          <w:szCs w:val="22"/>
        </w:rPr>
        <w:t>la Comisión de Estudio 13 del UIT-T</w:t>
      </w:r>
      <w:r w:rsidR="00AE7366" w:rsidRPr="00F51948">
        <w:rPr>
          <w:rFonts w:cstheme="minorHAnsi"/>
          <w:sz w:val="22"/>
          <w:szCs w:val="22"/>
        </w:rPr>
        <w:t xml:space="preserve">, en su reunión de julio de 2022, </w:t>
      </w:r>
      <w:r w:rsidR="00C22D84" w:rsidRPr="00F51948">
        <w:rPr>
          <w:rFonts w:cstheme="minorHAnsi"/>
          <w:sz w:val="22"/>
          <w:szCs w:val="22"/>
        </w:rPr>
        <w:t xml:space="preserve">convino en </w:t>
      </w:r>
      <w:r w:rsidR="00AE7366" w:rsidRPr="00F51948">
        <w:rPr>
          <w:rFonts w:cstheme="minorHAnsi"/>
          <w:sz w:val="22"/>
          <w:szCs w:val="22"/>
        </w:rPr>
        <w:t>crear</w:t>
      </w:r>
      <w:r w:rsidR="00C22D84" w:rsidRPr="00F51948">
        <w:rPr>
          <w:rFonts w:cstheme="minorHAnsi"/>
          <w:sz w:val="22"/>
          <w:szCs w:val="22"/>
        </w:rPr>
        <w:t xml:space="preserve"> la Actividad Conjunta de Coordinación sobre Aprendizaje Automático (JCA-ML), que </w:t>
      </w:r>
      <w:r w:rsidR="00AE7366" w:rsidRPr="00F51948">
        <w:rPr>
          <w:rFonts w:cstheme="minorHAnsi"/>
          <w:sz w:val="22"/>
          <w:szCs w:val="22"/>
        </w:rPr>
        <w:t>luego</w:t>
      </w:r>
      <w:r w:rsidR="00C22D84" w:rsidRPr="00F51948">
        <w:rPr>
          <w:rFonts w:cstheme="minorHAnsi"/>
          <w:sz w:val="22"/>
          <w:szCs w:val="22"/>
        </w:rPr>
        <w:t xml:space="preserve"> fue </w:t>
      </w:r>
      <w:r w:rsidR="00AE7366" w:rsidRPr="00F51948">
        <w:rPr>
          <w:rFonts w:cstheme="minorHAnsi"/>
          <w:sz w:val="22"/>
          <w:szCs w:val="22"/>
        </w:rPr>
        <w:t>refrendada</w:t>
      </w:r>
      <w:r w:rsidR="00C22D84" w:rsidRPr="00F51948">
        <w:rPr>
          <w:rFonts w:cstheme="minorHAnsi"/>
          <w:sz w:val="22"/>
          <w:szCs w:val="22"/>
        </w:rPr>
        <w:t xml:space="preserve"> por el Grupo Asesor de Normalización de las Telecomunicaciones (GANT) en su reunión de diciembre de 2022.</w:t>
      </w:r>
    </w:p>
    <w:p w14:paraId="7EF34C2F" w14:textId="77777777" w:rsidR="00C22D84" w:rsidRPr="00F51948" w:rsidRDefault="00C22D84" w:rsidP="0009065B">
      <w:pPr>
        <w:rPr>
          <w:rFonts w:cstheme="minorHAnsi"/>
          <w:sz w:val="22"/>
          <w:szCs w:val="22"/>
        </w:rPr>
      </w:pPr>
      <w:r w:rsidRPr="00F51948">
        <w:rPr>
          <w:rFonts w:cstheme="minorHAnsi"/>
          <w:sz w:val="22"/>
          <w:szCs w:val="22"/>
        </w:rPr>
        <w:t>La nueva JCA-ML depende de la Comisión de Estudio 13 y su mandato figura en el Anexo 1.</w:t>
      </w:r>
    </w:p>
    <w:p w14:paraId="1B4160AF" w14:textId="666BEBFB" w:rsidR="00782FD8" w:rsidRPr="00F51948" w:rsidRDefault="00C22D84" w:rsidP="0009065B">
      <w:pPr>
        <w:rPr>
          <w:rFonts w:cstheme="minorHAnsi"/>
          <w:sz w:val="22"/>
          <w:szCs w:val="22"/>
        </w:rPr>
      </w:pPr>
      <w:r w:rsidRPr="00F51948">
        <w:rPr>
          <w:rFonts w:cstheme="minorHAnsi"/>
          <w:sz w:val="22"/>
          <w:szCs w:val="22"/>
        </w:rPr>
        <w:t xml:space="preserve">El Sr. Kangchan Lee (ETRI, República de Corea) </w:t>
      </w:r>
      <w:r w:rsidR="00AE7366" w:rsidRPr="00F51948">
        <w:rPr>
          <w:rFonts w:cstheme="minorHAnsi"/>
          <w:sz w:val="22"/>
          <w:szCs w:val="22"/>
        </w:rPr>
        <w:t>fue</w:t>
      </w:r>
      <w:r w:rsidRPr="00F51948">
        <w:rPr>
          <w:rFonts w:cstheme="minorHAnsi"/>
          <w:sz w:val="22"/>
          <w:szCs w:val="22"/>
        </w:rPr>
        <w:t xml:space="preserve"> nombrado </w:t>
      </w:r>
      <w:proofErr w:type="gramStart"/>
      <w:r w:rsidRPr="00F51948">
        <w:rPr>
          <w:rFonts w:cstheme="minorHAnsi"/>
          <w:sz w:val="22"/>
          <w:szCs w:val="22"/>
        </w:rPr>
        <w:t>Presidente</w:t>
      </w:r>
      <w:proofErr w:type="gramEnd"/>
      <w:r w:rsidRPr="00F51948">
        <w:rPr>
          <w:rFonts w:cstheme="minorHAnsi"/>
          <w:sz w:val="22"/>
          <w:szCs w:val="22"/>
        </w:rPr>
        <w:t xml:space="preserve"> de la JCA-ML, mientras que el Sr. Marco Carugi (Huawei Technologies, China) </w:t>
      </w:r>
      <w:r w:rsidR="00AE7366" w:rsidRPr="00F51948">
        <w:rPr>
          <w:rFonts w:cstheme="minorHAnsi"/>
          <w:sz w:val="22"/>
          <w:szCs w:val="22"/>
        </w:rPr>
        <w:t>fue</w:t>
      </w:r>
      <w:r w:rsidRPr="00F51948">
        <w:rPr>
          <w:rFonts w:cstheme="minorHAnsi"/>
          <w:sz w:val="22"/>
          <w:szCs w:val="22"/>
        </w:rPr>
        <w:t xml:space="preserve"> nombrado Vicepresidente de la misma.</w:t>
      </w:r>
    </w:p>
    <w:p w14:paraId="3626D7B1" w14:textId="62ACDDAF" w:rsidR="00782FD8" w:rsidRPr="00F51948" w:rsidRDefault="00782FD8" w:rsidP="0009065B">
      <w:pPr>
        <w:rPr>
          <w:rFonts w:cstheme="minorHAnsi"/>
          <w:sz w:val="22"/>
          <w:szCs w:val="22"/>
        </w:rPr>
      </w:pPr>
      <w:r w:rsidRPr="00F51948">
        <w:rPr>
          <w:rFonts w:cstheme="minorHAnsi"/>
          <w:sz w:val="22"/>
          <w:szCs w:val="22"/>
        </w:rPr>
        <w:t>2</w:t>
      </w:r>
      <w:r w:rsidRPr="00F51948">
        <w:rPr>
          <w:rFonts w:cstheme="minorHAnsi"/>
          <w:sz w:val="22"/>
          <w:szCs w:val="22"/>
        </w:rPr>
        <w:tab/>
      </w:r>
      <w:proofErr w:type="gramStart"/>
      <w:r w:rsidR="00C00E4D" w:rsidRPr="00F51948">
        <w:rPr>
          <w:rFonts w:cstheme="minorHAnsi"/>
          <w:sz w:val="22"/>
          <w:szCs w:val="22"/>
        </w:rPr>
        <w:t>El</w:t>
      </w:r>
      <w:proofErr w:type="gramEnd"/>
      <w:r w:rsidR="00C00E4D" w:rsidRPr="00F51948">
        <w:rPr>
          <w:rFonts w:cstheme="minorHAnsi"/>
          <w:sz w:val="22"/>
          <w:szCs w:val="22"/>
        </w:rPr>
        <w:t xml:space="preserve"> ámbito de competencia de la JCA-ML </w:t>
      </w:r>
      <w:r w:rsidR="00AE7366" w:rsidRPr="00F51948">
        <w:rPr>
          <w:rFonts w:cstheme="minorHAnsi"/>
          <w:sz w:val="22"/>
          <w:szCs w:val="22"/>
        </w:rPr>
        <w:t xml:space="preserve">consiste en </w:t>
      </w:r>
      <w:r w:rsidR="00C00E4D" w:rsidRPr="00F51948">
        <w:rPr>
          <w:rFonts w:cstheme="minorHAnsi"/>
          <w:sz w:val="22"/>
          <w:szCs w:val="22"/>
        </w:rPr>
        <w:t xml:space="preserve">la coordinación del programa de trabajo del UIT-T sobre aplicaciones del aprendizaje automático y su labor de normalización conexa </w:t>
      </w:r>
      <w:r w:rsidR="00AE7366" w:rsidRPr="00F51948">
        <w:rPr>
          <w:rFonts w:cstheme="minorHAnsi"/>
          <w:sz w:val="22"/>
          <w:szCs w:val="22"/>
        </w:rPr>
        <w:t>en el marco de</w:t>
      </w:r>
      <w:r w:rsidR="00C00E4D" w:rsidRPr="00F51948">
        <w:rPr>
          <w:rFonts w:cstheme="minorHAnsi"/>
          <w:sz w:val="22"/>
          <w:szCs w:val="22"/>
        </w:rPr>
        <w:t xml:space="preserve"> las telecomunicaciones/TIC. La JCA-ML </w:t>
      </w:r>
      <w:r w:rsidR="00AE7366" w:rsidRPr="00F51948">
        <w:rPr>
          <w:rFonts w:cstheme="minorHAnsi"/>
          <w:sz w:val="22"/>
          <w:szCs w:val="22"/>
        </w:rPr>
        <w:t xml:space="preserve">espera </w:t>
      </w:r>
      <w:r w:rsidR="00C00E4D" w:rsidRPr="00F51948">
        <w:rPr>
          <w:rFonts w:cstheme="minorHAnsi"/>
          <w:sz w:val="22"/>
          <w:szCs w:val="22"/>
        </w:rPr>
        <w:t>coopera</w:t>
      </w:r>
      <w:r w:rsidR="00AE7366" w:rsidRPr="00F51948">
        <w:rPr>
          <w:rFonts w:cstheme="minorHAnsi"/>
          <w:sz w:val="22"/>
          <w:szCs w:val="22"/>
        </w:rPr>
        <w:t>r</w:t>
      </w:r>
      <w:r w:rsidR="00C00E4D" w:rsidRPr="00F51948">
        <w:rPr>
          <w:rFonts w:cstheme="minorHAnsi"/>
          <w:sz w:val="22"/>
          <w:szCs w:val="22"/>
        </w:rPr>
        <w:t xml:space="preserve"> y colabora</w:t>
      </w:r>
      <w:r w:rsidR="00AE7366" w:rsidRPr="00F51948">
        <w:rPr>
          <w:rFonts w:cstheme="minorHAnsi"/>
          <w:sz w:val="22"/>
          <w:szCs w:val="22"/>
        </w:rPr>
        <w:t>r</w:t>
      </w:r>
      <w:r w:rsidR="00C00E4D" w:rsidRPr="00F51948">
        <w:rPr>
          <w:rFonts w:cstheme="minorHAnsi"/>
          <w:sz w:val="22"/>
          <w:szCs w:val="22"/>
        </w:rPr>
        <w:t xml:space="preserve"> </w:t>
      </w:r>
      <w:r w:rsidR="00AE7366" w:rsidRPr="00F51948">
        <w:rPr>
          <w:rFonts w:cstheme="minorHAnsi"/>
          <w:sz w:val="22"/>
          <w:szCs w:val="22"/>
        </w:rPr>
        <w:t xml:space="preserve">con </w:t>
      </w:r>
      <w:r w:rsidR="00C00E4D" w:rsidRPr="00F51948">
        <w:rPr>
          <w:rFonts w:cstheme="minorHAnsi"/>
          <w:sz w:val="22"/>
          <w:szCs w:val="22"/>
        </w:rPr>
        <w:t xml:space="preserve">organizaciones </w:t>
      </w:r>
      <w:r w:rsidR="00AE7366" w:rsidRPr="00F51948">
        <w:rPr>
          <w:rFonts w:cstheme="minorHAnsi"/>
          <w:sz w:val="22"/>
          <w:szCs w:val="22"/>
        </w:rPr>
        <w:t xml:space="preserve">de normalización </w:t>
      </w:r>
      <w:r w:rsidR="00C00E4D" w:rsidRPr="00F51948">
        <w:rPr>
          <w:rFonts w:cstheme="minorHAnsi"/>
          <w:sz w:val="22"/>
          <w:szCs w:val="22"/>
        </w:rPr>
        <w:t xml:space="preserve">externas, consorcios, foros </w:t>
      </w:r>
      <w:r w:rsidR="00AE7366" w:rsidRPr="00F51948">
        <w:rPr>
          <w:rFonts w:cstheme="minorHAnsi"/>
          <w:sz w:val="22"/>
          <w:szCs w:val="22"/>
        </w:rPr>
        <w:t xml:space="preserve">e instituciones académicas </w:t>
      </w:r>
      <w:r w:rsidR="00C00E4D" w:rsidRPr="00F51948">
        <w:rPr>
          <w:rFonts w:cstheme="minorHAnsi"/>
          <w:sz w:val="22"/>
          <w:szCs w:val="22"/>
        </w:rPr>
        <w:t xml:space="preserve">que se </w:t>
      </w:r>
      <w:r w:rsidR="00AE7366" w:rsidRPr="00F51948">
        <w:rPr>
          <w:rFonts w:cstheme="minorHAnsi"/>
          <w:sz w:val="22"/>
          <w:szCs w:val="22"/>
        </w:rPr>
        <w:t>dedican a</w:t>
      </w:r>
      <w:r w:rsidR="00C00E4D" w:rsidRPr="00F51948">
        <w:rPr>
          <w:rFonts w:cstheme="minorHAnsi"/>
          <w:sz w:val="22"/>
          <w:szCs w:val="22"/>
        </w:rPr>
        <w:t xml:space="preserve"> las aplicaciones del ML y sus trabajos pertinentes</w:t>
      </w:r>
      <w:r w:rsidRPr="00F51948">
        <w:rPr>
          <w:rFonts w:cstheme="minorHAnsi"/>
          <w:sz w:val="22"/>
          <w:szCs w:val="22"/>
        </w:rPr>
        <w:t>.</w:t>
      </w:r>
    </w:p>
    <w:p w14:paraId="0B2D6B09" w14:textId="521DC78E" w:rsidR="00782FD8" w:rsidRPr="00F51948" w:rsidRDefault="00782FD8" w:rsidP="0009065B">
      <w:pPr>
        <w:rPr>
          <w:rFonts w:cstheme="minorHAnsi"/>
          <w:sz w:val="22"/>
          <w:szCs w:val="22"/>
        </w:rPr>
      </w:pPr>
      <w:r w:rsidRPr="00F51948">
        <w:rPr>
          <w:rFonts w:cstheme="minorHAnsi"/>
          <w:sz w:val="22"/>
          <w:szCs w:val="22"/>
        </w:rPr>
        <w:t>3</w:t>
      </w:r>
      <w:r w:rsidRPr="00F51948">
        <w:rPr>
          <w:rFonts w:cstheme="minorHAnsi"/>
          <w:sz w:val="22"/>
          <w:szCs w:val="22"/>
        </w:rPr>
        <w:tab/>
      </w:r>
      <w:proofErr w:type="gramStart"/>
      <w:r w:rsidR="007F3AF2" w:rsidRPr="00F51948">
        <w:rPr>
          <w:rFonts w:cstheme="minorHAnsi"/>
          <w:sz w:val="22"/>
          <w:szCs w:val="22"/>
        </w:rPr>
        <w:t>La</w:t>
      </w:r>
      <w:proofErr w:type="gramEnd"/>
      <w:r w:rsidR="007F3AF2" w:rsidRPr="00F51948">
        <w:rPr>
          <w:rFonts w:cstheme="minorHAnsi"/>
          <w:sz w:val="22"/>
          <w:szCs w:val="22"/>
        </w:rPr>
        <w:t xml:space="preserve"> participación en la JCA-ML está abierta a los Miembros del UIT-T. También </w:t>
      </w:r>
      <w:r w:rsidR="00AE7366" w:rsidRPr="00F51948">
        <w:rPr>
          <w:rFonts w:cstheme="minorHAnsi"/>
          <w:sz w:val="22"/>
          <w:szCs w:val="22"/>
        </w:rPr>
        <w:t xml:space="preserve">se </w:t>
      </w:r>
      <w:r w:rsidR="007F3AF2" w:rsidRPr="00F51948">
        <w:rPr>
          <w:rFonts w:cstheme="minorHAnsi"/>
          <w:sz w:val="22"/>
          <w:szCs w:val="22"/>
        </w:rPr>
        <w:t xml:space="preserve">pueden </w:t>
      </w:r>
      <w:r w:rsidR="00AE7366" w:rsidRPr="00F51948">
        <w:rPr>
          <w:rFonts w:cstheme="minorHAnsi"/>
          <w:sz w:val="22"/>
          <w:szCs w:val="22"/>
        </w:rPr>
        <w:t xml:space="preserve">invitar a formar parte de la JCA a </w:t>
      </w:r>
      <w:r w:rsidR="007F3AF2" w:rsidRPr="00F51948">
        <w:rPr>
          <w:rFonts w:cstheme="minorHAnsi"/>
          <w:sz w:val="22"/>
          <w:szCs w:val="22"/>
        </w:rPr>
        <w:t xml:space="preserve">expertos y </w:t>
      </w:r>
      <w:r w:rsidR="00205126" w:rsidRPr="00F51948">
        <w:rPr>
          <w:rFonts w:cstheme="minorHAnsi"/>
          <w:sz w:val="22"/>
          <w:szCs w:val="22"/>
        </w:rPr>
        <w:t xml:space="preserve">a </w:t>
      </w:r>
      <w:r w:rsidR="007F3AF2" w:rsidRPr="00F51948">
        <w:rPr>
          <w:rFonts w:cstheme="minorHAnsi"/>
          <w:sz w:val="22"/>
          <w:szCs w:val="22"/>
        </w:rPr>
        <w:t>representantes designados de otras organizaciones intergubernamentales, organizaciones de normalización y foros pertinentes</w:t>
      </w:r>
      <w:r w:rsidRPr="00F51948">
        <w:rPr>
          <w:rFonts w:cstheme="minorHAnsi"/>
          <w:sz w:val="22"/>
          <w:szCs w:val="22"/>
        </w:rPr>
        <w:t>.</w:t>
      </w:r>
    </w:p>
    <w:p w14:paraId="686FE18E" w14:textId="09ABD141" w:rsidR="00F51948" w:rsidRDefault="00782FD8" w:rsidP="0009065B">
      <w:pPr>
        <w:keepLines/>
        <w:rPr>
          <w:rFonts w:cstheme="minorHAnsi"/>
          <w:sz w:val="22"/>
          <w:szCs w:val="22"/>
        </w:rPr>
      </w:pPr>
      <w:r w:rsidRPr="00F51948">
        <w:rPr>
          <w:rFonts w:cstheme="minorHAnsi"/>
          <w:sz w:val="22"/>
          <w:szCs w:val="22"/>
        </w:rPr>
        <w:t>4</w:t>
      </w:r>
      <w:r w:rsidRPr="00F51948">
        <w:rPr>
          <w:rFonts w:cstheme="minorHAnsi"/>
          <w:sz w:val="22"/>
          <w:szCs w:val="22"/>
        </w:rPr>
        <w:tab/>
      </w:r>
      <w:proofErr w:type="gramStart"/>
      <w:r w:rsidR="007F3AF2" w:rsidRPr="00F51948">
        <w:rPr>
          <w:rFonts w:cstheme="minorHAnsi"/>
          <w:sz w:val="22"/>
          <w:szCs w:val="22"/>
        </w:rPr>
        <w:t>A</w:t>
      </w:r>
      <w:proofErr w:type="gramEnd"/>
      <w:r w:rsidR="007F3AF2" w:rsidRPr="00F51948">
        <w:rPr>
          <w:rFonts w:cstheme="minorHAnsi"/>
          <w:sz w:val="22"/>
          <w:szCs w:val="22"/>
        </w:rPr>
        <w:t xml:space="preserve"> fin de </w:t>
      </w:r>
      <w:r w:rsidR="00205126" w:rsidRPr="00F51948">
        <w:rPr>
          <w:rFonts w:cstheme="minorHAnsi"/>
          <w:sz w:val="22"/>
          <w:szCs w:val="22"/>
        </w:rPr>
        <w:t>lograr</w:t>
      </w:r>
      <w:r w:rsidR="007F3AF2" w:rsidRPr="00F51948">
        <w:rPr>
          <w:rFonts w:cstheme="minorHAnsi"/>
          <w:sz w:val="22"/>
          <w:szCs w:val="22"/>
        </w:rPr>
        <w:t xml:space="preserve"> la consecución de sus objetivos, </w:t>
      </w:r>
      <w:r w:rsidR="00205126" w:rsidRPr="00F51948">
        <w:rPr>
          <w:rFonts w:cstheme="minorHAnsi"/>
          <w:sz w:val="22"/>
          <w:szCs w:val="22"/>
        </w:rPr>
        <w:t>la</w:t>
      </w:r>
      <w:r w:rsidR="007F3AF2" w:rsidRPr="00F51948">
        <w:rPr>
          <w:rFonts w:cstheme="minorHAnsi"/>
          <w:sz w:val="22"/>
          <w:szCs w:val="22"/>
        </w:rPr>
        <w:t xml:space="preserve"> JCA-ML tiene previsto iniciar sus actividades desde su primera reunión prevista en Ginebra (Suiza) el 16 de marzo de 2023, </w:t>
      </w:r>
      <w:r w:rsidR="00205126" w:rsidRPr="00F51948">
        <w:rPr>
          <w:rFonts w:cstheme="minorHAnsi"/>
          <w:sz w:val="22"/>
          <w:szCs w:val="22"/>
        </w:rPr>
        <w:t>con ocasión de</w:t>
      </w:r>
      <w:r w:rsidR="007F3AF2" w:rsidRPr="00F51948">
        <w:rPr>
          <w:rFonts w:cstheme="minorHAnsi"/>
          <w:sz w:val="22"/>
          <w:szCs w:val="22"/>
        </w:rPr>
        <w:t xml:space="preserve"> la reunión de la Comisión de Estudio 13 del UIT-T (</w:t>
      </w:r>
      <w:r w:rsidR="007F3AF2" w:rsidRPr="00F51948">
        <w:rPr>
          <w:rFonts w:cstheme="minorHAnsi"/>
          <w:i/>
          <w:iCs/>
          <w:sz w:val="22"/>
          <w:szCs w:val="22"/>
        </w:rPr>
        <w:t xml:space="preserve">Redes futuras y tecnologías de red </w:t>
      </w:r>
      <w:r w:rsidR="00205126" w:rsidRPr="00F51948">
        <w:rPr>
          <w:rFonts w:cstheme="minorHAnsi"/>
          <w:i/>
          <w:iCs/>
          <w:sz w:val="22"/>
          <w:szCs w:val="22"/>
        </w:rPr>
        <w:t>incipientes</w:t>
      </w:r>
      <w:r w:rsidR="007F3AF2" w:rsidRPr="00F51948">
        <w:rPr>
          <w:rFonts w:cstheme="minorHAnsi"/>
          <w:sz w:val="22"/>
          <w:szCs w:val="22"/>
        </w:rPr>
        <w:t xml:space="preserve">) prevista en Ginebra del 13 al 24 de marzo de 2023. El proyecto de orden del día de la reunión de la JCA-ML, preparado por el Sr. Kangchan Lee, </w:t>
      </w:r>
      <w:proofErr w:type="gramStart"/>
      <w:r w:rsidR="007F3AF2" w:rsidRPr="00F51948">
        <w:rPr>
          <w:rFonts w:cstheme="minorHAnsi"/>
          <w:sz w:val="22"/>
          <w:szCs w:val="22"/>
        </w:rPr>
        <w:t>Presidente</w:t>
      </w:r>
      <w:proofErr w:type="gramEnd"/>
      <w:r w:rsidR="007F3AF2" w:rsidRPr="00F51948">
        <w:rPr>
          <w:rFonts w:cstheme="minorHAnsi"/>
          <w:sz w:val="22"/>
          <w:szCs w:val="22"/>
        </w:rPr>
        <w:t xml:space="preserve"> de la JCA-ML, figura en el Anexo 2 de la presente Circular</w:t>
      </w:r>
      <w:r w:rsidRPr="00F51948">
        <w:rPr>
          <w:rFonts w:cstheme="minorHAnsi"/>
          <w:sz w:val="22"/>
          <w:szCs w:val="22"/>
        </w:rPr>
        <w:t>.</w:t>
      </w:r>
    </w:p>
    <w:p w14:paraId="1F875E2B" w14:textId="77777777" w:rsidR="00F51948" w:rsidRDefault="00F5194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272CE1A6" w14:textId="57103A03" w:rsidR="00782FD8" w:rsidRPr="00F51948" w:rsidRDefault="00782FD8" w:rsidP="0009065B">
      <w:pPr>
        <w:rPr>
          <w:rFonts w:cstheme="minorHAnsi"/>
          <w:sz w:val="22"/>
          <w:szCs w:val="22"/>
        </w:rPr>
      </w:pPr>
      <w:r w:rsidRPr="00F51948">
        <w:rPr>
          <w:rFonts w:cstheme="minorHAnsi"/>
          <w:sz w:val="22"/>
          <w:szCs w:val="22"/>
        </w:rPr>
        <w:lastRenderedPageBreak/>
        <w:t>5</w:t>
      </w:r>
      <w:r w:rsidRPr="00F51948">
        <w:rPr>
          <w:rFonts w:cstheme="minorHAnsi"/>
          <w:sz w:val="22"/>
          <w:szCs w:val="22"/>
        </w:rPr>
        <w:tab/>
      </w:r>
      <w:proofErr w:type="gramStart"/>
      <w:r w:rsidR="007F3AF2" w:rsidRPr="00F51948">
        <w:rPr>
          <w:rFonts w:cstheme="minorHAnsi"/>
          <w:sz w:val="22"/>
          <w:szCs w:val="22"/>
        </w:rPr>
        <w:t>Se</w:t>
      </w:r>
      <w:proofErr w:type="gramEnd"/>
      <w:r w:rsidR="007F3AF2" w:rsidRPr="00F51948">
        <w:rPr>
          <w:rFonts w:cstheme="minorHAnsi"/>
          <w:sz w:val="22"/>
          <w:szCs w:val="22"/>
        </w:rPr>
        <w:t xml:space="preserve"> ha creado una página web para la nueva </w:t>
      </w:r>
      <w:r w:rsidRPr="00F51948">
        <w:rPr>
          <w:rFonts w:cstheme="minorHAnsi"/>
          <w:sz w:val="22"/>
          <w:szCs w:val="22"/>
        </w:rPr>
        <w:t>JCA</w:t>
      </w:r>
      <w:r w:rsidR="007F3AF2" w:rsidRPr="00F51948">
        <w:rPr>
          <w:rFonts w:cstheme="minorHAnsi"/>
          <w:sz w:val="22"/>
          <w:szCs w:val="22"/>
        </w:rPr>
        <w:t xml:space="preserve">, disponible en </w:t>
      </w:r>
      <w:hyperlink r:id="rId10" w:history="1">
        <w:r w:rsidRPr="00F51948">
          <w:rPr>
            <w:rStyle w:val="Hyperlink"/>
            <w:rFonts w:cstheme="minorHAnsi"/>
            <w:sz w:val="22"/>
            <w:szCs w:val="22"/>
          </w:rPr>
          <w:t>https://www.itu.int/en/ITU-T/jca/ml/Pages/default.aspx</w:t>
        </w:r>
      </w:hyperlink>
      <w:r w:rsidRPr="00F51948">
        <w:rPr>
          <w:rFonts w:cstheme="minorHAnsi"/>
          <w:sz w:val="22"/>
          <w:szCs w:val="22"/>
        </w:rPr>
        <w:t xml:space="preserve"> </w:t>
      </w:r>
      <w:r w:rsidR="007F3AF2" w:rsidRPr="00F51948">
        <w:rPr>
          <w:rFonts w:cstheme="minorHAnsi"/>
          <w:sz w:val="22"/>
          <w:szCs w:val="22"/>
        </w:rPr>
        <w:t>, que contiene toda la información relativa a la primera reunión, el programa, la inscripción, la posibilidad de participar a distancia y los documentos de reunión</w:t>
      </w:r>
      <w:r w:rsidRPr="00F51948">
        <w:rPr>
          <w:rFonts w:cstheme="minorHAnsi"/>
          <w:sz w:val="22"/>
          <w:szCs w:val="22"/>
        </w:rPr>
        <w:t>.</w:t>
      </w:r>
    </w:p>
    <w:bookmarkEnd w:id="4"/>
    <w:p w14:paraId="20D23E12" w14:textId="509F8C06" w:rsidR="00782FD8" w:rsidRPr="00F51948" w:rsidRDefault="007F3AF2" w:rsidP="0009065B">
      <w:pPr>
        <w:rPr>
          <w:rFonts w:cstheme="minorHAnsi"/>
          <w:sz w:val="22"/>
          <w:szCs w:val="22"/>
        </w:rPr>
      </w:pPr>
      <w:r w:rsidRPr="00F51948">
        <w:rPr>
          <w:rFonts w:cstheme="minorHAnsi"/>
          <w:sz w:val="22"/>
          <w:szCs w:val="22"/>
        </w:rPr>
        <w:t>Le deseo un buen comienzo de su trabajo de coordinación.</w:t>
      </w:r>
    </w:p>
    <w:p w14:paraId="13CB9C65" w14:textId="4BAD8641" w:rsidR="0009065B" w:rsidRPr="00F51948" w:rsidRDefault="0009065B" w:rsidP="0009065B">
      <w:pPr>
        <w:rPr>
          <w:rFonts w:cstheme="minorHAnsi"/>
          <w:sz w:val="22"/>
          <w:szCs w:val="22"/>
        </w:rPr>
      </w:pPr>
      <w:r w:rsidRPr="00F51948">
        <w:rPr>
          <w:rFonts w:cstheme="minorHAnsi"/>
          <w:sz w:val="22"/>
          <w:szCs w:val="22"/>
        </w:rPr>
        <w:t>Atentamente,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5"/>
        <w:gridCol w:w="3259"/>
      </w:tblGrid>
      <w:tr w:rsidR="00782FD8" w:rsidRPr="00BB3AEE" w14:paraId="1F24CFAE" w14:textId="77777777" w:rsidTr="00AD022B">
        <w:trPr>
          <w:cantSplit/>
          <w:trHeight w:val="1955"/>
        </w:trPr>
        <w:tc>
          <w:tcPr>
            <w:tcW w:w="6379" w:type="dxa"/>
            <w:tcBorders>
              <w:right w:val="single" w:sz="4" w:space="0" w:color="auto"/>
            </w:tcBorders>
          </w:tcPr>
          <w:p w14:paraId="3C3B45BB" w14:textId="6D0A2AE4" w:rsidR="00782FD8" w:rsidRPr="00F51948" w:rsidRDefault="00E279EB" w:rsidP="00F51948">
            <w:pPr>
              <w:spacing w:before="960"/>
              <w:ind w:left="-125" w:firstLine="11"/>
              <w:rPr>
                <w:b/>
                <w:bCs/>
                <w:sz w:val="22"/>
                <w:szCs w:val="16"/>
              </w:rPr>
            </w:pPr>
            <w:r>
              <w:rPr>
                <w:noProof/>
                <w:sz w:val="22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3A1C5641" wp14:editId="668BF288">
                  <wp:simplePos x="0" y="0"/>
                  <wp:positionH relativeFrom="column">
                    <wp:posOffset>-73660</wp:posOffset>
                  </wp:positionH>
                  <wp:positionV relativeFrom="paragraph">
                    <wp:posOffset>153035</wp:posOffset>
                  </wp:positionV>
                  <wp:extent cx="803652" cy="361950"/>
                  <wp:effectExtent l="0" t="0" r="0" b="0"/>
                  <wp:wrapNone/>
                  <wp:docPr id="3" name="Picture 3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logo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652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2FD8" w:rsidRPr="00F51948">
              <w:rPr>
                <w:sz w:val="22"/>
                <w:szCs w:val="18"/>
              </w:rPr>
              <w:t>Seizo Onoe</w:t>
            </w:r>
            <w:r w:rsidR="0009065B" w:rsidRPr="00F51948">
              <w:rPr>
                <w:sz w:val="22"/>
                <w:szCs w:val="18"/>
              </w:rPr>
              <w:br/>
            </w:r>
            <w:proofErr w:type="gramStart"/>
            <w:r w:rsidR="00782FD8" w:rsidRPr="00F51948">
              <w:rPr>
                <w:sz w:val="22"/>
                <w:szCs w:val="18"/>
              </w:rPr>
              <w:t>Director</w:t>
            </w:r>
            <w:proofErr w:type="gramEnd"/>
            <w:r w:rsidR="00782FD8" w:rsidRPr="00F51948">
              <w:rPr>
                <w:sz w:val="22"/>
                <w:szCs w:val="18"/>
              </w:rPr>
              <w:t xml:space="preserve"> de la Oficina de </w:t>
            </w:r>
            <w:r w:rsidR="0009065B" w:rsidRPr="00F51948">
              <w:rPr>
                <w:sz w:val="22"/>
                <w:szCs w:val="18"/>
              </w:rPr>
              <w:br/>
            </w:r>
            <w:r w:rsidR="00782FD8" w:rsidRPr="00F51948">
              <w:rPr>
                <w:sz w:val="22"/>
                <w:szCs w:val="18"/>
              </w:rPr>
              <w:t>Normalización de las Telecomunicaciones</w:t>
            </w:r>
          </w:p>
          <w:p w14:paraId="34D500A6" w14:textId="78875FDF" w:rsidR="00782FD8" w:rsidRPr="00BB3AEE" w:rsidRDefault="00782FD8" w:rsidP="0009065B">
            <w:pPr>
              <w:spacing w:before="720" w:after="1200"/>
              <w:ind w:left="-73" w:hanging="40"/>
              <w:rPr>
                <w:szCs w:val="18"/>
              </w:rPr>
            </w:pPr>
            <w:r w:rsidRPr="00F51948">
              <w:rPr>
                <w:b/>
                <w:bCs/>
                <w:sz w:val="22"/>
                <w:szCs w:val="18"/>
              </w:rPr>
              <w:t>Anexos</w:t>
            </w:r>
            <w:r w:rsidRPr="00F51948">
              <w:rPr>
                <w:sz w:val="22"/>
                <w:szCs w:val="18"/>
              </w:rPr>
              <w:t>: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86AA42" w14:textId="77777777" w:rsidR="00782FD8" w:rsidRPr="00BB3AEE" w:rsidRDefault="00782FD8" w:rsidP="00AD022B">
            <w:pPr>
              <w:keepNext/>
              <w:keepLines/>
              <w:spacing w:before="0"/>
              <w:ind w:left="113" w:right="113"/>
              <w:jc w:val="center"/>
              <w:rPr>
                <w:rFonts w:eastAsia="SimSun" w:cs="Arial"/>
                <w:sz w:val="20"/>
                <w:lang w:eastAsia="zh-CN"/>
              </w:rPr>
            </w:pPr>
          </w:p>
          <w:p w14:paraId="4B3E8A88" w14:textId="77777777" w:rsidR="00782FD8" w:rsidRPr="00BB3AEE" w:rsidRDefault="00782FD8" w:rsidP="00AD022B">
            <w:pPr>
              <w:keepNext/>
              <w:keepLines/>
              <w:spacing w:before="0"/>
              <w:ind w:left="113" w:right="113"/>
              <w:jc w:val="center"/>
              <w:rPr>
                <w:rFonts w:eastAsia="SimSun" w:cs="Arial"/>
                <w:sz w:val="20"/>
                <w:lang w:eastAsia="zh-CN"/>
              </w:rPr>
            </w:pPr>
          </w:p>
          <w:p w14:paraId="3955541B" w14:textId="77777777" w:rsidR="00782FD8" w:rsidRPr="00BB3AEE" w:rsidRDefault="00782FD8" w:rsidP="00AD022B">
            <w:pPr>
              <w:keepNext/>
              <w:keepLines/>
              <w:spacing w:before="0"/>
              <w:ind w:left="113" w:right="113"/>
              <w:jc w:val="center"/>
              <w:rPr>
                <w:rFonts w:eastAsia="SimSun" w:cs="Arial"/>
                <w:sz w:val="20"/>
                <w:lang w:eastAsia="zh-CN"/>
              </w:rPr>
            </w:pPr>
            <w:r w:rsidRPr="00BB3AEE">
              <w:rPr>
                <w:noProof/>
              </w:rPr>
              <w:drawing>
                <wp:inline distT="0" distB="0" distL="0" distR="0" wp14:anchorId="00F3A9BF" wp14:editId="1EC3C08E">
                  <wp:extent cx="1029970" cy="1050822"/>
                  <wp:effectExtent l="0" t="0" r="0" b="0"/>
                  <wp:docPr id="9" name="Picture 9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Qr code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767" cy="1063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885B57" w14:textId="77777777" w:rsidR="00782FD8" w:rsidRPr="00BB3AEE" w:rsidRDefault="00782FD8" w:rsidP="00AD022B">
            <w:pPr>
              <w:keepNext/>
              <w:keepLines/>
              <w:spacing w:before="0"/>
              <w:ind w:left="113" w:right="113"/>
              <w:jc w:val="center"/>
            </w:pPr>
            <w:r w:rsidRPr="00BB3AEE">
              <w:rPr>
                <w:rFonts w:eastAsia="SimSun" w:cs="Arial"/>
                <w:sz w:val="20"/>
                <w:lang w:eastAsia="zh-CN"/>
              </w:rPr>
              <w:t>ITU-T JCA-ML</w:t>
            </w:r>
          </w:p>
        </w:tc>
      </w:tr>
    </w:tbl>
    <w:p w14:paraId="3D39DFA2" w14:textId="4E251250" w:rsidR="009D4B76" w:rsidRPr="00BB3AEE" w:rsidRDefault="009D4B76" w:rsidP="00953CC4">
      <w:r w:rsidRPr="00BB3AEE">
        <w:br w:type="page"/>
      </w:r>
    </w:p>
    <w:p w14:paraId="5BEBF80E" w14:textId="1B5DE4B9" w:rsidR="009D4B76" w:rsidRPr="00BB3AEE" w:rsidRDefault="009D4B76" w:rsidP="0055490F">
      <w:pPr>
        <w:pStyle w:val="AnnexNotitle"/>
      </w:pPr>
      <w:r w:rsidRPr="00BB3AEE">
        <w:lastRenderedPageBreak/>
        <w:t xml:space="preserve">ANEXO </w:t>
      </w:r>
      <w:r w:rsidR="00FF42E2">
        <w:t>1</w:t>
      </w:r>
      <w:r w:rsidR="00C011F1" w:rsidRPr="00BB3AEE">
        <w:br/>
      </w:r>
      <w:r w:rsidR="00C011F1" w:rsidRPr="00BB3AEE">
        <w:br/>
      </w:r>
      <w:r w:rsidRPr="00BB3AEE">
        <w:t>Mandato de la</w:t>
      </w:r>
      <w:r w:rsidR="005122EB" w:rsidRPr="00BB3AEE">
        <w:t xml:space="preserve"> </w:t>
      </w:r>
      <w:r w:rsidRPr="00BB3AEE">
        <w:t xml:space="preserve">Actividad Conjunta de Coordinación </w:t>
      </w:r>
      <w:r w:rsidR="00B61187" w:rsidRPr="00BB3AEE">
        <w:br/>
      </w:r>
      <w:r w:rsidRPr="00BB3AEE">
        <w:t xml:space="preserve">sobre </w:t>
      </w:r>
      <w:r w:rsidR="000D4C5A" w:rsidRPr="00BB3AEE">
        <w:t>aprendizaje automático (JCA-ML)</w:t>
      </w:r>
    </w:p>
    <w:p w14:paraId="06982707" w14:textId="77777777" w:rsidR="009D4B76" w:rsidRPr="00BB3AEE" w:rsidRDefault="009D4B76" w:rsidP="009D4B76">
      <w:pPr>
        <w:pStyle w:val="Heading1"/>
      </w:pPr>
      <w:bookmarkStart w:id="5" w:name="_1_Ámbito_de"/>
      <w:bookmarkEnd w:id="5"/>
      <w:r w:rsidRPr="00BB3AEE">
        <w:t>1</w:t>
      </w:r>
      <w:r w:rsidRPr="00BB3AEE">
        <w:tab/>
      </w:r>
      <w:proofErr w:type="gramStart"/>
      <w:r w:rsidRPr="00BB3AEE">
        <w:t>Ámbito</w:t>
      </w:r>
      <w:proofErr w:type="gramEnd"/>
      <w:r w:rsidRPr="00BB3AEE">
        <w:t xml:space="preserve"> de competencia</w:t>
      </w:r>
    </w:p>
    <w:p w14:paraId="66EA41FE" w14:textId="6A9713FA" w:rsidR="00782FD8" w:rsidRPr="00BB3AEE" w:rsidRDefault="00C32E28" w:rsidP="00FA13CE">
      <w:pPr>
        <w:rPr>
          <w:lang w:eastAsia="ko-KR"/>
        </w:rPr>
      </w:pPr>
      <w:r w:rsidRPr="00BB3AEE">
        <w:rPr>
          <w:lang w:eastAsia="ko-KR"/>
        </w:rPr>
        <w:t>El ámbito de competencia de JCA-ML consiste en la coordinación del programa de trabajo del</w:t>
      </w:r>
      <w:r w:rsidR="00144201" w:rsidRPr="00BB3AEE">
        <w:rPr>
          <w:lang w:eastAsia="ko-KR"/>
        </w:rPr>
        <w:t> </w:t>
      </w:r>
      <w:r w:rsidRPr="00BB3AEE">
        <w:rPr>
          <w:lang w:eastAsia="ko-KR"/>
        </w:rPr>
        <w:t>UIT</w:t>
      </w:r>
      <w:r w:rsidR="00144201" w:rsidRPr="00BB3AEE">
        <w:rPr>
          <w:lang w:eastAsia="ko-KR"/>
        </w:rPr>
        <w:noBreakHyphen/>
      </w:r>
      <w:r w:rsidRPr="00BB3AEE">
        <w:rPr>
          <w:lang w:eastAsia="ko-KR"/>
        </w:rPr>
        <w:t xml:space="preserve">T sobre aplicaciones del aprendizaje automático y sus trabajos de normalización </w:t>
      </w:r>
      <w:r w:rsidR="00205126" w:rsidRPr="00BB3AEE">
        <w:rPr>
          <w:lang w:eastAsia="ko-KR"/>
        </w:rPr>
        <w:t xml:space="preserve">conexos en el marco de </w:t>
      </w:r>
      <w:r w:rsidRPr="00BB3AEE">
        <w:rPr>
          <w:lang w:eastAsia="ko-KR"/>
        </w:rPr>
        <w:t xml:space="preserve">las telecomunicaciones/TIC. La JCA-ML espera cooperar y colaborar con otras organizaciones de normalización, consorcios, foros </w:t>
      </w:r>
      <w:r w:rsidR="00FA13CE" w:rsidRPr="00BB3AEE">
        <w:rPr>
          <w:lang w:eastAsia="ko-KR"/>
        </w:rPr>
        <w:t>e instituciones académicas</w:t>
      </w:r>
      <w:r w:rsidRPr="00BB3AEE">
        <w:rPr>
          <w:lang w:eastAsia="ko-KR"/>
        </w:rPr>
        <w:t xml:space="preserve"> que también se </w:t>
      </w:r>
      <w:r w:rsidR="00205126" w:rsidRPr="00BB3AEE">
        <w:rPr>
          <w:lang w:eastAsia="ko-KR"/>
        </w:rPr>
        <w:t>dedican a</w:t>
      </w:r>
      <w:r w:rsidRPr="00BB3AEE">
        <w:rPr>
          <w:lang w:eastAsia="ko-KR"/>
        </w:rPr>
        <w:t xml:space="preserve"> las aplicaciones del aprendizaje automático y sus trabajos pertinentes. La JCA-ML se rige</w:t>
      </w:r>
      <w:r w:rsidR="00144201" w:rsidRPr="00BB3AEE">
        <w:rPr>
          <w:lang w:eastAsia="ko-KR"/>
        </w:rPr>
        <w:t> </w:t>
      </w:r>
      <w:r w:rsidRPr="00BB3AEE">
        <w:rPr>
          <w:lang w:eastAsia="ko-KR"/>
        </w:rPr>
        <w:t>por los términos de la cláusula 5 (Actividades conjuntas de coordinación) de la Recomendación UIT-T A.1</w:t>
      </w:r>
      <w:r w:rsidR="00782FD8" w:rsidRPr="00BB3AEE">
        <w:rPr>
          <w:lang w:eastAsia="ko-KR"/>
        </w:rPr>
        <w:t>.</w:t>
      </w:r>
    </w:p>
    <w:p w14:paraId="31CF1645" w14:textId="77777777" w:rsidR="009D4B76" w:rsidRPr="00BB3AEE" w:rsidRDefault="009D4B76" w:rsidP="009D4B76">
      <w:pPr>
        <w:pStyle w:val="Heading1"/>
      </w:pPr>
      <w:r w:rsidRPr="00BB3AEE">
        <w:t>2</w:t>
      </w:r>
      <w:r w:rsidRPr="00BB3AEE">
        <w:tab/>
      </w:r>
      <w:proofErr w:type="gramStart"/>
      <w:r w:rsidRPr="00BB3AEE">
        <w:t>Objetivos</w:t>
      </w:r>
      <w:proofErr w:type="gramEnd"/>
    </w:p>
    <w:p w14:paraId="625D665C" w14:textId="502E0E20" w:rsidR="00782FD8" w:rsidRPr="00BB3AEE" w:rsidRDefault="00FA13CE" w:rsidP="00FA13CE">
      <w:pPr>
        <w:jc w:val="both"/>
        <w:rPr>
          <w:lang w:eastAsia="ko-KR"/>
        </w:rPr>
      </w:pPr>
      <w:r w:rsidRPr="00BB3AEE">
        <w:rPr>
          <w:lang w:eastAsia="ko-KR"/>
        </w:rPr>
        <w:t xml:space="preserve">Los objetivos de la </w:t>
      </w:r>
      <w:r w:rsidR="00782FD8" w:rsidRPr="00BB3AEE">
        <w:rPr>
          <w:lang w:eastAsia="ko-KR"/>
        </w:rPr>
        <w:t xml:space="preserve">JCA-ML </w:t>
      </w:r>
      <w:r w:rsidRPr="00BB3AEE">
        <w:rPr>
          <w:lang w:eastAsia="ko-KR"/>
        </w:rPr>
        <w:t>son los siguientes</w:t>
      </w:r>
      <w:r w:rsidR="00782FD8" w:rsidRPr="00BB3AEE">
        <w:rPr>
          <w:lang w:eastAsia="ko-KR"/>
        </w:rPr>
        <w:t>:</w:t>
      </w:r>
    </w:p>
    <w:p w14:paraId="219FF5BC" w14:textId="374F0CDB" w:rsidR="00F8788A" w:rsidRPr="00BB3AEE" w:rsidRDefault="00144201" w:rsidP="00144201">
      <w:pPr>
        <w:pStyle w:val="enumlev1"/>
      </w:pPr>
      <w:r w:rsidRPr="00BB3AEE">
        <w:t>1</w:t>
      </w:r>
      <w:r w:rsidR="001A5F6C">
        <w:t>)</w:t>
      </w:r>
      <w:r w:rsidRPr="00BB3AEE">
        <w:tab/>
      </w:r>
      <w:r w:rsidR="00F8788A" w:rsidRPr="00BB3AEE">
        <w:t xml:space="preserve">La JCA-ML vela por que el programa de trabajo del UIT-T sobre aplicaciones del aprendizaje automático y sus trabajos de normalización conexos </w:t>
      </w:r>
      <w:r w:rsidR="00205126" w:rsidRPr="00BB3AEE">
        <w:t>en el marco de</w:t>
      </w:r>
      <w:r w:rsidR="00F8788A" w:rsidRPr="00BB3AEE">
        <w:t xml:space="preserve"> las telecomunicaciones/TIC progresen de manera debidamente coordinada entre todas las Comisiones de Estudio del UIT-T y sus Cuestiones pertinentes.</w:t>
      </w:r>
    </w:p>
    <w:p w14:paraId="10A2F12F" w14:textId="6EACF7F6" w:rsidR="00F8788A" w:rsidRPr="00BB3AEE" w:rsidRDefault="00144201" w:rsidP="00144201">
      <w:pPr>
        <w:pStyle w:val="enumlev1"/>
        <w:rPr>
          <w:szCs w:val="24"/>
        </w:rPr>
      </w:pPr>
      <w:r w:rsidRPr="00BB3AEE">
        <w:rPr>
          <w:szCs w:val="24"/>
        </w:rPr>
        <w:t>2</w:t>
      </w:r>
      <w:r w:rsidR="001A5F6C">
        <w:rPr>
          <w:szCs w:val="24"/>
        </w:rPr>
        <w:t>)</w:t>
      </w:r>
      <w:r w:rsidRPr="00BB3AEE">
        <w:rPr>
          <w:szCs w:val="24"/>
        </w:rPr>
        <w:tab/>
      </w:r>
      <w:r w:rsidR="00F8788A" w:rsidRPr="00BB3AEE">
        <w:rPr>
          <w:szCs w:val="24"/>
        </w:rPr>
        <w:t xml:space="preserve">La JCA-ML </w:t>
      </w:r>
      <w:r w:rsidR="00205126" w:rsidRPr="00BB3AEE">
        <w:rPr>
          <w:szCs w:val="24"/>
        </w:rPr>
        <w:t>se mantiene al corriente</w:t>
      </w:r>
      <w:r w:rsidR="00F8788A" w:rsidRPr="00BB3AEE">
        <w:rPr>
          <w:szCs w:val="24"/>
        </w:rPr>
        <w:t xml:space="preserve"> de los programas de trabajo de otros organismos de normalización para detectar duplicaciones y fomenta la utilización coherente de términos y definiciones conforme a las definiciones normalizadas existentes en este ámbito.</w:t>
      </w:r>
    </w:p>
    <w:p w14:paraId="560B6147" w14:textId="7CB18BD4" w:rsidR="00F8788A" w:rsidRPr="00BB3AEE" w:rsidRDefault="00144201" w:rsidP="00144201">
      <w:pPr>
        <w:pStyle w:val="enumlev1"/>
        <w:rPr>
          <w:szCs w:val="24"/>
        </w:rPr>
      </w:pPr>
      <w:r w:rsidRPr="00BB3AEE">
        <w:rPr>
          <w:szCs w:val="24"/>
        </w:rPr>
        <w:t>3</w:t>
      </w:r>
      <w:r w:rsidR="001A5F6C">
        <w:rPr>
          <w:szCs w:val="24"/>
        </w:rPr>
        <w:t>)</w:t>
      </w:r>
      <w:r w:rsidRPr="00BB3AEE">
        <w:rPr>
          <w:szCs w:val="24"/>
        </w:rPr>
        <w:tab/>
      </w:r>
      <w:r w:rsidR="00F8788A" w:rsidRPr="00BB3AEE">
        <w:rPr>
          <w:szCs w:val="24"/>
        </w:rPr>
        <w:t>La JCA-ML informa a la Comisión de Estudio rectora de cualquier duplicación de tareas o problema de planificación que se detecte, a fin de coordinar todas las actividades con otr</w:t>
      </w:r>
      <w:r w:rsidR="00205126" w:rsidRPr="00BB3AEE">
        <w:rPr>
          <w:szCs w:val="24"/>
        </w:rPr>
        <w:t>o</w:t>
      </w:r>
      <w:r w:rsidR="00F8788A" w:rsidRPr="00BB3AEE">
        <w:rPr>
          <w:szCs w:val="24"/>
        </w:rPr>
        <w:t>s grupos pertinentes.</w:t>
      </w:r>
    </w:p>
    <w:p w14:paraId="4A93CEC7" w14:textId="424E40C5" w:rsidR="00782FD8" w:rsidRPr="00BB3AEE" w:rsidRDefault="00144201" w:rsidP="00144201">
      <w:pPr>
        <w:pStyle w:val="enumlev1"/>
        <w:rPr>
          <w:szCs w:val="24"/>
        </w:rPr>
      </w:pPr>
      <w:r w:rsidRPr="00BB3AEE">
        <w:rPr>
          <w:szCs w:val="24"/>
        </w:rPr>
        <w:t>4</w:t>
      </w:r>
      <w:r w:rsidR="001A5F6C">
        <w:rPr>
          <w:szCs w:val="24"/>
        </w:rPr>
        <w:t>)</w:t>
      </w:r>
      <w:r w:rsidRPr="00BB3AEE">
        <w:rPr>
          <w:szCs w:val="24"/>
        </w:rPr>
        <w:tab/>
      </w:r>
      <w:r w:rsidR="00F8788A" w:rsidRPr="00BB3AEE">
        <w:rPr>
          <w:szCs w:val="24"/>
        </w:rPr>
        <w:t xml:space="preserve">La JCA-ML estudia y fomenta las posibilidades de cooperación y colaboración en materia de aplicaciones de aprendizaje automático con grupos pertinentes como ISO/CEI JTC 1, ISO/CEI JTC 1/SC 42, ISO/CEI JTC 1/SC 29, ISO/TC37, IEC TC 62, el Comité Asesor sobre Seguridad de la Información y Privacidad de los Datos de </w:t>
      </w:r>
      <w:r w:rsidR="00F54C10" w:rsidRPr="00BB3AEE">
        <w:rPr>
          <w:szCs w:val="24"/>
        </w:rPr>
        <w:t xml:space="preserve">la </w:t>
      </w:r>
      <w:r w:rsidR="00F8788A" w:rsidRPr="00BB3AEE">
        <w:rPr>
          <w:szCs w:val="24"/>
        </w:rPr>
        <w:t>IEC SMB, el Grupo Estratégico</w:t>
      </w:r>
      <w:r w:rsidR="00B55E31" w:rsidRPr="00BB3AEE">
        <w:rPr>
          <w:szCs w:val="24"/>
        </w:rPr>
        <w:t> </w:t>
      </w:r>
      <w:r w:rsidR="00F8788A" w:rsidRPr="00BB3AEE">
        <w:rPr>
          <w:szCs w:val="24"/>
        </w:rPr>
        <w:t xml:space="preserve">11 de IEC SMB, el Grupo Estratégico 12 de </w:t>
      </w:r>
      <w:r w:rsidR="00205126" w:rsidRPr="00BB3AEE">
        <w:rPr>
          <w:szCs w:val="24"/>
        </w:rPr>
        <w:t>la CE</w:t>
      </w:r>
      <w:r w:rsidR="00F8788A" w:rsidRPr="00BB3AEE">
        <w:rPr>
          <w:szCs w:val="24"/>
        </w:rPr>
        <w:t xml:space="preserve">I SMB, IEEE, Khronos Group, W3C, etc., así como con comunidades de código abierto en las que participan y contribuyen </w:t>
      </w:r>
      <w:r w:rsidR="00205126" w:rsidRPr="00BB3AEE">
        <w:rPr>
          <w:szCs w:val="24"/>
        </w:rPr>
        <w:t>activamente</w:t>
      </w:r>
      <w:r w:rsidR="00F8788A" w:rsidRPr="00BB3AEE">
        <w:rPr>
          <w:szCs w:val="24"/>
        </w:rPr>
        <w:t xml:space="preserve"> expertos en aplicaciones del ML</w:t>
      </w:r>
      <w:r w:rsidR="00782FD8" w:rsidRPr="00BB3AEE">
        <w:rPr>
          <w:szCs w:val="24"/>
        </w:rPr>
        <w:t>.</w:t>
      </w:r>
    </w:p>
    <w:p w14:paraId="482B218E" w14:textId="603C6F57" w:rsidR="00F8788A" w:rsidRPr="00BB3AEE" w:rsidRDefault="00144201" w:rsidP="00144201">
      <w:pPr>
        <w:pStyle w:val="enumlev1"/>
        <w:rPr>
          <w:szCs w:val="24"/>
        </w:rPr>
      </w:pPr>
      <w:r w:rsidRPr="00BB3AEE">
        <w:rPr>
          <w:szCs w:val="24"/>
        </w:rPr>
        <w:t>5</w:t>
      </w:r>
      <w:r w:rsidR="001A5F6C">
        <w:rPr>
          <w:szCs w:val="24"/>
        </w:rPr>
        <w:t>)</w:t>
      </w:r>
      <w:r w:rsidRPr="00BB3AEE">
        <w:rPr>
          <w:szCs w:val="24"/>
        </w:rPr>
        <w:tab/>
      </w:r>
      <w:r w:rsidR="00F8788A" w:rsidRPr="00BB3AEE">
        <w:rPr>
          <w:szCs w:val="24"/>
        </w:rPr>
        <w:t xml:space="preserve">La JCA-ML examina periódicamente las hojas de ruta del UIT-T (por ejemplo, la hoja de ruta para la normalización de la inteligencia artificial [UIT-T </w:t>
      </w:r>
      <w:proofErr w:type="spellStart"/>
      <w:r w:rsidR="00F8788A" w:rsidRPr="00BB3AEE">
        <w:rPr>
          <w:szCs w:val="24"/>
        </w:rPr>
        <w:t>Y.sup.aisr</w:t>
      </w:r>
      <w:proofErr w:type="spellEnd"/>
      <w:r w:rsidR="00F8788A" w:rsidRPr="00BB3AEE">
        <w:rPr>
          <w:szCs w:val="24"/>
        </w:rPr>
        <w:t xml:space="preserve">]) con el fin de recopilar información pertinente sobre los productos en curso y publicados por el UIT-T, así como por otras organizaciones de desarrollo de normas, consorcios y foros pertinentes, contribuyendo a realizar un análisis de </w:t>
      </w:r>
      <w:r w:rsidR="00205126" w:rsidRPr="00BB3AEE">
        <w:rPr>
          <w:szCs w:val="24"/>
        </w:rPr>
        <w:t>lagunas</w:t>
      </w:r>
      <w:r w:rsidR="00F8788A" w:rsidRPr="00BB3AEE">
        <w:rPr>
          <w:szCs w:val="24"/>
        </w:rPr>
        <w:t xml:space="preserve"> en su Comisión rectora.</w:t>
      </w:r>
    </w:p>
    <w:p w14:paraId="39B30FF7" w14:textId="09885851" w:rsidR="00F8788A" w:rsidRPr="00BB3AEE" w:rsidRDefault="00144201" w:rsidP="00144201">
      <w:pPr>
        <w:pStyle w:val="enumlev1"/>
        <w:rPr>
          <w:szCs w:val="24"/>
        </w:rPr>
      </w:pPr>
      <w:r w:rsidRPr="00BB3AEE">
        <w:rPr>
          <w:szCs w:val="24"/>
        </w:rPr>
        <w:t>6</w:t>
      </w:r>
      <w:r w:rsidR="001A5F6C">
        <w:rPr>
          <w:szCs w:val="24"/>
        </w:rPr>
        <w:t>)</w:t>
      </w:r>
      <w:r w:rsidRPr="00BB3AEE">
        <w:rPr>
          <w:szCs w:val="24"/>
        </w:rPr>
        <w:tab/>
      </w:r>
      <w:r w:rsidR="00F8788A" w:rsidRPr="00BB3AEE">
        <w:rPr>
          <w:szCs w:val="24"/>
        </w:rPr>
        <w:t xml:space="preserve">La JCA-ML tiene en cuenta los trabajos realizados por otros consorcios y foros de organizaciones de normalización para desempeñar su función de coordinación y proporciona información sobre estos trabajos a las Comisiones de Estudio pertinentes </w:t>
      </w:r>
      <w:r w:rsidR="00F54C10" w:rsidRPr="00BB3AEE">
        <w:rPr>
          <w:szCs w:val="24"/>
        </w:rPr>
        <w:t>a fin de</w:t>
      </w:r>
      <w:r w:rsidR="00F8788A" w:rsidRPr="00BB3AEE">
        <w:rPr>
          <w:szCs w:val="24"/>
        </w:rPr>
        <w:t xml:space="preserve"> que puedan utilizarlos en sus trabajos.</w:t>
      </w:r>
    </w:p>
    <w:p w14:paraId="2578463B" w14:textId="4EB0CAA1" w:rsidR="00F8788A" w:rsidRPr="00BB3AEE" w:rsidRDefault="00144201" w:rsidP="00144201">
      <w:pPr>
        <w:pStyle w:val="enumlev1"/>
        <w:rPr>
          <w:szCs w:val="24"/>
        </w:rPr>
      </w:pPr>
      <w:r w:rsidRPr="00BB3AEE">
        <w:rPr>
          <w:szCs w:val="24"/>
        </w:rPr>
        <w:lastRenderedPageBreak/>
        <w:t>7</w:t>
      </w:r>
      <w:r w:rsidR="001A5F6C">
        <w:rPr>
          <w:szCs w:val="24"/>
        </w:rPr>
        <w:t>)</w:t>
      </w:r>
      <w:r w:rsidRPr="00BB3AEE">
        <w:rPr>
          <w:szCs w:val="24"/>
        </w:rPr>
        <w:tab/>
      </w:r>
      <w:r w:rsidR="00F54C10" w:rsidRPr="00BB3AEE">
        <w:rPr>
          <w:szCs w:val="24"/>
        </w:rPr>
        <w:t>Con objeto</w:t>
      </w:r>
      <w:r w:rsidR="00F8788A" w:rsidRPr="00BB3AEE">
        <w:rPr>
          <w:szCs w:val="24"/>
        </w:rPr>
        <w:t xml:space="preserve"> de facilitar la coordinación interna dentro del UIT-T, la JCA-ML invita a sus reuniones a representantes de todas las Comisiones de Estudio y Grupos Temáticos del</w:t>
      </w:r>
      <w:r w:rsidRPr="00BB3AEE">
        <w:rPr>
          <w:szCs w:val="24"/>
        </w:rPr>
        <w:t> </w:t>
      </w:r>
      <w:r w:rsidR="00F8788A" w:rsidRPr="00BB3AEE">
        <w:rPr>
          <w:szCs w:val="24"/>
        </w:rPr>
        <w:t>UIT-T.</w:t>
      </w:r>
    </w:p>
    <w:p w14:paraId="1843BB85" w14:textId="6F5A6CF5" w:rsidR="00782FD8" w:rsidRPr="00BB3AEE" w:rsidRDefault="00144201" w:rsidP="00144201">
      <w:pPr>
        <w:pStyle w:val="enumlev1"/>
        <w:rPr>
          <w:szCs w:val="24"/>
        </w:rPr>
      </w:pPr>
      <w:r w:rsidRPr="00BB3AEE">
        <w:rPr>
          <w:szCs w:val="24"/>
        </w:rPr>
        <w:t>8</w:t>
      </w:r>
      <w:r w:rsidR="001A5F6C">
        <w:rPr>
          <w:szCs w:val="24"/>
        </w:rPr>
        <w:t>)</w:t>
      </w:r>
      <w:r w:rsidRPr="00BB3AEE">
        <w:rPr>
          <w:szCs w:val="24"/>
        </w:rPr>
        <w:tab/>
      </w:r>
      <w:r w:rsidR="00F54C10" w:rsidRPr="00BB3AEE">
        <w:rPr>
          <w:szCs w:val="24"/>
        </w:rPr>
        <w:t xml:space="preserve">A fin </w:t>
      </w:r>
      <w:r w:rsidR="00F8788A" w:rsidRPr="00BB3AEE">
        <w:rPr>
          <w:szCs w:val="24"/>
        </w:rPr>
        <w:t xml:space="preserve">de fomentar la colaboración externa, la JCA-ML invita </w:t>
      </w:r>
      <w:r w:rsidR="00FB38F1" w:rsidRPr="00BB3AEE">
        <w:rPr>
          <w:szCs w:val="24"/>
        </w:rPr>
        <w:t xml:space="preserve">a formar parte de la JCA-ML </w:t>
      </w:r>
      <w:r w:rsidR="00F8788A" w:rsidRPr="00BB3AEE">
        <w:rPr>
          <w:szCs w:val="24"/>
        </w:rPr>
        <w:t>a representantes de otras organizaciones de normalización, organizaciones regionales/nacionales, foros</w:t>
      </w:r>
      <w:r w:rsidR="00FB38F1" w:rsidRPr="00BB3AEE">
        <w:rPr>
          <w:szCs w:val="24"/>
        </w:rPr>
        <w:t xml:space="preserve"> y consorcios competentes</w:t>
      </w:r>
      <w:r w:rsidR="00782FD8" w:rsidRPr="00BB3AEE">
        <w:rPr>
          <w:szCs w:val="24"/>
        </w:rPr>
        <w:t>.</w:t>
      </w:r>
    </w:p>
    <w:p w14:paraId="6BE5850A" w14:textId="70859296" w:rsidR="009D4B76" w:rsidRPr="00BB3AEE" w:rsidRDefault="00782FD8" w:rsidP="009D4B76">
      <w:pPr>
        <w:pStyle w:val="Heading1"/>
      </w:pPr>
      <w:r w:rsidRPr="00BB3AEE">
        <w:t>3</w:t>
      </w:r>
      <w:r w:rsidR="009D4B76" w:rsidRPr="00BB3AEE">
        <w:tab/>
      </w:r>
      <w:proofErr w:type="gramStart"/>
      <w:r w:rsidR="009D4B76" w:rsidRPr="00BB3AEE">
        <w:t>Apoyo</w:t>
      </w:r>
      <w:proofErr w:type="gramEnd"/>
      <w:r w:rsidR="009D4B76" w:rsidRPr="00BB3AEE">
        <w:t xml:space="preserve"> administrativo</w:t>
      </w:r>
    </w:p>
    <w:p w14:paraId="5F2DBFAD" w14:textId="4886936B" w:rsidR="009D4B76" w:rsidRPr="00BB3AEE" w:rsidRDefault="009D4B76" w:rsidP="009D4B76">
      <w:r w:rsidRPr="00BB3AEE">
        <w:t xml:space="preserve">La Oficina de Normalización de las Telecomunicaciones (TSB) del UIT-T proporciona servicios de secretaría </w:t>
      </w:r>
      <w:r w:rsidR="00FB38F1" w:rsidRPr="00BB3AEE">
        <w:t>y facilita el buen funcionamiento de</w:t>
      </w:r>
      <w:r w:rsidRPr="00BB3AEE">
        <w:t xml:space="preserve"> la JCA-</w:t>
      </w:r>
      <w:r w:rsidR="00782FD8" w:rsidRPr="00BB3AEE">
        <w:t>ML</w:t>
      </w:r>
      <w:r w:rsidRPr="00BB3AEE">
        <w:t xml:space="preserve"> con arreglo a los recursos disponibles.</w:t>
      </w:r>
    </w:p>
    <w:p w14:paraId="791F312D" w14:textId="438D6D0F" w:rsidR="009D4B76" w:rsidRPr="00BB3AEE" w:rsidRDefault="00782FD8" w:rsidP="009D4B76">
      <w:pPr>
        <w:pStyle w:val="Heading1"/>
      </w:pPr>
      <w:r w:rsidRPr="00BB3AEE">
        <w:t>4</w:t>
      </w:r>
      <w:r w:rsidR="009D4B76" w:rsidRPr="00BB3AEE">
        <w:tab/>
      </w:r>
      <w:proofErr w:type="gramStart"/>
      <w:r w:rsidR="009D4B76" w:rsidRPr="00BB3AEE">
        <w:t>Reuniones</w:t>
      </w:r>
      <w:proofErr w:type="gramEnd"/>
    </w:p>
    <w:p w14:paraId="577A11F2" w14:textId="0FE85713" w:rsidR="00782FD8" w:rsidRPr="00BB3AEE" w:rsidRDefault="009E7F28" w:rsidP="00782FD8">
      <w:pPr>
        <w:ind w:firstLine="720"/>
        <w:rPr>
          <w:lang w:eastAsia="ko-KR"/>
        </w:rPr>
      </w:pPr>
      <w:r w:rsidRPr="00BB3AEE">
        <w:rPr>
          <w:lang w:eastAsia="ko-KR"/>
        </w:rPr>
        <w:t>La JCA-ML se reúne tres veces al año para examinar las novedades y los informes de las distintas partes. La JCA-ML lleva a cabo su labor por medios electrónicos, por teleconferencia y en reuniones presenciales, según proceda. Las reuniones se celebran cuando lo determin</w:t>
      </w:r>
      <w:r w:rsidR="00F54C10" w:rsidRPr="00BB3AEE">
        <w:rPr>
          <w:lang w:eastAsia="ko-KR"/>
        </w:rPr>
        <w:t>a</w:t>
      </w:r>
      <w:r w:rsidRPr="00BB3AEE">
        <w:rPr>
          <w:lang w:eastAsia="ko-KR"/>
        </w:rPr>
        <w:t xml:space="preserve"> la JCA-ML y se anuncian a sus participantes y en el sitio web del UIT-T. Por lo general, las reuniones en línea y presenciales se celebran con ocasión de la reunión de su CE 13 rectora y también entre reuniones de la CE</w:t>
      </w:r>
      <w:r w:rsidR="002D2B1C" w:rsidRPr="00BB3AEE">
        <w:rPr>
          <w:lang w:eastAsia="ko-KR"/>
        </w:rPr>
        <w:t xml:space="preserve"> </w:t>
      </w:r>
      <w:r w:rsidRPr="00BB3AEE">
        <w:rPr>
          <w:lang w:eastAsia="ko-KR"/>
        </w:rPr>
        <w:t>13</w:t>
      </w:r>
      <w:r w:rsidR="00782FD8" w:rsidRPr="00BB3AEE">
        <w:rPr>
          <w:lang w:eastAsia="ko-KR"/>
        </w:rPr>
        <w:t>.</w:t>
      </w:r>
    </w:p>
    <w:p w14:paraId="0EE49548" w14:textId="74DBC665" w:rsidR="009D4B76" w:rsidRPr="00BB3AEE" w:rsidRDefault="00782FD8" w:rsidP="009D4B76">
      <w:pPr>
        <w:pStyle w:val="Heading1"/>
      </w:pPr>
      <w:r w:rsidRPr="00BB3AEE">
        <w:t>5</w:t>
      </w:r>
      <w:r w:rsidR="009D4B76" w:rsidRPr="00BB3AEE">
        <w:tab/>
      </w:r>
      <w:proofErr w:type="gramStart"/>
      <w:r w:rsidR="009D4B76" w:rsidRPr="00BB3AEE">
        <w:t>Comisión</w:t>
      </w:r>
      <w:proofErr w:type="gramEnd"/>
      <w:r w:rsidR="009D4B76" w:rsidRPr="00BB3AEE">
        <w:t xml:space="preserve"> de Estudio rectora e informes de situación</w:t>
      </w:r>
    </w:p>
    <w:p w14:paraId="723FA00E" w14:textId="319964EB" w:rsidR="009D4B76" w:rsidRPr="00BB3AEE" w:rsidRDefault="009E7F28" w:rsidP="00782FD8">
      <w:pPr>
        <w:ind w:firstLine="720"/>
        <w:jc w:val="both"/>
        <w:rPr>
          <w:lang w:eastAsia="ko-KR"/>
        </w:rPr>
      </w:pPr>
      <w:r w:rsidRPr="00BB3AEE">
        <w:rPr>
          <w:lang w:eastAsia="ko-KR"/>
        </w:rPr>
        <w:t xml:space="preserve">La JCA-ML informa de sus actividades a la Comisión de Estudio 13, </w:t>
      </w:r>
      <w:r w:rsidR="00F54C10" w:rsidRPr="00BB3AEE">
        <w:rPr>
          <w:lang w:eastAsia="ko-KR"/>
        </w:rPr>
        <w:t>C</w:t>
      </w:r>
      <w:r w:rsidRPr="00BB3AEE">
        <w:rPr>
          <w:lang w:eastAsia="ko-KR"/>
        </w:rPr>
        <w:t>omisión responsable de la JCA en sus reuniones. Los informes de situación y las propuestas se enviarán a las Comisiones de Estudio pertinentes, cuando corresponda, de conformidad con lo dispuesto en la cláusula 5.7 de la Recomendación UIT-T A.1.</w:t>
      </w:r>
    </w:p>
    <w:p w14:paraId="3042405F" w14:textId="2167569C" w:rsidR="009D4B76" w:rsidRPr="00BB3AEE" w:rsidRDefault="00782FD8" w:rsidP="0055490F">
      <w:pPr>
        <w:pStyle w:val="Heading1"/>
      </w:pPr>
      <w:r w:rsidRPr="00BB3AEE">
        <w:t>6</w:t>
      </w:r>
      <w:r w:rsidR="009D4B76" w:rsidRPr="00BB3AEE">
        <w:tab/>
      </w:r>
      <w:proofErr w:type="gramStart"/>
      <w:r w:rsidR="009D4B76" w:rsidRPr="00BB3AEE">
        <w:t>Duración</w:t>
      </w:r>
      <w:proofErr w:type="gramEnd"/>
    </w:p>
    <w:p w14:paraId="043206A0" w14:textId="02F4ED95" w:rsidR="009D4B76" w:rsidRPr="00BB3AEE" w:rsidRDefault="009E7F28" w:rsidP="009C3056">
      <w:bookmarkStart w:id="6" w:name="lt_pId142"/>
      <w:r w:rsidRPr="00BB3AEE">
        <w:t xml:space="preserve">La continuación o disolución de la JCA-ML se examinará a finales de 2024 </w:t>
      </w:r>
      <w:r w:rsidR="00F54C10" w:rsidRPr="00BB3AEE">
        <w:t>y</w:t>
      </w:r>
      <w:r w:rsidRPr="00BB3AEE">
        <w:t xml:space="preserve"> podrá ser </w:t>
      </w:r>
      <w:r w:rsidR="00F54C10" w:rsidRPr="00BB3AEE">
        <w:t xml:space="preserve">disuelta </w:t>
      </w:r>
      <w:r w:rsidRPr="00BB3AEE">
        <w:t xml:space="preserve">por la Comisión rectora de acuerdo con la cláusula </w:t>
      </w:r>
      <w:r w:rsidR="009D4B76" w:rsidRPr="00BB3AEE">
        <w:t>5.10 de la Recomendación UIT-T A.1</w:t>
      </w:r>
      <w:bookmarkEnd w:id="6"/>
      <w:r w:rsidR="009C3056" w:rsidRPr="00BB3AEE">
        <w:t>.</w:t>
      </w:r>
    </w:p>
    <w:p w14:paraId="7F3C6A7D" w14:textId="039B6B29" w:rsidR="009D4B76" w:rsidRPr="00BB3AEE" w:rsidRDefault="009D4B76" w:rsidP="009C3056">
      <w:r w:rsidRPr="00BB3AEE">
        <w:br w:type="page"/>
      </w:r>
    </w:p>
    <w:p w14:paraId="70426BD9" w14:textId="50551562" w:rsidR="009D4B76" w:rsidRPr="00BB3AEE" w:rsidRDefault="009D4B76" w:rsidP="00F2571A">
      <w:pPr>
        <w:pStyle w:val="AnnexNotitle"/>
        <w:spacing w:after="360"/>
      </w:pPr>
      <w:bookmarkStart w:id="7" w:name="lt_pId109"/>
      <w:bookmarkStart w:id="8" w:name="Annex2"/>
      <w:r w:rsidRPr="00BB3AEE">
        <w:lastRenderedPageBreak/>
        <w:t xml:space="preserve">ANEXO </w:t>
      </w:r>
      <w:bookmarkStart w:id="9" w:name="_Draft_Agenda_for"/>
      <w:bookmarkStart w:id="10" w:name="lt_pId111"/>
      <w:bookmarkEnd w:id="7"/>
      <w:bookmarkEnd w:id="8"/>
      <w:bookmarkEnd w:id="9"/>
      <w:r w:rsidR="00FF42E2">
        <w:t>2</w:t>
      </w:r>
      <w:r w:rsidR="009C3056" w:rsidRPr="00BB3AEE">
        <w:br/>
      </w:r>
      <w:r w:rsidR="009C3056" w:rsidRPr="00BB3AEE">
        <w:br/>
      </w:r>
      <w:r w:rsidRPr="00BB3AEE">
        <w:t>Proyecto de orden del día de la 1ª reunión de la JCA-</w:t>
      </w:r>
      <w:bookmarkEnd w:id="10"/>
      <w:r w:rsidR="00782FD8" w:rsidRPr="00BB3AEE">
        <w:t>ML</w:t>
      </w:r>
      <w:r w:rsidRPr="00BB3AEE">
        <w:br/>
      </w:r>
      <w:bookmarkStart w:id="11" w:name="lt_pId112"/>
      <w:r w:rsidRPr="00BB3AEE">
        <w:t xml:space="preserve">(Ginebra, </w:t>
      </w:r>
      <w:r w:rsidR="00782FD8" w:rsidRPr="00BB3AEE">
        <w:t>16</w:t>
      </w:r>
      <w:r w:rsidRPr="00BB3AEE">
        <w:t xml:space="preserve"> de marzo de 2023)</w:t>
      </w:r>
      <w:bookmarkEnd w:id="11"/>
    </w:p>
    <w:p w14:paraId="3F305CFE" w14:textId="7B12F779" w:rsidR="009D4B76" w:rsidRPr="00BB3AEE" w:rsidRDefault="009D4B76" w:rsidP="00F2571A">
      <w:pPr>
        <w:pStyle w:val="enumlev1"/>
      </w:pPr>
      <w:r w:rsidRPr="00BB3AEE">
        <w:t>1</w:t>
      </w:r>
      <w:r w:rsidR="001A5F6C">
        <w:t>)</w:t>
      </w:r>
      <w:r w:rsidRPr="00BB3AEE">
        <w:tab/>
        <w:t>Apertura de la reunión</w:t>
      </w:r>
      <w:r w:rsidR="00242518" w:rsidRPr="00BB3AEE">
        <w:t>, bienvenida y objetivos de la reunión</w:t>
      </w:r>
    </w:p>
    <w:p w14:paraId="3D6C4B2C" w14:textId="21ACE28E" w:rsidR="009D4B76" w:rsidRPr="00BB3AEE" w:rsidRDefault="009D4B76" w:rsidP="00F2571A">
      <w:pPr>
        <w:pStyle w:val="enumlev1"/>
      </w:pPr>
      <w:r w:rsidRPr="00BB3AEE">
        <w:t>2</w:t>
      </w:r>
      <w:r w:rsidR="001A5F6C">
        <w:t>)</w:t>
      </w:r>
      <w:r w:rsidRPr="00BB3AEE">
        <w:tab/>
        <w:t>Aprobación del orden del día</w:t>
      </w:r>
      <w:bookmarkStart w:id="12" w:name="lt_pId137"/>
    </w:p>
    <w:p w14:paraId="7E8CBB16" w14:textId="007C3656" w:rsidR="009D4B76" w:rsidRPr="00BB3AEE" w:rsidRDefault="009D4B76" w:rsidP="00F2571A">
      <w:pPr>
        <w:pStyle w:val="enumlev1"/>
      </w:pPr>
      <w:r w:rsidRPr="00BB3AEE">
        <w:t>3</w:t>
      </w:r>
      <w:r w:rsidR="001A5F6C">
        <w:t>)</w:t>
      </w:r>
      <w:r w:rsidRPr="00BB3AEE">
        <w:tab/>
        <w:t>Examen del mandato de la JCA-</w:t>
      </w:r>
      <w:bookmarkEnd w:id="12"/>
      <w:r w:rsidR="00242518" w:rsidRPr="00BB3AEE">
        <w:t>ML</w:t>
      </w:r>
    </w:p>
    <w:p w14:paraId="77F22E9A" w14:textId="383D1F11" w:rsidR="009D4B76" w:rsidRPr="00BB3AEE" w:rsidRDefault="009D4B76" w:rsidP="00F2571A">
      <w:pPr>
        <w:pStyle w:val="enumlev1"/>
      </w:pPr>
      <w:r w:rsidRPr="00BB3AEE">
        <w:t>4</w:t>
      </w:r>
      <w:r w:rsidR="001A5F6C">
        <w:t>)</w:t>
      </w:r>
      <w:r w:rsidRPr="00BB3AEE">
        <w:tab/>
      </w:r>
      <w:r w:rsidR="00242518" w:rsidRPr="00BB3AEE">
        <w:t>M</w:t>
      </w:r>
      <w:r w:rsidRPr="00BB3AEE">
        <w:t xml:space="preserve">étodos de trabajo de la </w:t>
      </w:r>
      <w:r w:rsidR="0022790C" w:rsidRPr="00BB3AEE">
        <w:t xml:space="preserve">Actividad Conjunta de Coordinación </w:t>
      </w:r>
      <w:bookmarkStart w:id="13" w:name="lt_pId139"/>
      <w:bookmarkStart w:id="14" w:name="_Hlk101256097"/>
      <w:r w:rsidR="00242518" w:rsidRPr="00BB3AEE">
        <w:t>y herramientas para lleva</w:t>
      </w:r>
      <w:r w:rsidR="0022790C" w:rsidRPr="00BB3AEE">
        <w:t>r</w:t>
      </w:r>
      <w:r w:rsidR="00242518" w:rsidRPr="00BB3AEE">
        <w:t xml:space="preserve"> a buen término su mandato</w:t>
      </w:r>
    </w:p>
    <w:p w14:paraId="20F2D4A4" w14:textId="1BDD8DE5" w:rsidR="009D4B76" w:rsidRPr="00BB3AEE" w:rsidRDefault="009D4B76" w:rsidP="00F2571A">
      <w:pPr>
        <w:pStyle w:val="enumlev1"/>
      </w:pPr>
      <w:r w:rsidRPr="00BB3AEE">
        <w:t>5</w:t>
      </w:r>
      <w:r w:rsidR="001A5F6C">
        <w:t>)</w:t>
      </w:r>
      <w:r w:rsidRPr="00BB3AEE">
        <w:tab/>
      </w:r>
      <w:r w:rsidR="00242518" w:rsidRPr="00BB3AEE">
        <w:t>Nombramiento de los representantes de</w:t>
      </w:r>
      <w:r w:rsidRPr="00BB3AEE">
        <w:t xml:space="preserve"> las Comisiones de Estudio del UIT-T y de otras organizaciones y foros de normalización</w:t>
      </w:r>
      <w:bookmarkStart w:id="15" w:name="lt_pId140"/>
      <w:bookmarkEnd w:id="13"/>
      <w:bookmarkEnd w:id="14"/>
      <w:r w:rsidR="00242518" w:rsidRPr="00BB3AEE">
        <w:t xml:space="preserve"> para la JCA-ML</w:t>
      </w:r>
    </w:p>
    <w:p w14:paraId="1ED45373" w14:textId="1D994A68" w:rsidR="009D4B76" w:rsidRPr="00BB3AEE" w:rsidRDefault="009D4B76" w:rsidP="00F2571A">
      <w:pPr>
        <w:pStyle w:val="enumlev1"/>
      </w:pPr>
      <w:r w:rsidRPr="00BB3AEE">
        <w:t>6</w:t>
      </w:r>
      <w:r w:rsidR="001A5F6C">
        <w:t>)</w:t>
      </w:r>
      <w:r w:rsidRPr="00BB3AEE">
        <w:tab/>
        <w:t xml:space="preserve">Examen de las contribuciones </w:t>
      </w:r>
      <w:bookmarkStart w:id="16" w:name="lt_pId141"/>
      <w:bookmarkEnd w:id="15"/>
      <w:r w:rsidR="00242518" w:rsidRPr="00BB3AEE">
        <w:t>recibidas</w:t>
      </w:r>
    </w:p>
    <w:p w14:paraId="40E2B995" w14:textId="40623E00" w:rsidR="009D4B76" w:rsidRPr="00BB3AEE" w:rsidRDefault="009D4B76" w:rsidP="00242518">
      <w:pPr>
        <w:pStyle w:val="enumlev1"/>
      </w:pPr>
      <w:r w:rsidRPr="00BB3AEE">
        <w:t>7</w:t>
      </w:r>
      <w:r w:rsidR="001A5F6C">
        <w:t>)</w:t>
      </w:r>
      <w:r w:rsidRPr="00BB3AEE">
        <w:tab/>
      </w:r>
      <w:bookmarkEnd w:id="16"/>
      <w:r w:rsidR="00242518" w:rsidRPr="00BB3AEE">
        <w:t>Examen de las actividades de normalización de las Comisiones de Estudio del UIT-T y de otras organizaciones y foros de normalización</w:t>
      </w:r>
    </w:p>
    <w:p w14:paraId="54F67074" w14:textId="13F16B15" w:rsidR="009D4B76" w:rsidRPr="00BB3AEE" w:rsidRDefault="00242518" w:rsidP="00F2571A">
      <w:pPr>
        <w:pStyle w:val="enumlev1"/>
      </w:pPr>
      <w:r w:rsidRPr="00BB3AEE">
        <w:t>8</w:t>
      </w:r>
      <w:r w:rsidR="001A5F6C">
        <w:t>)</w:t>
      </w:r>
      <w:r w:rsidR="009D4B76" w:rsidRPr="00BB3AEE">
        <w:tab/>
      </w:r>
      <w:bookmarkStart w:id="17" w:name="lt_pId145"/>
      <w:r w:rsidRPr="00BB3AEE">
        <w:t xml:space="preserve">Plan de acción </w:t>
      </w:r>
      <w:r w:rsidR="0022790C" w:rsidRPr="00BB3AEE">
        <w:t xml:space="preserve">para el </w:t>
      </w:r>
      <w:r w:rsidRPr="00BB3AEE">
        <w:t>futuro</w:t>
      </w:r>
    </w:p>
    <w:p w14:paraId="0D44FE7E" w14:textId="2FA5B961" w:rsidR="009D4B76" w:rsidRPr="00BB3AEE" w:rsidRDefault="00242518" w:rsidP="00F2571A">
      <w:pPr>
        <w:pStyle w:val="enumlev1"/>
      </w:pPr>
      <w:r w:rsidRPr="00BB3AEE">
        <w:t>9</w:t>
      </w:r>
      <w:r w:rsidR="001A5F6C">
        <w:t>)</w:t>
      </w:r>
      <w:r w:rsidR="009D4B76" w:rsidRPr="00BB3AEE">
        <w:tab/>
        <w:t>Aprobación de declaraciones de coordinación salientes</w:t>
      </w:r>
      <w:bookmarkStart w:id="18" w:name="lt_pId146"/>
      <w:bookmarkEnd w:id="17"/>
    </w:p>
    <w:p w14:paraId="2AE3CDEA" w14:textId="03C59349" w:rsidR="009D4B76" w:rsidRPr="00BB3AEE" w:rsidRDefault="009D4B76" w:rsidP="00F2571A">
      <w:pPr>
        <w:pStyle w:val="enumlev1"/>
      </w:pPr>
      <w:r w:rsidRPr="00BB3AEE">
        <w:t>1</w:t>
      </w:r>
      <w:r w:rsidR="00242518" w:rsidRPr="00BB3AEE">
        <w:t>0</w:t>
      </w:r>
      <w:r w:rsidR="001A5F6C">
        <w:t>)</w:t>
      </w:r>
      <w:r w:rsidRPr="00BB3AEE">
        <w:tab/>
        <w:t>Reuniones y eventos futuros</w:t>
      </w:r>
      <w:bookmarkEnd w:id="18"/>
    </w:p>
    <w:p w14:paraId="005F4EF2" w14:textId="4DB01137" w:rsidR="009D4B76" w:rsidRPr="00BB3AEE" w:rsidRDefault="009D4B76" w:rsidP="00F2571A">
      <w:pPr>
        <w:pStyle w:val="enumlev1"/>
      </w:pPr>
      <w:r w:rsidRPr="00BB3AEE">
        <w:t>1</w:t>
      </w:r>
      <w:r w:rsidR="00242518" w:rsidRPr="00BB3AEE">
        <w:t>1</w:t>
      </w:r>
      <w:r w:rsidR="001A5F6C">
        <w:t>)</w:t>
      </w:r>
      <w:r w:rsidRPr="00BB3AEE">
        <w:tab/>
        <w:t>Otros asuntos</w:t>
      </w:r>
    </w:p>
    <w:p w14:paraId="63645195" w14:textId="76913F92" w:rsidR="009D4B76" w:rsidRPr="00BB3AEE" w:rsidRDefault="009D4B76" w:rsidP="00F2571A">
      <w:pPr>
        <w:pStyle w:val="enumlev1"/>
      </w:pPr>
      <w:r w:rsidRPr="00BB3AEE">
        <w:t>1</w:t>
      </w:r>
      <w:r w:rsidR="00242518" w:rsidRPr="00BB3AEE">
        <w:t>2</w:t>
      </w:r>
      <w:r w:rsidR="001A5F6C">
        <w:t>)</w:t>
      </w:r>
      <w:r w:rsidRPr="00BB3AEE">
        <w:tab/>
        <w:t>Clausura de la reunión</w:t>
      </w:r>
    </w:p>
    <w:p w14:paraId="2E659FA4" w14:textId="77777777" w:rsidR="008C2B17" w:rsidRPr="00BB3AEE" w:rsidRDefault="008C2B17" w:rsidP="00411C49">
      <w:pPr>
        <w:pStyle w:val="Reasons"/>
        <w:rPr>
          <w:lang w:val="es-ES_tradnl"/>
        </w:rPr>
      </w:pPr>
    </w:p>
    <w:p w14:paraId="0BAA1107" w14:textId="77777777" w:rsidR="008C2B17" w:rsidRPr="00BB3AEE" w:rsidRDefault="008C2B17">
      <w:pPr>
        <w:jc w:val="center"/>
      </w:pPr>
      <w:r w:rsidRPr="00BB3AEE">
        <w:t>______________</w:t>
      </w:r>
    </w:p>
    <w:sectPr w:rsidR="008C2B17" w:rsidRPr="00BB3AEE" w:rsidSect="00B87E9E">
      <w:headerReference w:type="default" r:id="rId13"/>
      <w:footerReference w:type="first" r:id="rId14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11E61" w14:textId="77777777" w:rsidR="00FA0602" w:rsidRDefault="00FA0602">
      <w:r>
        <w:separator/>
      </w:r>
    </w:p>
  </w:endnote>
  <w:endnote w:type="continuationSeparator" w:id="0">
    <w:p w14:paraId="11D30733" w14:textId="77777777" w:rsidR="00FA0602" w:rsidRDefault="00FA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EC497" w14:textId="4DB1DB44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 xml:space="preserve">Unión Internacional de Telecomunicaciones • Place des </w:t>
    </w:r>
    <w:proofErr w:type="spellStart"/>
    <w:r w:rsidRPr="00D834E7">
      <w:rPr>
        <w:color w:val="0070C0"/>
        <w:szCs w:val="18"/>
        <w:lang w:val="es-ES"/>
      </w:rPr>
      <w:t>Nations</w:t>
    </w:r>
    <w:proofErr w:type="spellEnd"/>
    <w:r w:rsidRPr="00D834E7">
      <w:rPr>
        <w:color w:val="0070C0"/>
        <w:szCs w:val="18"/>
        <w:lang w:val="es-ES"/>
      </w:rPr>
      <w:t>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>Tel</w:t>
    </w:r>
    <w:r w:rsidR="00C011F1">
      <w:rPr>
        <w:color w:val="0070C0"/>
        <w:szCs w:val="18"/>
        <w:lang w:val="es-ES"/>
      </w:rPr>
      <w:t>.</w:t>
    </w:r>
    <w:r w:rsidRPr="00D834E7">
      <w:rPr>
        <w:color w:val="0070C0"/>
        <w:szCs w:val="18"/>
        <w:lang w:val="es-ES"/>
      </w:rPr>
      <w:t xml:space="preserve">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ABC8F" w14:textId="77777777" w:rsidR="00FA0602" w:rsidRDefault="00FA0602">
      <w:r>
        <w:t>____________________</w:t>
      </w:r>
    </w:p>
  </w:footnote>
  <w:footnote w:type="continuationSeparator" w:id="0">
    <w:p w14:paraId="5855C9C0" w14:textId="77777777" w:rsidR="00FA0602" w:rsidRDefault="00FA0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17ED" w14:textId="2D14BB42" w:rsidR="006969B4" w:rsidRDefault="006969B4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  <w:r w:rsidR="00C011F1">
      <w:rPr>
        <w:rStyle w:val="PageNumber"/>
        <w:sz w:val="18"/>
        <w:szCs w:val="18"/>
      </w:rPr>
      <w:br/>
    </w:r>
    <w:r w:rsidR="00C011F1" w:rsidRPr="00AE7A5F">
      <w:rPr>
        <w:sz w:val="18"/>
        <w:szCs w:val="18"/>
      </w:rPr>
      <w:t xml:space="preserve">Circular TSB </w:t>
    </w:r>
    <w:r w:rsidR="008C2B17">
      <w:rPr>
        <w:sz w:val="18"/>
        <w:szCs w:val="18"/>
      </w:rPr>
      <w:t>72</w:t>
    </w:r>
  </w:p>
  <w:p w14:paraId="0F60A181" w14:textId="77777777" w:rsidR="00F51948" w:rsidRPr="00303D62" w:rsidRDefault="00F51948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4C14AE0"/>
    <w:multiLevelType w:val="hybridMultilevel"/>
    <w:tmpl w:val="20BAC8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052488730">
    <w:abstractNumId w:val="0"/>
  </w:num>
  <w:num w:numId="2" w16cid:durableId="67118751">
    <w:abstractNumId w:val="4"/>
  </w:num>
  <w:num w:numId="3" w16cid:durableId="2143694177">
    <w:abstractNumId w:val="3"/>
  </w:num>
  <w:num w:numId="4" w16cid:durableId="2103453682">
    <w:abstractNumId w:val="2"/>
  </w:num>
  <w:num w:numId="5" w16cid:durableId="1290210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02"/>
    <w:rsid w:val="0000129D"/>
    <w:rsid w:val="00002529"/>
    <w:rsid w:val="00085662"/>
    <w:rsid w:val="0009065B"/>
    <w:rsid w:val="000C382F"/>
    <w:rsid w:val="000D4C5A"/>
    <w:rsid w:val="001173CC"/>
    <w:rsid w:val="00134512"/>
    <w:rsid w:val="00144201"/>
    <w:rsid w:val="0014464D"/>
    <w:rsid w:val="001579AA"/>
    <w:rsid w:val="001A54CC"/>
    <w:rsid w:val="001A5F6C"/>
    <w:rsid w:val="001B400E"/>
    <w:rsid w:val="00205126"/>
    <w:rsid w:val="0022790C"/>
    <w:rsid w:val="00242518"/>
    <w:rsid w:val="00257FB4"/>
    <w:rsid w:val="00272196"/>
    <w:rsid w:val="002920DC"/>
    <w:rsid w:val="002D2B1C"/>
    <w:rsid w:val="002E496E"/>
    <w:rsid w:val="00303D62"/>
    <w:rsid w:val="00335367"/>
    <w:rsid w:val="00370C2D"/>
    <w:rsid w:val="003A3DB7"/>
    <w:rsid w:val="003B5040"/>
    <w:rsid w:val="003D1E8D"/>
    <w:rsid w:val="003D673B"/>
    <w:rsid w:val="003D6AFD"/>
    <w:rsid w:val="003F2855"/>
    <w:rsid w:val="00401C20"/>
    <w:rsid w:val="004031DE"/>
    <w:rsid w:val="004A7957"/>
    <w:rsid w:val="004C4144"/>
    <w:rsid w:val="004F7ED9"/>
    <w:rsid w:val="005122EB"/>
    <w:rsid w:val="0055490F"/>
    <w:rsid w:val="0055719E"/>
    <w:rsid w:val="005A00F0"/>
    <w:rsid w:val="006969B4"/>
    <w:rsid w:val="006E4F7B"/>
    <w:rsid w:val="00781E2A"/>
    <w:rsid w:val="00782FD8"/>
    <w:rsid w:val="007933A2"/>
    <w:rsid w:val="007B6316"/>
    <w:rsid w:val="007F3AF2"/>
    <w:rsid w:val="00814503"/>
    <w:rsid w:val="008258C2"/>
    <w:rsid w:val="008505BD"/>
    <w:rsid w:val="00850C78"/>
    <w:rsid w:val="00876165"/>
    <w:rsid w:val="00884D12"/>
    <w:rsid w:val="008C17AD"/>
    <w:rsid w:val="008C2B17"/>
    <w:rsid w:val="008D02CD"/>
    <w:rsid w:val="008D0EB6"/>
    <w:rsid w:val="0091370C"/>
    <w:rsid w:val="00924335"/>
    <w:rsid w:val="0095172A"/>
    <w:rsid w:val="00953CC4"/>
    <w:rsid w:val="009878B2"/>
    <w:rsid w:val="009A0BA0"/>
    <w:rsid w:val="009C3056"/>
    <w:rsid w:val="009D4B76"/>
    <w:rsid w:val="009E7F28"/>
    <w:rsid w:val="009F664E"/>
    <w:rsid w:val="00A54E47"/>
    <w:rsid w:val="00AB6E3A"/>
    <w:rsid w:val="00AE7093"/>
    <w:rsid w:val="00AE7366"/>
    <w:rsid w:val="00B422BC"/>
    <w:rsid w:val="00B43F77"/>
    <w:rsid w:val="00B55A3E"/>
    <w:rsid w:val="00B55E31"/>
    <w:rsid w:val="00B61187"/>
    <w:rsid w:val="00B87E9E"/>
    <w:rsid w:val="00B95D74"/>
    <w:rsid w:val="00B95F0A"/>
    <w:rsid w:val="00B96180"/>
    <w:rsid w:val="00BB3AEE"/>
    <w:rsid w:val="00BE2D62"/>
    <w:rsid w:val="00C00E4D"/>
    <w:rsid w:val="00C011F1"/>
    <w:rsid w:val="00C116FE"/>
    <w:rsid w:val="00C17AC0"/>
    <w:rsid w:val="00C22D84"/>
    <w:rsid w:val="00C32E28"/>
    <w:rsid w:val="00C34772"/>
    <w:rsid w:val="00C5465A"/>
    <w:rsid w:val="00D54642"/>
    <w:rsid w:val="00D834E7"/>
    <w:rsid w:val="00DD77C9"/>
    <w:rsid w:val="00DF0C54"/>
    <w:rsid w:val="00DF3538"/>
    <w:rsid w:val="00E279EB"/>
    <w:rsid w:val="00E839B0"/>
    <w:rsid w:val="00E92C09"/>
    <w:rsid w:val="00F14380"/>
    <w:rsid w:val="00F237B4"/>
    <w:rsid w:val="00F2571A"/>
    <w:rsid w:val="00F51948"/>
    <w:rsid w:val="00F54C10"/>
    <w:rsid w:val="00F6461F"/>
    <w:rsid w:val="00F8788A"/>
    <w:rsid w:val="00FA0602"/>
    <w:rsid w:val="00FA13CE"/>
    <w:rsid w:val="00FB38F1"/>
    <w:rsid w:val="00FC416A"/>
    <w:rsid w:val="00FC6293"/>
    <w:rsid w:val="00FD2B2D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129631"/>
  <w15:docId w15:val="{C9322CC0-9039-4C37-BD3A-08C49146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,CEO_Hyperlink,Style 58,超????,超?级链,超链接1,하이퍼링크2"/>
    <w:basedOn w:val="DefaultParagraphFont"/>
    <w:qFormat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A0602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9D4B7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Revision">
    <w:name w:val="Revision"/>
    <w:hidden/>
    <w:uiPriority w:val="99"/>
    <w:semiHidden/>
    <w:rsid w:val="0055490F"/>
    <w:rPr>
      <w:rFonts w:asciiTheme="minorHAnsi" w:hAnsiTheme="minorHAnsi"/>
      <w:sz w:val="24"/>
      <w:lang w:val="es-ES_tradnl" w:eastAsia="en-US"/>
    </w:rPr>
  </w:style>
  <w:style w:type="table" w:customStyle="1" w:styleId="TableGrid1">
    <w:name w:val="Table Grid1"/>
    <w:basedOn w:val="TableNormal"/>
    <w:next w:val="TableGrid"/>
    <w:rsid w:val="00782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782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PARAGRAPH,List Paragraph 1,References,ReferencesCxSpLast,lp1,List Paragraph (numbered (a)),Use Case List Paragraph,Bullets,Numbered List Paragraph,List Paragraph nowy,Liste 1,List_Paragraph,Multilevel para_II,List Paragraph1,Ref"/>
    <w:basedOn w:val="Normal"/>
    <w:link w:val="ListParagraphChar"/>
    <w:uiPriority w:val="34"/>
    <w:qFormat/>
    <w:rsid w:val="00782FD8"/>
    <w:pPr>
      <w:ind w:left="720"/>
      <w:contextualSpacing/>
    </w:pPr>
    <w:rPr>
      <w:rFonts w:ascii="Calibri" w:eastAsia="Batang" w:hAnsi="Calibri"/>
      <w:lang w:val="en-GB"/>
    </w:rPr>
  </w:style>
  <w:style w:type="character" w:customStyle="1" w:styleId="ListParagraphChar">
    <w:name w:val="List Paragraph Char"/>
    <w:aliases w:val="NUMBERED PARAGRAPH Char,List Paragraph 1 Char,References Char,ReferencesCxSpLast Char,lp1 Char,List Paragraph (numbered (a)) Char,Use Case List Paragraph Char,Bullets Char,Numbered List Paragraph Char,List Paragraph nowy Char"/>
    <w:basedOn w:val="DefaultParagraphFont"/>
    <w:link w:val="ListParagraph"/>
    <w:uiPriority w:val="34"/>
    <w:qFormat/>
    <w:locked/>
    <w:rsid w:val="00782FD8"/>
    <w:rPr>
      <w:rFonts w:ascii="Calibri" w:eastAsia="Batang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en/ITU-T/jca/ml/Pages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jcaml@itu.in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\ITUOffice2007\POOL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124</TotalTime>
  <Pages>5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8563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Spanish83</dc:creator>
  <cp:lastModifiedBy>Braud, Olivia</cp:lastModifiedBy>
  <cp:revision>18</cp:revision>
  <cp:lastPrinted>2023-04-05T07:13:00Z</cp:lastPrinted>
  <dcterms:created xsi:type="dcterms:W3CDTF">2023-02-10T10:46:00Z</dcterms:created>
  <dcterms:modified xsi:type="dcterms:W3CDTF">2023-04-05T07:13:00Z</dcterms:modified>
</cp:coreProperties>
</file>