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26"/>
        <w:gridCol w:w="284"/>
        <w:gridCol w:w="567"/>
        <w:gridCol w:w="2900"/>
        <w:gridCol w:w="2912"/>
        <w:gridCol w:w="2126"/>
        <w:gridCol w:w="8"/>
      </w:tblGrid>
      <w:tr w:rsidR="00036F4F" w:rsidRPr="00E755B6" w14:paraId="00BE46DC" w14:textId="77777777" w:rsidTr="00036F4F">
        <w:trPr>
          <w:gridAfter w:val="1"/>
          <w:wAfter w:w="8" w:type="dxa"/>
          <w:cantSplit/>
        </w:trPr>
        <w:tc>
          <w:tcPr>
            <w:tcW w:w="1418" w:type="dxa"/>
            <w:gridSpan w:val="3"/>
            <w:vAlign w:val="center"/>
          </w:tcPr>
          <w:p w14:paraId="558418F0" w14:textId="77777777" w:rsidR="00036F4F" w:rsidRPr="00E755B6" w:rsidRDefault="00036F4F" w:rsidP="00240BF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E755B6">
              <w:rPr>
                <w:noProof/>
                <w:lang w:eastAsia="zh-CN"/>
              </w:rPr>
              <w:drawing>
                <wp:inline distT="0" distB="0" distL="0" distR="0" wp14:anchorId="176B1381" wp14:editId="01D800A7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14:paraId="47BD971D" w14:textId="77777777" w:rsidR="00036F4F" w:rsidRPr="00E755B6" w:rsidRDefault="00036F4F" w:rsidP="00240BF1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E755B6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4F5B0AE7" w14:textId="77777777" w:rsidR="00036F4F" w:rsidRPr="00E755B6" w:rsidRDefault="00036F4F" w:rsidP="00240BF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E755B6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E755B6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2126" w:type="dxa"/>
            <w:vAlign w:val="center"/>
          </w:tcPr>
          <w:p w14:paraId="72BE11D0" w14:textId="77777777" w:rsidR="00036F4F" w:rsidRPr="00E755B6" w:rsidRDefault="00036F4F" w:rsidP="00240BF1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  <w:tr w:rsidR="00036F4F" w:rsidRPr="0026343F" w14:paraId="7D81CDAB" w14:textId="77777777" w:rsidTr="00A5645A">
        <w:trPr>
          <w:gridBefore w:val="1"/>
          <w:wBefore w:w="8" w:type="dxa"/>
          <w:cantSplit/>
        </w:trPr>
        <w:tc>
          <w:tcPr>
            <w:tcW w:w="1977" w:type="dxa"/>
            <w:gridSpan w:val="3"/>
          </w:tcPr>
          <w:p w14:paraId="1EB127C9" w14:textId="77777777" w:rsidR="00036F4F" w:rsidRPr="0026343F" w:rsidRDefault="00036F4F" w:rsidP="00240BF1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</w:p>
        </w:tc>
        <w:tc>
          <w:tcPr>
            <w:tcW w:w="2900" w:type="dxa"/>
          </w:tcPr>
          <w:p w14:paraId="0D5016E7" w14:textId="77777777" w:rsidR="00036F4F" w:rsidRPr="0026343F" w:rsidRDefault="00036F4F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</w:p>
        </w:tc>
        <w:tc>
          <w:tcPr>
            <w:tcW w:w="5046" w:type="dxa"/>
            <w:gridSpan w:val="3"/>
          </w:tcPr>
          <w:p w14:paraId="548B4278" w14:textId="7497B0C5" w:rsidR="00036F4F" w:rsidRPr="0026343F" w:rsidRDefault="00036F4F" w:rsidP="00240BF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18"/>
              </w:rPr>
            </w:pPr>
            <w:r w:rsidRPr="0026343F">
              <w:rPr>
                <w:sz w:val="22"/>
                <w:szCs w:val="18"/>
              </w:rPr>
              <w:t>Genève, le</w:t>
            </w:r>
            <w:r w:rsidR="00F914AA" w:rsidRPr="0026343F">
              <w:rPr>
                <w:sz w:val="22"/>
                <w:szCs w:val="18"/>
              </w:rPr>
              <w:t xml:space="preserve"> 8 février 2023</w:t>
            </w:r>
          </w:p>
        </w:tc>
      </w:tr>
      <w:tr w:rsidR="00036F4F" w:rsidRPr="0026343F" w14:paraId="583FA11D" w14:textId="77777777" w:rsidTr="00F914AA">
        <w:trPr>
          <w:gridBefore w:val="1"/>
          <w:wBefore w:w="8" w:type="dxa"/>
          <w:cantSplit/>
          <w:trHeight w:val="340"/>
        </w:trPr>
        <w:tc>
          <w:tcPr>
            <w:tcW w:w="1126" w:type="dxa"/>
          </w:tcPr>
          <w:p w14:paraId="77BC19FF" w14:textId="77777777" w:rsidR="00036F4F" w:rsidRPr="0026343F" w:rsidRDefault="00036F4F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18"/>
              </w:rPr>
            </w:pPr>
            <w:r w:rsidRPr="0026343F">
              <w:rPr>
                <w:b/>
                <w:bCs/>
                <w:sz w:val="22"/>
                <w:szCs w:val="18"/>
              </w:rPr>
              <w:t>Réf.:</w:t>
            </w:r>
          </w:p>
          <w:p w14:paraId="063E35AA" w14:textId="77777777" w:rsidR="00036F4F" w:rsidRPr="0026343F" w:rsidRDefault="00036F4F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3751" w:type="dxa"/>
            <w:gridSpan w:val="3"/>
          </w:tcPr>
          <w:p w14:paraId="1B9D6F23" w14:textId="4FA5A942" w:rsidR="00036F4F" w:rsidRPr="0026343F" w:rsidRDefault="00036F4F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26343F">
              <w:rPr>
                <w:b/>
                <w:sz w:val="22"/>
                <w:szCs w:val="18"/>
              </w:rPr>
              <w:t xml:space="preserve">Circulaire TSB </w:t>
            </w:r>
            <w:r w:rsidR="00F914AA" w:rsidRPr="0026343F">
              <w:rPr>
                <w:b/>
                <w:sz w:val="22"/>
                <w:szCs w:val="18"/>
              </w:rPr>
              <w:t>72</w:t>
            </w:r>
          </w:p>
          <w:p w14:paraId="01BD43EC" w14:textId="18420780" w:rsidR="00036F4F" w:rsidRPr="0026343F" w:rsidRDefault="00F914AA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sz w:val="22"/>
                <w:szCs w:val="18"/>
              </w:rPr>
            </w:pPr>
            <w:r w:rsidRPr="0026343F">
              <w:rPr>
                <w:sz w:val="22"/>
                <w:szCs w:val="18"/>
              </w:rPr>
              <w:t>SG13/TK</w:t>
            </w:r>
          </w:p>
        </w:tc>
        <w:tc>
          <w:tcPr>
            <w:tcW w:w="5046" w:type="dxa"/>
            <w:gridSpan w:val="3"/>
            <w:vMerge w:val="restart"/>
          </w:tcPr>
          <w:p w14:paraId="699F40BB" w14:textId="77777777" w:rsidR="00F914AA" w:rsidRPr="0026343F" w:rsidRDefault="00F914AA" w:rsidP="00240BF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97" w:hanging="440"/>
              <w:rPr>
                <w:sz w:val="22"/>
                <w:szCs w:val="22"/>
              </w:rPr>
            </w:pPr>
            <w:bookmarkStart w:id="0" w:name="Addressee_F"/>
            <w:bookmarkEnd w:id="0"/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Aux Administrations des États Membres de l'Union;</w:t>
            </w:r>
          </w:p>
          <w:p w14:paraId="1D833EDF" w14:textId="77777777" w:rsidR="00F914AA" w:rsidRPr="0026343F" w:rsidRDefault="00F914AA" w:rsidP="00240BF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97" w:hanging="440"/>
              <w:rPr>
                <w:sz w:val="22"/>
                <w:szCs w:val="22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Aux Membres du Secteur UIT-T;</w:t>
            </w:r>
          </w:p>
          <w:p w14:paraId="4F0FAAEE" w14:textId="77777777" w:rsidR="00F914AA" w:rsidRPr="0026343F" w:rsidRDefault="00F914AA" w:rsidP="00240BF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97" w:hanging="440"/>
              <w:rPr>
                <w:sz w:val="22"/>
                <w:szCs w:val="22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Aux Associés de l'UIT-T;</w:t>
            </w:r>
          </w:p>
          <w:p w14:paraId="31670535" w14:textId="45298FB2" w:rsidR="00036F4F" w:rsidRPr="0026343F" w:rsidRDefault="00F914AA" w:rsidP="00F6152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97" w:hanging="440"/>
              <w:rPr>
                <w:sz w:val="22"/>
                <w:szCs w:val="18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Aux établissements universitaires participant aux travaux de l'UIT</w:t>
            </w:r>
          </w:p>
        </w:tc>
      </w:tr>
      <w:tr w:rsidR="00036F4F" w:rsidRPr="0026343F" w14:paraId="4F28C404" w14:textId="77777777" w:rsidTr="00F914AA">
        <w:trPr>
          <w:gridBefore w:val="1"/>
          <w:wBefore w:w="8" w:type="dxa"/>
          <w:cantSplit/>
        </w:trPr>
        <w:tc>
          <w:tcPr>
            <w:tcW w:w="1126" w:type="dxa"/>
          </w:tcPr>
          <w:p w14:paraId="1C14ADBA" w14:textId="77777777" w:rsidR="00036F4F" w:rsidRPr="0026343F" w:rsidRDefault="00036F4F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18"/>
                <w:szCs w:val="18"/>
              </w:rPr>
            </w:pPr>
            <w:r w:rsidRPr="0026343F">
              <w:rPr>
                <w:b/>
                <w:bCs/>
                <w:sz w:val="22"/>
                <w:szCs w:val="18"/>
              </w:rPr>
              <w:t>Tél.:</w:t>
            </w:r>
          </w:p>
        </w:tc>
        <w:tc>
          <w:tcPr>
            <w:tcW w:w="3751" w:type="dxa"/>
            <w:gridSpan w:val="3"/>
          </w:tcPr>
          <w:p w14:paraId="60598A64" w14:textId="17B148A8" w:rsidR="00036F4F" w:rsidRPr="0026343F" w:rsidRDefault="00F914AA" w:rsidP="00240BF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r w:rsidRPr="0026343F">
              <w:rPr>
                <w:sz w:val="22"/>
                <w:szCs w:val="18"/>
              </w:rPr>
              <w:t>+41 22 730 5126</w:t>
            </w:r>
          </w:p>
        </w:tc>
        <w:tc>
          <w:tcPr>
            <w:tcW w:w="5046" w:type="dxa"/>
            <w:gridSpan w:val="3"/>
            <w:vMerge/>
          </w:tcPr>
          <w:p w14:paraId="661F05A7" w14:textId="77777777" w:rsidR="00036F4F" w:rsidRPr="0026343F" w:rsidRDefault="00036F4F" w:rsidP="00240BF1">
            <w:pPr>
              <w:tabs>
                <w:tab w:val="left" w:pos="4111"/>
              </w:tabs>
              <w:spacing w:before="0"/>
              <w:rPr>
                <w:b/>
                <w:sz w:val="22"/>
                <w:szCs w:val="18"/>
              </w:rPr>
            </w:pPr>
          </w:p>
        </w:tc>
      </w:tr>
      <w:tr w:rsidR="00036F4F" w:rsidRPr="0026343F" w14:paraId="266853F9" w14:textId="77777777" w:rsidTr="00F914AA">
        <w:trPr>
          <w:gridBefore w:val="1"/>
          <w:wBefore w:w="8" w:type="dxa"/>
          <w:cantSplit/>
        </w:trPr>
        <w:tc>
          <w:tcPr>
            <w:tcW w:w="1126" w:type="dxa"/>
          </w:tcPr>
          <w:p w14:paraId="69F499F4" w14:textId="561241BA" w:rsidR="00036F4F" w:rsidRPr="0026343F" w:rsidRDefault="00F914AA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18"/>
                <w:szCs w:val="18"/>
              </w:rPr>
            </w:pPr>
            <w:r w:rsidRPr="0026343F">
              <w:rPr>
                <w:b/>
                <w:bCs/>
                <w:sz w:val="22"/>
                <w:szCs w:val="18"/>
              </w:rPr>
              <w:t>Télécopie</w:t>
            </w:r>
            <w:r w:rsidR="00036F4F" w:rsidRPr="0026343F">
              <w:rPr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751" w:type="dxa"/>
            <w:gridSpan w:val="3"/>
          </w:tcPr>
          <w:p w14:paraId="67C310F0" w14:textId="13D37331" w:rsidR="00036F4F" w:rsidRPr="0026343F" w:rsidRDefault="00F914AA" w:rsidP="00240BF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r w:rsidRPr="0026343F">
              <w:rPr>
                <w:sz w:val="22"/>
                <w:szCs w:val="18"/>
              </w:rPr>
              <w:t>+41 22 730 5853</w:t>
            </w:r>
          </w:p>
        </w:tc>
        <w:tc>
          <w:tcPr>
            <w:tcW w:w="5046" w:type="dxa"/>
            <w:gridSpan w:val="3"/>
            <w:vMerge/>
          </w:tcPr>
          <w:p w14:paraId="416DA539" w14:textId="77777777" w:rsidR="00036F4F" w:rsidRPr="0026343F" w:rsidRDefault="00036F4F" w:rsidP="00240BF1">
            <w:pPr>
              <w:tabs>
                <w:tab w:val="left" w:pos="4111"/>
              </w:tabs>
              <w:spacing w:before="0"/>
              <w:rPr>
                <w:b/>
                <w:sz w:val="22"/>
                <w:szCs w:val="18"/>
              </w:rPr>
            </w:pPr>
          </w:p>
        </w:tc>
      </w:tr>
      <w:tr w:rsidR="00517A03" w:rsidRPr="0026343F" w14:paraId="43102661" w14:textId="77777777" w:rsidTr="0026343F">
        <w:trPr>
          <w:gridBefore w:val="1"/>
          <w:wBefore w:w="8" w:type="dxa"/>
          <w:cantSplit/>
          <w:trHeight w:val="2259"/>
        </w:trPr>
        <w:tc>
          <w:tcPr>
            <w:tcW w:w="1126" w:type="dxa"/>
          </w:tcPr>
          <w:p w14:paraId="0B6A5040" w14:textId="0EE4D3B8" w:rsidR="00517A03" w:rsidRPr="0026343F" w:rsidRDefault="00F914AA" w:rsidP="00240BF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18"/>
                <w:szCs w:val="18"/>
              </w:rPr>
            </w:pPr>
            <w:proofErr w:type="gramStart"/>
            <w:r w:rsidRPr="0026343F">
              <w:rPr>
                <w:b/>
                <w:bCs/>
                <w:sz w:val="22"/>
                <w:szCs w:val="18"/>
              </w:rPr>
              <w:t>Courriel</w:t>
            </w:r>
            <w:r w:rsidR="00036F4F" w:rsidRPr="0026343F">
              <w:rPr>
                <w:b/>
                <w:bCs/>
                <w:sz w:val="22"/>
                <w:szCs w:val="18"/>
              </w:rPr>
              <w:t>:</w:t>
            </w:r>
            <w:proofErr w:type="gramEnd"/>
          </w:p>
        </w:tc>
        <w:tc>
          <w:tcPr>
            <w:tcW w:w="3751" w:type="dxa"/>
            <w:gridSpan w:val="3"/>
          </w:tcPr>
          <w:p w14:paraId="08956418" w14:textId="36E2957F" w:rsidR="00517A03" w:rsidRPr="0026343F" w:rsidRDefault="00260206" w:rsidP="00240BF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18"/>
              </w:rPr>
            </w:pPr>
            <w:hyperlink r:id="rId9" w:history="1">
              <w:r w:rsidR="00F914AA" w:rsidRPr="0026343F">
                <w:rPr>
                  <w:rStyle w:val="Hyperlink"/>
                  <w:bCs/>
                  <w:sz w:val="22"/>
                  <w:szCs w:val="18"/>
                </w:rPr>
                <w:t>tsbjcaml@itu.int</w:t>
              </w:r>
            </w:hyperlink>
          </w:p>
        </w:tc>
        <w:tc>
          <w:tcPr>
            <w:tcW w:w="5046" w:type="dxa"/>
            <w:gridSpan w:val="3"/>
          </w:tcPr>
          <w:p w14:paraId="662DB313" w14:textId="77777777" w:rsidR="00517A03" w:rsidRPr="0026343F" w:rsidRDefault="00517A03" w:rsidP="00240BF1">
            <w:pPr>
              <w:tabs>
                <w:tab w:val="left" w:pos="4111"/>
              </w:tabs>
              <w:spacing w:before="0"/>
              <w:rPr>
                <w:sz w:val="22"/>
                <w:szCs w:val="18"/>
              </w:rPr>
            </w:pPr>
            <w:r w:rsidRPr="0026343F">
              <w:rPr>
                <w:b/>
                <w:sz w:val="22"/>
                <w:szCs w:val="18"/>
              </w:rPr>
              <w:t>Copie</w:t>
            </w:r>
            <w:r w:rsidRPr="0026343F">
              <w:rPr>
                <w:sz w:val="22"/>
                <w:szCs w:val="18"/>
              </w:rPr>
              <w:t>:</w:t>
            </w:r>
          </w:p>
          <w:p w14:paraId="09139E5E" w14:textId="2A3866FE" w:rsidR="00F914AA" w:rsidRPr="0026343F" w:rsidRDefault="00F914AA" w:rsidP="00240BF1">
            <w:pPr>
              <w:tabs>
                <w:tab w:val="clear" w:pos="794"/>
                <w:tab w:val="left" w:pos="4111"/>
              </w:tabs>
              <w:spacing w:before="0"/>
              <w:ind w:left="497" w:hanging="440"/>
              <w:rPr>
                <w:sz w:val="22"/>
                <w:szCs w:val="22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Aux Présidents et Vice-Présidents des commissions d'études;</w:t>
            </w:r>
          </w:p>
          <w:p w14:paraId="50AF3192" w14:textId="77777777" w:rsidR="00F914AA" w:rsidRPr="0026343F" w:rsidRDefault="00F914AA" w:rsidP="00240BF1">
            <w:pPr>
              <w:tabs>
                <w:tab w:val="clear" w:pos="794"/>
                <w:tab w:val="left" w:pos="4111"/>
              </w:tabs>
              <w:spacing w:before="0"/>
              <w:ind w:left="497" w:hanging="440"/>
              <w:rPr>
                <w:sz w:val="22"/>
                <w:szCs w:val="22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 Directeur du Bureau de développement des télécommunications;</w:t>
            </w:r>
          </w:p>
          <w:p w14:paraId="6C0D9B6F" w14:textId="77777777" w:rsidR="00F914AA" w:rsidRPr="0026343F" w:rsidRDefault="00F914AA" w:rsidP="00240BF1">
            <w:pPr>
              <w:tabs>
                <w:tab w:val="clear" w:pos="794"/>
                <w:tab w:val="left" w:pos="4111"/>
              </w:tabs>
              <w:spacing w:before="0"/>
              <w:ind w:left="497" w:hanging="440"/>
              <w:rPr>
                <w:sz w:val="22"/>
                <w:szCs w:val="22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  <w:t>Au Directeur du Bureau des radiocommunications;</w:t>
            </w:r>
          </w:p>
          <w:p w14:paraId="3148707D" w14:textId="6110D2A8" w:rsidR="00517A03" w:rsidRPr="0026343F" w:rsidRDefault="00F914AA" w:rsidP="00240BF1">
            <w:pPr>
              <w:tabs>
                <w:tab w:val="clear" w:pos="794"/>
                <w:tab w:val="left" w:pos="504"/>
                <w:tab w:val="left" w:pos="4111"/>
              </w:tabs>
              <w:spacing w:before="0"/>
              <w:ind w:left="504" w:hanging="504"/>
              <w:rPr>
                <w:sz w:val="22"/>
                <w:szCs w:val="18"/>
              </w:rPr>
            </w:pPr>
            <w:r w:rsidRPr="0026343F">
              <w:rPr>
                <w:sz w:val="22"/>
                <w:szCs w:val="22"/>
              </w:rPr>
              <w:t>–</w:t>
            </w:r>
            <w:r w:rsidRPr="0026343F">
              <w:rPr>
                <w:sz w:val="22"/>
                <w:szCs w:val="22"/>
              </w:rPr>
              <w:tab/>
            </w:r>
            <w:r w:rsidRPr="0026343F">
              <w:rPr>
                <w:color w:val="000000"/>
                <w:sz w:val="22"/>
                <w:szCs w:val="22"/>
              </w:rPr>
              <w:t>Aux Directeurs des bureaux régionaux de l'UIT</w:t>
            </w:r>
          </w:p>
        </w:tc>
      </w:tr>
      <w:tr w:rsidR="00517A03" w:rsidRPr="0026343F" w14:paraId="20878250" w14:textId="77777777" w:rsidTr="00F914AA">
        <w:trPr>
          <w:gridBefore w:val="1"/>
          <w:gridAfter w:val="1"/>
          <w:wBefore w:w="8" w:type="dxa"/>
          <w:wAfter w:w="8" w:type="dxa"/>
          <w:cantSplit/>
          <w:trHeight w:val="680"/>
        </w:trPr>
        <w:tc>
          <w:tcPr>
            <w:tcW w:w="1126" w:type="dxa"/>
          </w:tcPr>
          <w:p w14:paraId="5D9D2F34" w14:textId="77777777" w:rsidR="00517A03" w:rsidRPr="0026343F" w:rsidRDefault="00517A03" w:rsidP="00E755B6">
            <w:pPr>
              <w:tabs>
                <w:tab w:val="left" w:pos="4111"/>
              </w:tabs>
              <w:ind w:left="57"/>
              <w:rPr>
                <w:b/>
                <w:bCs/>
                <w:sz w:val="22"/>
              </w:rPr>
            </w:pPr>
            <w:proofErr w:type="gramStart"/>
            <w:r w:rsidRPr="0026343F">
              <w:rPr>
                <w:b/>
                <w:bCs/>
                <w:sz w:val="22"/>
              </w:rPr>
              <w:t>Objet:</w:t>
            </w:r>
            <w:proofErr w:type="gramEnd"/>
          </w:p>
        </w:tc>
        <w:tc>
          <w:tcPr>
            <w:tcW w:w="8789" w:type="dxa"/>
            <w:gridSpan w:val="5"/>
          </w:tcPr>
          <w:p w14:paraId="7228C12B" w14:textId="564099A3" w:rsidR="00517A03" w:rsidRPr="0026343F" w:rsidRDefault="00F914AA" w:rsidP="00E755B6">
            <w:pPr>
              <w:tabs>
                <w:tab w:val="left" w:pos="4111"/>
              </w:tabs>
              <w:ind w:left="57"/>
              <w:rPr>
                <w:b/>
                <w:bCs/>
                <w:sz w:val="22"/>
              </w:rPr>
            </w:pPr>
            <w:r w:rsidRPr="0026343F">
              <w:rPr>
                <w:b/>
                <w:bCs/>
                <w:sz w:val="22"/>
              </w:rPr>
              <w:t xml:space="preserve">Création de l'Activité conjointe de coordination sur </w:t>
            </w:r>
            <w:r w:rsidR="00DF1556" w:rsidRPr="0026343F">
              <w:rPr>
                <w:b/>
                <w:bCs/>
                <w:sz w:val="22"/>
              </w:rPr>
              <w:t>l'apprentissage automatique</w:t>
            </w:r>
            <w:r w:rsidRPr="0026343F">
              <w:rPr>
                <w:b/>
                <w:bCs/>
                <w:sz w:val="22"/>
              </w:rPr>
              <w:t xml:space="preserve"> (</w:t>
            </w:r>
            <w:r w:rsidR="00DF1556" w:rsidRPr="0026343F">
              <w:rPr>
                <w:b/>
                <w:bCs/>
                <w:sz w:val="22"/>
              </w:rPr>
              <w:t>ML</w:t>
            </w:r>
            <w:r w:rsidRPr="0026343F">
              <w:rPr>
                <w:b/>
                <w:bCs/>
                <w:sz w:val="22"/>
              </w:rPr>
              <w:t xml:space="preserve">) et </w:t>
            </w:r>
            <w:r w:rsidR="00DF1556" w:rsidRPr="0026343F">
              <w:rPr>
                <w:b/>
                <w:bCs/>
                <w:sz w:val="22"/>
              </w:rPr>
              <w:t xml:space="preserve">invitation à sa </w:t>
            </w:r>
            <w:r w:rsidRPr="0026343F">
              <w:rPr>
                <w:b/>
                <w:bCs/>
                <w:sz w:val="22"/>
              </w:rPr>
              <w:t>réunion</w:t>
            </w:r>
            <w:r w:rsidR="0066508D" w:rsidRPr="0026343F">
              <w:rPr>
                <w:b/>
                <w:bCs/>
                <w:sz w:val="22"/>
              </w:rPr>
              <w:t xml:space="preserve"> inaugurale</w:t>
            </w:r>
            <w:r w:rsidRPr="0026343F">
              <w:rPr>
                <w:b/>
                <w:bCs/>
                <w:sz w:val="22"/>
              </w:rPr>
              <w:t xml:space="preserve"> (Genève, 16 mars 2023)</w:t>
            </w:r>
          </w:p>
        </w:tc>
      </w:tr>
    </w:tbl>
    <w:p w14:paraId="099EFBED" w14:textId="77777777" w:rsidR="00517A03" w:rsidRPr="0026343F" w:rsidRDefault="00517A03" w:rsidP="00E755B6">
      <w:pPr>
        <w:spacing w:before="240"/>
        <w:rPr>
          <w:sz w:val="22"/>
          <w:szCs w:val="18"/>
        </w:rPr>
      </w:pPr>
      <w:bookmarkStart w:id="1" w:name="StartTyping_F"/>
      <w:bookmarkEnd w:id="1"/>
      <w:r w:rsidRPr="0026343F">
        <w:rPr>
          <w:sz w:val="22"/>
          <w:szCs w:val="18"/>
        </w:rPr>
        <w:t>Madame, Monsieur,</w:t>
      </w:r>
    </w:p>
    <w:p w14:paraId="5B2DB9DF" w14:textId="7791ED57" w:rsidR="00F914AA" w:rsidRPr="0026343F" w:rsidRDefault="00F914AA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t>1</w:t>
      </w:r>
      <w:r w:rsidRPr="0026343F">
        <w:rPr>
          <w:bCs/>
          <w:sz w:val="22"/>
          <w:szCs w:val="18"/>
        </w:rPr>
        <w:tab/>
      </w:r>
      <w:r w:rsidR="00ED64FE" w:rsidRPr="0026343F">
        <w:rPr>
          <w:bCs/>
          <w:sz w:val="22"/>
          <w:szCs w:val="18"/>
        </w:rPr>
        <w:t xml:space="preserve">J'ai l'honneur de vous informer que la Commission d'études 13 </w:t>
      </w:r>
      <w:r w:rsidR="009C0D87" w:rsidRPr="0026343F">
        <w:rPr>
          <w:bCs/>
          <w:sz w:val="22"/>
          <w:szCs w:val="18"/>
        </w:rPr>
        <w:t>de l</w:t>
      </w:r>
      <w:r w:rsidR="00240BF1" w:rsidRPr="0026343F">
        <w:rPr>
          <w:bCs/>
          <w:sz w:val="22"/>
          <w:szCs w:val="18"/>
        </w:rPr>
        <w:t>'</w:t>
      </w:r>
      <w:r w:rsidR="009C0D87" w:rsidRPr="0026343F">
        <w:rPr>
          <w:bCs/>
          <w:sz w:val="22"/>
          <w:szCs w:val="18"/>
        </w:rPr>
        <w:t>UIT-</w:t>
      </w:r>
      <w:r w:rsidR="00EE38CA" w:rsidRPr="0026343F">
        <w:rPr>
          <w:bCs/>
          <w:sz w:val="22"/>
          <w:szCs w:val="18"/>
        </w:rPr>
        <w:t>T</w:t>
      </w:r>
      <w:r w:rsidR="009C0D87" w:rsidRPr="0026343F">
        <w:rPr>
          <w:bCs/>
          <w:sz w:val="22"/>
          <w:szCs w:val="18"/>
        </w:rPr>
        <w:t xml:space="preserve"> </w:t>
      </w:r>
      <w:r w:rsidR="00ED64FE" w:rsidRPr="0026343F">
        <w:rPr>
          <w:bCs/>
          <w:sz w:val="22"/>
          <w:szCs w:val="18"/>
        </w:rPr>
        <w:t xml:space="preserve">a décidé, </w:t>
      </w:r>
      <w:r w:rsidR="009C0D87" w:rsidRPr="0026343F">
        <w:rPr>
          <w:bCs/>
          <w:sz w:val="22"/>
          <w:szCs w:val="18"/>
        </w:rPr>
        <w:t>à</w:t>
      </w:r>
      <w:r w:rsidR="00ED64FE" w:rsidRPr="0026343F">
        <w:rPr>
          <w:bCs/>
          <w:sz w:val="22"/>
          <w:szCs w:val="18"/>
        </w:rPr>
        <w:t xml:space="preserve"> sa r</w:t>
      </w:r>
      <w:r w:rsidR="00BB29DE" w:rsidRPr="0026343F">
        <w:rPr>
          <w:bCs/>
          <w:sz w:val="22"/>
          <w:szCs w:val="18"/>
        </w:rPr>
        <w:t>é</w:t>
      </w:r>
      <w:r w:rsidR="00ED64FE" w:rsidRPr="0026343F">
        <w:rPr>
          <w:bCs/>
          <w:sz w:val="22"/>
          <w:szCs w:val="18"/>
        </w:rPr>
        <w:t>union de juillet 2022, de créer l'Activité conjointe de coordination sur l'apprentissage automatique (JCA-ML)</w:t>
      </w:r>
      <w:r w:rsidR="005D095F" w:rsidRPr="0026343F">
        <w:rPr>
          <w:bCs/>
          <w:sz w:val="22"/>
          <w:szCs w:val="18"/>
        </w:rPr>
        <w:t>, et que cette décision</w:t>
      </w:r>
      <w:r w:rsidR="00392AFA" w:rsidRPr="0026343F">
        <w:rPr>
          <w:bCs/>
          <w:sz w:val="22"/>
          <w:szCs w:val="18"/>
        </w:rPr>
        <w:t xml:space="preserve"> </w:t>
      </w:r>
      <w:r w:rsidR="005D095F" w:rsidRPr="0026343F">
        <w:rPr>
          <w:bCs/>
          <w:sz w:val="22"/>
          <w:szCs w:val="18"/>
        </w:rPr>
        <w:t xml:space="preserve">a été </w:t>
      </w:r>
      <w:r w:rsidR="00392AFA" w:rsidRPr="0026343F">
        <w:rPr>
          <w:bCs/>
          <w:sz w:val="22"/>
          <w:szCs w:val="18"/>
        </w:rPr>
        <w:t xml:space="preserve">approuvée par le </w:t>
      </w:r>
      <w:r w:rsidR="00ED64FE" w:rsidRPr="0026343F">
        <w:rPr>
          <w:bCs/>
          <w:sz w:val="22"/>
          <w:szCs w:val="18"/>
        </w:rPr>
        <w:t>Groupe consultatif de la normalisation des télécommunications (GCNT) à l'occasion de sa réunion de décembre 2022.</w:t>
      </w:r>
    </w:p>
    <w:p w14:paraId="044091E8" w14:textId="11FE6C01" w:rsidR="00F914AA" w:rsidRPr="0026343F" w:rsidRDefault="008F0A3B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t xml:space="preserve">La nouvelle JCA-ML </w:t>
      </w:r>
      <w:r w:rsidR="009C0D87" w:rsidRPr="0026343F">
        <w:rPr>
          <w:bCs/>
          <w:sz w:val="22"/>
          <w:szCs w:val="18"/>
        </w:rPr>
        <w:t>est rattachée à</w:t>
      </w:r>
      <w:r w:rsidR="00392AFA" w:rsidRPr="0026343F">
        <w:rPr>
          <w:bCs/>
          <w:sz w:val="22"/>
          <w:szCs w:val="18"/>
        </w:rPr>
        <w:t xml:space="preserve"> </w:t>
      </w:r>
      <w:r w:rsidRPr="0026343F">
        <w:rPr>
          <w:bCs/>
          <w:sz w:val="22"/>
          <w:szCs w:val="18"/>
        </w:rPr>
        <w:t xml:space="preserve">la Commission d'études 13 et selon le mandat </w:t>
      </w:r>
      <w:r w:rsidR="009C0D87" w:rsidRPr="0026343F">
        <w:rPr>
          <w:bCs/>
          <w:sz w:val="22"/>
          <w:szCs w:val="18"/>
        </w:rPr>
        <w:t>est reproduit</w:t>
      </w:r>
      <w:r w:rsidRPr="0026343F">
        <w:rPr>
          <w:bCs/>
          <w:sz w:val="22"/>
          <w:szCs w:val="18"/>
        </w:rPr>
        <w:t xml:space="preserve"> à l'Annexe 1.</w:t>
      </w:r>
    </w:p>
    <w:p w14:paraId="58363E82" w14:textId="68821E4E" w:rsidR="00F914AA" w:rsidRPr="0026343F" w:rsidRDefault="00F914AA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t xml:space="preserve">M. Kangchan Lee (ETRI, </w:t>
      </w:r>
      <w:r w:rsidR="00952A96" w:rsidRPr="0026343F">
        <w:rPr>
          <w:bCs/>
          <w:sz w:val="22"/>
          <w:szCs w:val="18"/>
        </w:rPr>
        <w:t>République de Corée</w:t>
      </w:r>
      <w:r w:rsidRPr="0026343F">
        <w:rPr>
          <w:bCs/>
          <w:sz w:val="22"/>
          <w:szCs w:val="18"/>
        </w:rPr>
        <w:t xml:space="preserve">) </w:t>
      </w:r>
      <w:r w:rsidR="00221311" w:rsidRPr="0026343F">
        <w:rPr>
          <w:bCs/>
          <w:sz w:val="22"/>
          <w:szCs w:val="18"/>
        </w:rPr>
        <w:t xml:space="preserve">et M. Marco Carugi (Huawei Technologies, Chine) ont </w:t>
      </w:r>
      <w:r w:rsidR="00952A96" w:rsidRPr="0026343F">
        <w:rPr>
          <w:bCs/>
          <w:sz w:val="22"/>
          <w:szCs w:val="18"/>
        </w:rPr>
        <w:t>été nommé</w:t>
      </w:r>
      <w:r w:rsidR="00221311" w:rsidRPr="0026343F">
        <w:rPr>
          <w:bCs/>
          <w:sz w:val="22"/>
          <w:szCs w:val="18"/>
        </w:rPr>
        <w:t>s respectivement au</w:t>
      </w:r>
      <w:r w:rsidR="009C0D87" w:rsidRPr="0026343F">
        <w:rPr>
          <w:bCs/>
          <w:sz w:val="22"/>
          <w:szCs w:val="18"/>
        </w:rPr>
        <w:t>x</w:t>
      </w:r>
      <w:r w:rsidR="00221311" w:rsidRPr="0026343F">
        <w:rPr>
          <w:bCs/>
          <w:sz w:val="22"/>
          <w:szCs w:val="18"/>
        </w:rPr>
        <w:t xml:space="preserve"> </w:t>
      </w:r>
      <w:r w:rsidR="009C0D87" w:rsidRPr="0026343F">
        <w:rPr>
          <w:bCs/>
          <w:sz w:val="22"/>
          <w:szCs w:val="18"/>
        </w:rPr>
        <w:t xml:space="preserve">fonctions </w:t>
      </w:r>
      <w:r w:rsidR="00221311" w:rsidRPr="0026343F">
        <w:rPr>
          <w:bCs/>
          <w:sz w:val="22"/>
          <w:szCs w:val="18"/>
        </w:rPr>
        <w:t xml:space="preserve">de Président et de Vice-Président </w:t>
      </w:r>
      <w:r w:rsidR="00952A96" w:rsidRPr="0026343F">
        <w:rPr>
          <w:bCs/>
          <w:sz w:val="22"/>
          <w:szCs w:val="18"/>
        </w:rPr>
        <w:t>de la JCA-ML</w:t>
      </w:r>
      <w:r w:rsidR="00221311" w:rsidRPr="0026343F">
        <w:rPr>
          <w:bCs/>
          <w:sz w:val="22"/>
          <w:szCs w:val="18"/>
        </w:rPr>
        <w:t>.</w:t>
      </w:r>
    </w:p>
    <w:p w14:paraId="333363CD" w14:textId="7361556C" w:rsidR="00036F4F" w:rsidRPr="0026343F" w:rsidRDefault="00F914AA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t>2</w:t>
      </w:r>
      <w:r w:rsidRPr="0026343F">
        <w:rPr>
          <w:bCs/>
          <w:sz w:val="22"/>
          <w:szCs w:val="18"/>
        </w:rPr>
        <w:tab/>
        <w:t>La JCA-</w:t>
      </w:r>
      <w:r w:rsidR="008A1F58" w:rsidRPr="0026343F">
        <w:rPr>
          <w:bCs/>
          <w:sz w:val="22"/>
          <w:szCs w:val="18"/>
        </w:rPr>
        <w:t xml:space="preserve">ML </w:t>
      </w:r>
      <w:r w:rsidRPr="0026343F">
        <w:rPr>
          <w:bCs/>
          <w:sz w:val="22"/>
          <w:szCs w:val="18"/>
        </w:rPr>
        <w:t xml:space="preserve">a pour objet de coordonner </w:t>
      </w:r>
      <w:r w:rsidR="008A1F58" w:rsidRPr="0026343F">
        <w:rPr>
          <w:bCs/>
          <w:sz w:val="22"/>
          <w:szCs w:val="18"/>
        </w:rPr>
        <w:t>le programme de travail</w:t>
      </w:r>
      <w:r w:rsidR="009C0D87" w:rsidRPr="0026343F">
        <w:rPr>
          <w:bCs/>
          <w:sz w:val="22"/>
          <w:szCs w:val="18"/>
        </w:rPr>
        <w:t xml:space="preserve"> de l</w:t>
      </w:r>
      <w:r w:rsidR="00240BF1" w:rsidRPr="0026343F">
        <w:rPr>
          <w:bCs/>
          <w:sz w:val="22"/>
          <w:szCs w:val="18"/>
        </w:rPr>
        <w:t>'</w:t>
      </w:r>
      <w:r w:rsidR="009C0D87" w:rsidRPr="0026343F">
        <w:rPr>
          <w:bCs/>
          <w:sz w:val="22"/>
          <w:szCs w:val="18"/>
        </w:rPr>
        <w:t>UIT-T</w:t>
      </w:r>
      <w:r w:rsidR="008A1F58" w:rsidRPr="0026343F">
        <w:rPr>
          <w:bCs/>
          <w:sz w:val="22"/>
          <w:szCs w:val="18"/>
        </w:rPr>
        <w:t xml:space="preserve"> sur les applications de l'apprentissage automatique et les </w:t>
      </w:r>
      <w:r w:rsidRPr="0026343F">
        <w:rPr>
          <w:bCs/>
          <w:sz w:val="22"/>
          <w:szCs w:val="18"/>
        </w:rPr>
        <w:t xml:space="preserve">travaux de normalisation </w:t>
      </w:r>
      <w:r w:rsidR="008A1F58" w:rsidRPr="0026343F">
        <w:rPr>
          <w:bCs/>
          <w:sz w:val="22"/>
          <w:szCs w:val="18"/>
        </w:rPr>
        <w:t xml:space="preserve">connexes </w:t>
      </w:r>
      <w:r w:rsidR="009C0D87" w:rsidRPr="0026343F">
        <w:rPr>
          <w:bCs/>
          <w:sz w:val="22"/>
          <w:szCs w:val="18"/>
        </w:rPr>
        <w:t>du Secteur pour ce qui est des</w:t>
      </w:r>
      <w:r w:rsidR="008A1F58" w:rsidRPr="0026343F">
        <w:rPr>
          <w:bCs/>
          <w:sz w:val="22"/>
          <w:szCs w:val="18"/>
        </w:rPr>
        <w:t xml:space="preserve"> télécommunications/TIC. </w:t>
      </w:r>
      <w:r w:rsidR="002427CD" w:rsidRPr="0026343F">
        <w:rPr>
          <w:bCs/>
          <w:sz w:val="22"/>
          <w:szCs w:val="18"/>
        </w:rPr>
        <w:t>Elle s</w:t>
      </w:r>
      <w:r w:rsidR="00240BF1" w:rsidRPr="0026343F">
        <w:rPr>
          <w:bCs/>
          <w:sz w:val="22"/>
          <w:szCs w:val="18"/>
        </w:rPr>
        <w:t>'</w:t>
      </w:r>
      <w:r w:rsidR="002427CD" w:rsidRPr="0026343F">
        <w:rPr>
          <w:bCs/>
          <w:sz w:val="22"/>
          <w:szCs w:val="18"/>
        </w:rPr>
        <w:t>efforce d</w:t>
      </w:r>
      <w:r w:rsidR="00240BF1" w:rsidRPr="0026343F">
        <w:rPr>
          <w:bCs/>
          <w:sz w:val="22"/>
          <w:szCs w:val="18"/>
        </w:rPr>
        <w:t>'</w:t>
      </w:r>
      <w:r w:rsidR="002427CD" w:rsidRPr="0026343F">
        <w:rPr>
          <w:bCs/>
          <w:sz w:val="22"/>
          <w:szCs w:val="18"/>
        </w:rPr>
        <w:t xml:space="preserve">obtenir </w:t>
      </w:r>
      <w:r w:rsidR="008A1F58" w:rsidRPr="0026343F">
        <w:rPr>
          <w:bCs/>
          <w:sz w:val="22"/>
          <w:szCs w:val="18"/>
        </w:rPr>
        <w:t>la coopération et l</w:t>
      </w:r>
      <w:r w:rsidR="00E45AFB" w:rsidRPr="0026343F">
        <w:rPr>
          <w:bCs/>
          <w:sz w:val="22"/>
          <w:szCs w:val="18"/>
        </w:rPr>
        <w:t>a</w:t>
      </w:r>
      <w:r w:rsidR="008A1F58" w:rsidRPr="0026343F">
        <w:rPr>
          <w:bCs/>
          <w:sz w:val="22"/>
          <w:szCs w:val="18"/>
        </w:rPr>
        <w:t xml:space="preserve"> collaboration des </w:t>
      </w:r>
      <w:r w:rsidRPr="0026343F">
        <w:rPr>
          <w:bCs/>
          <w:sz w:val="22"/>
          <w:szCs w:val="18"/>
        </w:rPr>
        <w:t>autres organisations de normalisation, forums</w:t>
      </w:r>
      <w:r w:rsidR="008A1F58" w:rsidRPr="0026343F">
        <w:rPr>
          <w:bCs/>
          <w:sz w:val="22"/>
          <w:szCs w:val="18"/>
        </w:rPr>
        <w:t>,</w:t>
      </w:r>
      <w:r w:rsidRPr="0026343F">
        <w:rPr>
          <w:bCs/>
          <w:sz w:val="22"/>
          <w:szCs w:val="18"/>
        </w:rPr>
        <w:t xml:space="preserve"> consortiums </w:t>
      </w:r>
      <w:r w:rsidR="008A1F58" w:rsidRPr="0026343F">
        <w:rPr>
          <w:bCs/>
          <w:sz w:val="22"/>
          <w:szCs w:val="18"/>
        </w:rPr>
        <w:t xml:space="preserve">et établissements universitaires </w:t>
      </w:r>
      <w:r w:rsidRPr="0026343F">
        <w:rPr>
          <w:bCs/>
          <w:sz w:val="22"/>
          <w:szCs w:val="18"/>
        </w:rPr>
        <w:t>qui</w:t>
      </w:r>
      <w:r w:rsidR="00A915EF" w:rsidRPr="0026343F">
        <w:rPr>
          <w:bCs/>
          <w:sz w:val="22"/>
          <w:szCs w:val="18"/>
        </w:rPr>
        <w:t xml:space="preserve"> étudient</w:t>
      </w:r>
      <w:r w:rsidR="004D5E4D" w:rsidRPr="0026343F">
        <w:rPr>
          <w:bCs/>
          <w:sz w:val="22"/>
          <w:szCs w:val="18"/>
        </w:rPr>
        <w:t xml:space="preserve"> les applications de l'apprentissage automatique et qui mènent des travaux en lien avec ces questions</w:t>
      </w:r>
      <w:r w:rsidRPr="0026343F">
        <w:rPr>
          <w:bCs/>
          <w:sz w:val="22"/>
          <w:szCs w:val="18"/>
        </w:rPr>
        <w:t>.</w:t>
      </w:r>
    </w:p>
    <w:p w14:paraId="7AE24785" w14:textId="644969A0" w:rsidR="00F914AA" w:rsidRPr="0026343F" w:rsidRDefault="00F914AA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t>3</w:t>
      </w:r>
      <w:r w:rsidRPr="0026343F">
        <w:rPr>
          <w:bCs/>
          <w:sz w:val="22"/>
          <w:szCs w:val="18"/>
        </w:rPr>
        <w:tab/>
        <w:t>La JCA-</w:t>
      </w:r>
      <w:r w:rsidR="00406D6E" w:rsidRPr="0026343F">
        <w:rPr>
          <w:bCs/>
          <w:sz w:val="22"/>
          <w:szCs w:val="18"/>
        </w:rPr>
        <w:t xml:space="preserve">ML </w:t>
      </w:r>
      <w:r w:rsidRPr="0026343F">
        <w:rPr>
          <w:bCs/>
          <w:sz w:val="22"/>
          <w:szCs w:val="18"/>
        </w:rPr>
        <w:t>est ouverte aux Membres de l'UIT-T. Les experts invités ainsi que les représentants désignés d'autres organisations intergouvernementales, organisations de normalisation et forums concernés peuvent également prendre part aux travaux de la JCA.</w:t>
      </w:r>
    </w:p>
    <w:p w14:paraId="5C23F933" w14:textId="3EB73A38" w:rsidR="0026343F" w:rsidRDefault="00951064" w:rsidP="00E755B6">
      <w:pPr>
        <w:keepNext/>
        <w:keepLines/>
        <w:rPr>
          <w:bCs/>
          <w:sz w:val="22"/>
          <w:szCs w:val="18"/>
        </w:rPr>
      </w:pPr>
      <w:r w:rsidRPr="00E755B6">
        <w:rPr>
          <w:bCs/>
        </w:rPr>
        <w:t>4</w:t>
      </w:r>
      <w:r w:rsidRPr="0026343F">
        <w:rPr>
          <w:bCs/>
          <w:sz w:val="22"/>
          <w:szCs w:val="18"/>
        </w:rPr>
        <w:tab/>
      </w:r>
      <w:r w:rsidR="00337E04" w:rsidRPr="0026343F">
        <w:rPr>
          <w:bCs/>
          <w:sz w:val="22"/>
          <w:szCs w:val="18"/>
        </w:rPr>
        <w:t xml:space="preserve">Afin d'atteindre rapidement ses objectifs, la JCA-ML prévoit de commencer ses activités </w:t>
      </w:r>
      <w:r w:rsidR="00E45AFB" w:rsidRPr="0026343F">
        <w:rPr>
          <w:bCs/>
          <w:sz w:val="22"/>
          <w:szCs w:val="18"/>
        </w:rPr>
        <w:t xml:space="preserve">dès </w:t>
      </w:r>
      <w:r w:rsidR="00337E04" w:rsidRPr="0026343F">
        <w:rPr>
          <w:bCs/>
          <w:sz w:val="22"/>
          <w:szCs w:val="18"/>
        </w:rPr>
        <w:t>sa première réunion, qui se tiendra à Genève</w:t>
      </w:r>
      <w:r w:rsidR="002427CD" w:rsidRPr="0026343F">
        <w:rPr>
          <w:bCs/>
          <w:sz w:val="22"/>
          <w:szCs w:val="18"/>
        </w:rPr>
        <w:t xml:space="preserve"> (Suisse)</w:t>
      </w:r>
      <w:r w:rsidR="00337E04" w:rsidRPr="0026343F">
        <w:rPr>
          <w:bCs/>
          <w:sz w:val="22"/>
          <w:szCs w:val="18"/>
        </w:rPr>
        <w:t xml:space="preserve"> le 16 mars 2023, parallèle</w:t>
      </w:r>
      <w:r w:rsidR="002427CD" w:rsidRPr="0026343F">
        <w:rPr>
          <w:bCs/>
          <w:sz w:val="22"/>
          <w:szCs w:val="18"/>
        </w:rPr>
        <w:t>ment</w:t>
      </w:r>
      <w:r w:rsidR="00337E04" w:rsidRPr="0026343F">
        <w:rPr>
          <w:bCs/>
          <w:sz w:val="22"/>
          <w:szCs w:val="18"/>
        </w:rPr>
        <w:t xml:space="preserve"> </w:t>
      </w:r>
      <w:r w:rsidR="002427CD" w:rsidRPr="0026343F">
        <w:rPr>
          <w:bCs/>
          <w:sz w:val="22"/>
          <w:szCs w:val="18"/>
        </w:rPr>
        <w:t xml:space="preserve">à </w:t>
      </w:r>
      <w:r w:rsidR="00337E04" w:rsidRPr="0026343F">
        <w:rPr>
          <w:bCs/>
          <w:sz w:val="22"/>
          <w:szCs w:val="18"/>
        </w:rPr>
        <w:t>la réunion de la Commission d'études 13 de l'UIT-T (</w:t>
      </w:r>
      <w:r w:rsidR="00337E04" w:rsidRPr="0026343F">
        <w:rPr>
          <w:bCs/>
          <w:i/>
          <w:iCs/>
          <w:sz w:val="22"/>
          <w:szCs w:val="18"/>
        </w:rPr>
        <w:t>Réseaux futurs et technologies de réseau émergentes</w:t>
      </w:r>
      <w:r w:rsidR="00337E04" w:rsidRPr="0026343F">
        <w:rPr>
          <w:bCs/>
          <w:sz w:val="22"/>
          <w:szCs w:val="18"/>
        </w:rPr>
        <w:t>), qui se déroulera à Genève du 13 au 24 mars 2023.</w:t>
      </w:r>
      <w:r w:rsidR="00D511C3" w:rsidRPr="0026343F">
        <w:rPr>
          <w:bCs/>
          <w:sz w:val="22"/>
          <w:szCs w:val="18"/>
        </w:rPr>
        <w:t xml:space="preserve"> Le projet d'ordre du jour de la réunion de la JCA-ML, élaboré par M. Kangchan Lee, Président de la JCA-ML, est reproduit à l'Annexe 2 de la présente circulaire.</w:t>
      </w:r>
    </w:p>
    <w:p w14:paraId="16415B93" w14:textId="77777777" w:rsidR="0026343F" w:rsidRDefault="0026343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Cs/>
          <w:sz w:val="22"/>
          <w:szCs w:val="18"/>
        </w:rPr>
      </w:pPr>
      <w:r>
        <w:rPr>
          <w:bCs/>
          <w:sz w:val="22"/>
          <w:szCs w:val="18"/>
        </w:rPr>
        <w:br w:type="page"/>
      </w:r>
    </w:p>
    <w:p w14:paraId="1CF22560" w14:textId="23F85BB3" w:rsidR="00951064" w:rsidRPr="0026343F" w:rsidRDefault="00951064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lastRenderedPageBreak/>
        <w:t>5</w:t>
      </w:r>
      <w:r w:rsidRPr="0026343F">
        <w:rPr>
          <w:bCs/>
          <w:sz w:val="22"/>
          <w:szCs w:val="18"/>
        </w:rPr>
        <w:tab/>
      </w:r>
      <w:bookmarkStart w:id="2" w:name="lt_pId067"/>
      <w:r w:rsidRPr="0026343F">
        <w:rPr>
          <w:bCs/>
          <w:sz w:val="22"/>
          <w:szCs w:val="18"/>
        </w:rPr>
        <w:t xml:space="preserve">Une page web a été créée pour la </w:t>
      </w:r>
      <w:r w:rsidR="004F1708" w:rsidRPr="0026343F">
        <w:rPr>
          <w:bCs/>
          <w:sz w:val="22"/>
          <w:szCs w:val="18"/>
        </w:rPr>
        <w:t xml:space="preserve">nouvelle </w:t>
      </w:r>
      <w:r w:rsidRPr="0026343F">
        <w:rPr>
          <w:bCs/>
          <w:sz w:val="22"/>
          <w:szCs w:val="18"/>
        </w:rPr>
        <w:t>JCA et peut être consultée à l'adresse</w:t>
      </w:r>
      <w:bookmarkEnd w:id="2"/>
      <w:r w:rsidRPr="0026343F">
        <w:rPr>
          <w:bCs/>
          <w:sz w:val="22"/>
          <w:szCs w:val="18"/>
        </w:rPr>
        <w:t xml:space="preserve"> </w:t>
      </w:r>
      <w:hyperlink r:id="rId10" w:history="1">
        <w:r w:rsidRPr="0026343F">
          <w:rPr>
            <w:rStyle w:val="Hyperlink"/>
            <w:bCs/>
            <w:sz w:val="22"/>
            <w:szCs w:val="18"/>
          </w:rPr>
          <w:t>https://www.itu.int/en/ITU-T/jca/ml/Pages/default.aspx</w:t>
        </w:r>
      </w:hyperlink>
      <w:r w:rsidRPr="0026343F">
        <w:rPr>
          <w:bCs/>
          <w:sz w:val="22"/>
          <w:szCs w:val="18"/>
        </w:rPr>
        <w:t xml:space="preserve">. </w:t>
      </w:r>
      <w:r w:rsidR="004F1708" w:rsidRPr="0026343F">
        <w:rPr>
          <w:bCs/>
          <w:sz w:val="22"/>
          <w:szCs w:val="18"/>
        </w:rPr>
        <w:t xml:space="preserve">Toutes les </w:t>
      </w:r>
      <w:r w:rsidRPr="0026343F">
        <w:rPr>
          <w:bCs/>
          <w:sz w:val="22"/>
          <w:szCs w:val="18"/>
        </w:rPr>
        <w:t>informations relatives à la première réunion de la JCA-</w:t>
      </w:r>
      <w:r w:rsidR="004F1708" w:rsidRPr="0026343F">
        <w:rPr>
          <w:bCs/>
          <w:sz w:val="22"/>
          <w:szCs w:val="18"/>
        </w:rPr>
        <w:t>ML</w:t>
      </w:r>
      <w:r w:rsidRPr="0026343F">
        <w:rPr>
          <w:bCs/>
          <w:sz w:val="22"/>
          <w:szCs w:val="18"/>
        </w:rPr>
        <w:t xml:space="preserve">, notamment </w:t>
      </w:r>
      <w:r w:rsidR="004F1708" w:rsidRPr="0026343F">
        <w:rPr>
          <w:bCs/>
          <w:sz w:val="22"/>
          <w:szCs w:val="18"/>
        </w:rPr>
        <w:t xml:space="preserve">le </w:t>
      </w:r>
      <w:r w:rsidR="00F4329F" w:rsidRPr="0026343F">
        <w:rPr>
          <w:bCs/>
          <w:sz w:val="22"/>
          <w:szCs w:val="18"/>
        </w:rPr>
        <w:t>programme</w:t>
      </w:r>
      <w:r w:rsidR="004F1708" w:rsidRPr="0026343F">
        <w:rPr>
          <w:bCs/>
          <w:sz w:val="22"/>
          <w:szCs w:val="18"/>
        </w:rPr>
        <w:t xml:space="preserve">, </w:t>
      </w:r>
      <w:r w:rsidRPr="0026343F">
        <w:rPr>
          <w:bCs/>
          <w:sz w:val="22"/>
          <w:szCs w:val="18"/>
        </w:rPr>
        <w:t>l'inscription, le projet d'ordre du jour</w:t>
      </w:r>
      <w:r w:rsidR="004F1708" w:rsidRPr="0026343F">
        <w:rPr>
          <w:bCs/>
          <w:sz w:val="22"/>
          <w:szCs w:val="18"/>
        </w:rPr>
        <w:t>, les modalités de participation à distance</w:t>
      </w:r>
      <w:r w:rsidRPr="0026343F">
        <w:rPr>
          <w:bCs/>
          <w:sz w:val="22"/>
          <w:szCs w:val="18"/>
        </w:rPr>
        <w:t xml:space="preserve"> et les documents de la réunion</w:t>
      </w:r>
      <w:r w:rsidR="00617D08" w:rsidRPr="0026343F">
        <w:rPr>
          <w:bCs/>
          <w:sz w:val="22"/>
          <w:szCs w:val="18"/>
        </w:rPr>
        <w:t>,</w:t>
      </w:r>
      <w:r w:rsidR="004F1708" w:rsidRPr="0026343F">
        <w:rPr>
          <w:bCs/>
          <w:sz w:val="22"/>
          <w:szCs w:val="18"/>
        </w:rPr>
        <w:t xml:space="preserve"> y seront publiées</w:t>
      </w:r>
      <w:r w:rsidRPr="0026343F">
        <w:rPr>
          <w:bCs/>
          <w:sz w:val="22"/>
          <w:szCs w:val="18"/>
        </w:rPr>
        <w:t>.</w:t>
      </w:r>
    </w:p>
    <w:p w14:paraId="2DD2269A" w14:textId="061A4A8C" w:rsidR="00F914AA" w:rsidRPr="0026343F" w:rsidRDefault="004F1708" w:rsidP="00240BF1">
      <w:pPr>
        <w:rPr>
          <w:bCs/>
          <w:sz w:val="22"/>
          <w:szCs w:val="18"/>
        </w:rPr>
      </w:pPr>
      <w:r w:rsidRPr="0026343F">
        <w:rPr>
          <w:bCs/>
          <w:sz w:val="22"/>
          <w:szCs w:val="18"/>
        </w:rPr>
        <w:t>Je vous souhaite plein succès pour le début des travaux de coordination</w:t>
      </w:r>
      <w:r w:rsidR="00951064" w:rsidRPr="0026343F">
        <w:rPr>
          <w:bCs/>
          <w:sz w:val="22"/>
          <w:szCs w:val="18"/>
        </w:rPr>
        <w:t>.</w:t>
      </w:r>
    </w:p>
    <w:p w14:paraId="726A4F56" w14:textId="184DAB2B" w:rsidR="00BD6ECF" w:rsidRPr="0026343F" w:rsidRDefault="00517A03" w:rsidP="00240BF1">
      <w:pPr>
        <w:rPr>
          <w:sz w:val="22"/>
          <w:szCs w:val="18"/>
        </w:rPr>
      </w:pPr>
      <w:r w:rsidRPr="0026343F">
        <w:rPr>
          <w:sz w:val="22"/>
          <w:szCs w:val="18"/>
        </w:rPr>
        <w:t>Veuillez agréer, Madame, Monsieur, l</w:t>
      </w:r>
      <w:r w:rsidR="00167472" w:rsidRPr="0026343F">
        <w:rPr>
          <w:sz w:val="22"/>
          <w:szCs w:val="18"/>
        </w:rPr>
        <w:t>'</w:t>
      </w:r>
      <w:r w:rsidRPr="0026343F">
        <w:rPr>
          <w:sz w:val="22"/>
          <w:szCs w:val="18"/>
        </w:rPr>
        <w:t>assurance de ma haute considération.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8F2E7D" w:rsidRPr="00E755B6" w14:paraId="1E5CD6C7" w14:textId="77777777" w:rsidTr="005A3EEE">
        <w:trPr>
          <w:cantSplit/>
          <w:trHeight w:val="1955"/>
        </w:trPr>
        <w:tc>
          <w:tcPr>
            <w:tcW w:w="6379" w:type="dxa"/>
            <w:tcBorders>
              <w:right w:val="single" w:sz="4" w:space="0" w:color="auto"/>
            </w:tcBorders>
          </w:tcPr>
          <w:p w14:paraId="160CA115" w14:textId="37E88980" w:rsidR="008F2E7D" w:rsidRPr="0026343F" w:rsidRDefault="00260206" w:rsidP="0026343F">
            <w:pPr>
              <w:spacing w:before="960"/>
              <w:ind w:left="-105"/>
              <w:rPr>
                <w:sz w:val="22"/>
                <w:szCs w:val="18"/>
              </w:rPr>
            </w:pPr>
            <w:r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6EEFCDDC" wp14:editId="6419852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67945</wp:posOffset>
                  </wp:positionV>
                  <wp:extent cx="647699" cy="485775"/>
                  <wp:effectExtent l="0" t="0" r="635" b="0"/>
                  <wp:wrapNone/>
                  <wp:docPr id="3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68D" w:rsidRPr="0026343F">
              <w:rPr>
                <w:sz w:val="22"/>
                <w:szCs w:val="18"/>
              </w:rPr>
              <w:t>Seizo Onoe</w:t>
            </w:r>
            <w:r w:rsidR="004B268D" w:rsidRPr="0026343F">
              <w:rPr>
                <w:sz w:val="22"/>
                <w:szCs w:val="18"/>
              </w:rPr>
              <w:br/>
              <w:t>Directeur du Bureau de la normalisation</w:t>
            </w:r>
            <w:r w:rsidR="004B268D" w:rsidRPr="0026343F">
              <w:rPr>
                <w:sz w:val="22"/>
                <w:szCs w:val="18"/>
              </w:rPr>
              <w:br/>
              <w:t>des télécommunications</w:t>
            </w:r>
          </w:p>
          <w:p w14:paraId="762D1029" w14:textId="7D8C5B6C" w:rsidR="008F2E7D" w:rsidRPr="00E755B6" w:rsidRDefault="008F2E7D" w:rsidP="00240BF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840"/>
              <w:textAlignment w:val="auto"/>
              <w:rPr>
                <w:b/>
                <w:bCs/>
                <w:szCs w:val="24"/>
              </w:rPr>
            </w:pPr>
            <w:r w:rsidRPr="0026343F">
              <w:rPr>
                <w:b/>
                <w:bCs/>
                <w:sz w:val="22"/>
                <w:szCs w:val="22"/>
              </w:rPr>
              <w:t>Annexes</w:t>
            </w:r>
            <w:r w:rsidRPr="0026343F">
              <w:rPr>
                <w:sz w:val="22"/>
                <w:szCs w:val="22"/>
              </w:rPr>
              <w:t>: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BBC476" w14:textId="77777777" w:rsidR="008F2E7D" w:rsidRPr="00E755B6" w:rsidRDefault="008F2E7D" w:rsidP="00240BF1">
            <w:pPr>
              <w:keepNext/>
              <w:keepLines/>
              <w:spacing w:before="0"/>
              <w:ind w:left="113" w:right="113"/>
              <w:jc w:val="center"/>
              <w:rPr>
                <w:rFonts w:eastAsia="SimSun" w:cs="Arial"/>
                <w:sz w:val="20"/>
                <w:lang w:eastAsia="zh-CN"/>
              </w:rPr>
            </w:pPr>
            <w:r w:rsidRPr="00E755B6">
              <w:rPr>
                <w:noProof/>
              </w:rPr>
              <w:drawing>
                <wp:inline distT="0" distB="0" distL="0" distR="0" wp14:anchorId="3474C571" wp14:editId="7EC75757">
                  <wp:extent cx="1029970" cy="1050822"/>
                  <wp:effectExtent l="0" t="0" r="0" b="0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Qr cod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767" cy="1063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6CAE06" w14:textId="791AEFFA" w:rsidR="008F2E7D" w:rsidRPr="00E755B6" w:rsidRDefault="008F2E7D" w:rsidP="00240BF1">
            <w:pPr>
              <w:keepNext/>
              <w:keepLines/>
              <w:spacing w:before="0"/>
              <w:ind w:left="113" w:right="113"/>
              <w:jc w:val="center"/>
            </w:pPr>
            <w:r w:rsidRPr="00E755B6">
              <w:rPr>
                <w:rFonts w:eastAsia="SimSun" w:cs="Arial"/>
                <w:sz w:val="20"/>
                <w:lang w:eastAsia="zh-CN"/>
              </w:rPr>
              <w:t>U</w:t>
            </w:r>
            <w:r w:rsidR="00E755B6" w:rsidRPr="00E755B6">
              <w:rPr>
                <w:rFonts w:eastAsia="SimSun" w:cs="Arial"/>
                <w:sz w:val="20"/>
                <w:lang w:eastAsia="zh-CN"/>
              </w:rPr>
              <w:t>IT</w:t>
            </w:r>
            <w:r w:rsidRPr="00E755B6">
              <w:rPr>
                <w:rFonts w:eastAsia="SimSun" w:cs="Arial"/>
                <w:sz w:val="20"/>
                <w:lang w:eastAsia="zh-CN"/>
              </w:rPr>
              <w:t>-T JCA-ML</w:t>
            </w:r>
          </w:p>
        </w:tc>
      </w:tr>
    </w:tbl>
    <w:p w14:paraId="253B4745" w14:textId="0E5FDCC6" w:rsidR="004B268D" w:rsidRPr="00E755B6" w:rsidRDefault="004B268D" w:rsidP="00240B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E755B6">
        <w:br w:type="page"/>
      </w:r>
    </w:p>
    <w:p w14:paraId="1A2FCC9F" w14:textId="77777777" w:rsidR="00F8674A" w:rsidRPr="00E755B6" w:rsidRDefault="004B268D" w:rsidP="00240BF1">
      <w:pPr>
        <w:pStyle w:val="AnnexTitle"/>
        <w:rPr>
          <w:sz w:val="28"/>
          <w:szCs w:val="22"/>
        </w:rPr>
      </w:pPr>
      <w:bookmarkStart w:id="3" w:name="lt_pId077"/>
      <w:r w:rsidRPr="00E755B6">
        <w:rPr>
          <w:sz w:val="28"/>
          <w:szCs w:val="22"/>
        </w:rPr>
        <w:lastRenderedPageBreak/>
        <w:t xml:space="preserve">ANNEXE </w:t>
      </w:r>
      <w:bookmarkStart w:id="4" w:name="lt_pId079"/>
      <w:bookmarkEnd w:id="3"/>
      <w:r w:rsidR="001B06AD" w:rsidRPr="00E755B6">
        <w:rPr>
          <w:sz w:val="28"/>
          <w:szCs w:val="22"/>
        </w:rPr>
        <w:t>1</w:t>
      </w:r>
    </w:p>
    <w:p w14:paraId="0EA559CC" w14:textId="2134F073" w:rsidR="00517A03" w:rsidRPr="00E755B6" w:rsidRDefault="004B268D" w:rsidP="00240BF1">
      <w:pPr>
        <w:pStyle w:val="AnnexTitle"/>
        <w:rPr>
          <w:sz w:val="28"/>
          <w:szCs w:val="22"/>
        </w:rPr>
      </w:pPr>
      <w:bookmarkStart w:id="5" w:name="lt_pId080"/>
      <w:bookmarkEnd w:id="4"/>
      <w:r w:rsidRPr="00E755B6">
        <w:rPr>
          <w:sz w:val="28"/>
          <w:szCs w:val="22"/>
        </w:rPr>
        <w:t>Mandat</w:t>
      </w:r>
      <w:bookmarkEnd w:id="5"/>
      <w:r w:rsidRPr="00E755B6">
        <w:rPr>
          <w:sz w:val="28"/>
          <w:szCs w:val="22"/>
        </w:rPr>
        <w:t xml:space="preserve"> de l'Activité conjointe de coordination</w:t>
      </w:r>
      <w:r w:rsidRPr="00E755B6">
        <w:rPr>
          <w:sz w:val="28"/>
          <w:szCs w:val="22"/>
        </w:rPr>
        <w:br/>
      </w:r>
      <w:r w:rsidR="00374F57" w:rsidRPr="00E755B6">
        <w:rPr>
          <w:sz w:val="28"/>
          <w:szCs w:val="22"/>
        </w:rPr>
        <w:t xml:space="preserve">sur l'apprentissage automatique </w:t>
      </w:r>
      <w:r w:rsidRPr="00E755B6">
        <w:rPr>
          <w:sz w:val="28"/>
          <w:szCs w:val="22"/>
        </w:rPr>
        <w:t>(JCA-</w:t>
      </w:r>
      <w:r w:rsidR="00374F57" w:rsidRPr="00E755B6">
        <w:rPr>
          <w:sz w:val="28"/>
          <w:szCs w:val="22"/>
        </w:rPr>
        <w:t>ML</w:t>
      </w:r>
      <w:r w:rsidRPr="00E755B6">
        <w:rPr>
          <w:sz w:val="28"/>
          <w:szCs w:val="22"/>
        </w:rPr>
        <w:t>)</w:t>
      </w:r>
    </w:p>
    <w:p w14:paraId="2DE3B91D" w14:textId="77777777" w:rsidR="004B268D" w:rsidRPr="00E755B6" w:rsidRDefault="004B268D" w:rsidP="00240BF1">
      <w:pPr>
        <w:pStyle w:val="Heading1"/>
      </w:pPr>
      <w:r w:rsidRPr="00E755B6">
        <w:t>1</w:t>
      </w:r>
      <w:r w:rsidRPr="00E755B6">
        <w:tab/>
      </w:r>
      <w:bookmarkStart w:id="6" w:name="lt_pId082"/>
      <w:r w:rsidRPr="00E755B6">
        <w:t>Domaine de compétence</w:t>
      </w:r>
      <w:bookmarkEnd w:id="6"/>
    </w:p>
    <w:p w14:paraId="12F71FBB" w14:textId="33A94AF0" w:rsidR="004B268D" w:rsidRPr="00E755B6" w:rsidRDefault="00A915EF" w:rsidP="00240BF1">
      <w:bookmarkStart w:id="7" w:name="lt_pId083"/>
      <w:r w:rsidRPr="00E755B6">
        <w:rPr>
          <w:bCs/>
        </w:rPr>
        <w:t xml:space="preserve">La JCA-ML a pour objet de coordonner le programme de travail </w:t>
      </w:r>
      <w:r w:rsidR="00F4329F" w:rsidRPr="00E755B6">
        <w:rPr>
          <w:bCs/>
        </w:rPr>
        <w:t>de l</w:t>
      </w:r>
      <w:r w:rsidR="00F8674A" w:rsidRPr="00E755B6">
        <w:rPr>
          <w:bCs/>
        </w:rPr>
        <w:t>'</w:t>
      </w:r>
      <w:r w:rsidR="00F4329F" w:rsidRPr="00E755B6">
        <w:rPr>
          <w:bCs/>
        </w:rPr>
        <w:t xml:space="preserve">UIT-T </w:t>
      </w:r>
      <w:r w:rsidRPr="00E755B6">
        <w:rPr>
          <w:bCs/>
        </w:rPr>
        <w:t xml:space="preserve">sur les applications de l'apprentissage automatique et les travaux de normalisation connexes </w:t>
      </w:r>
      <w:r w:rsidR="00F4329F" w:rsidRPr="00E755B6">
        <w:rPr>
          <w:bCs/>
        </w:rPr>
        <w:t>du Secteur pour ce qui est des</w:t>
      </w:r>
      <w:r w:rsidRPr="00E755B6">
        <w:rPr>
          <w:bCs/>
        </w:rPr>
        <w:t xml:space="preserve"> télécommunications/TIC. </w:t>
      </w:r>
      <w:r w:rsidR="00F4329F" w:rsidRPr="00E755B6">
        <w:rPr>
          <w:bCs/>
        </w:rPr>
        <w:t>Elle s</w:t>
      </w:r>
      <w:r w:rsidR="00F8674A" w:rsidRPr="00E755B6">
        <w:rPr>
          <w:bCs/>
        </w:rPr>
        <w:t>'</w:t>
      </w:r>
      <w:r w:rsidR="00F4329F" w:rsidRPr="00E755B6">
        <w:rPr>
          <w:bCs/>
        </w:rPr>
        <w:t>efforce d</w:t>
      </w:r>
      <w:r w:rsidR="00F8674A" w:rsidRPr="00E755B6">
        <w:rPr>
          <w:bCs/>
        </w:rPr>
        <w:t>'</w:t>
      </w:r>
      <w:r w:rsidR="00F4329F" w:rsidRPr="00E755B6">
        <w:rPr>
          <w:bCs/>
        </w:rPr>
        <w:t xml:space="preserve">obtenir </w:t>
      </w:r>
      <w:r w:rsidRPr="00E755B6">
        <w:rPr>
          <w:bCs/>
        </w:rPr>
        <w:t>la coopération et l</w:t>
      </w:r>
      <w:r w:rsidR="00E45AFB" w:rsidRPr="00E755B6">
        <w:rPr>
          <w:bCs/>
        </w:rPr>
        <w:t>a</w:t>
      </w:r>
      <w:r w:rsidRPr="00E755B6">
        <w:rPr>
          <w:bCs/>
        </w:rPr>
        <w:t xml:space="preserve"> collaboration des autres organisations de normalisation, consortiums</w:t>
      </w:r>
      <w:r w:rsidR="00617D08" w:rsidRPr="00E755B6">
        <w:rPr>
          <w:bCs/>
        </w:rPr>
        <w:t>, forums</w:t>
      </w:r>
      <w:r w:rsidRPr="00E755B6">
        <w:rPr>
          <w:bCs/>
        </w:rPr>
        <w:t xml:space="preserve"> et établissements universitaires qui étudient les applications de l'apprentissage automatique et qui mènent des travaux en lien avec ces questions.</w:t>
      </w:r>
      <w:bookmarkStart w:id="8" w:name="lt_pId084"/>
      <w:bookmarkEnd w:id="7"/>
      <w:r w:rsidR="007F7F9B" w:rsidRPr="00E755B6">
        <w:t xml:space="preserve"> </w:t>
      </w:r>
      <w:r w:rsidR="00194E2A" w:rsidRPr="00E755B6">
        <w:t xml:space="preserve">La </w:t>
      </w:r>
      <w:r w:rsidR="004B268D" w:rsidRPr="00E755B6">
        <w:t xml:space="preserve">JCA mène ses activités conformément aux dispositions du </w:t>
      </w:r>
      <w:r w:rsidR="007F7F9B" w:rsidRPr="00E755B6">
        <w:t>paragraphe </w:t>
      </w:r>
      <w:r w:rsidR="004B268D" w:rsidRPr="00E755B6">
        <w:t xml:space="preserve">5 </w:t>
      </w:r>
      <w:r w:rsidR="00BE740D" w:rsidRPr="00E755B6">
        <w:t xml:space="preserve">(Activités conjointes de coordination) </w:t>
      </w:r>
      <w:r w:rsidR="004B268D" w:rsidRPr="00E755B6">
        <w:t>de la Recommandation UIT</w:t>
      </w:r>
      <w:r w:rsidR="004B268D" w:rsidRPr="00E755B6">
        <w:noBreakHyphen/>
        <w:t>T A.1</w:t>
      </w:r>
      <w:bookmarkStart w:id="9" w:name="lt_pId085"/>
      <w:bookmarkEnd w:id="8"/>
      <w:r w:rsidR="004B268D" w:rsidRPr="00E755B6">
        <w:t>.</w:t>
      </w:r>
      <w:bookmarkEnd w:id="9"/>
    </w:p>
    <w:p w14:paraId="0D60A31A" w14:textId="6DC713D8" w:rsidR="004B268D" w:rsidRPr="00E755B6" w:rsidRDefault="004B268D" w:rsidP="00240BF1">
      <w:pPr>
        <w:pStyle w:val="Heading1"/>
      </w:pPr>
      <w:r w:rsidRPr="00E755B6">
        <w:t>2</w:t>
      </w:r>
      <w:r w:rsidRPr="00E755B6">
        <w:tab/>
        <w:t>Objectifs</w:t>
      </w:r>
    </w:p>
    <w:p w14:paraId="095141A1" w14:textId="1AD9A656" w:rsidR="004B268D" w:rsidRPr="00E755B6" w:rsidRDefault="00655642" w:rsidP="00240BF1">
      <w:r w:rsidRPr="00E755B6">
        <w:t xml:space="preserve">Les objectifs de la </w:t>
      </w:r>
      <w:r w:rsidR="004B268D" w:rsidRPr="00E755B6">
        <w:t xml:space="preserve">JCA-ML </w:t>
      </w:r>
      <w:r w:rsidRPr="00E755B6">
        <w:t>sont les suivants</w:t>
      </w:r>
      <w:r w:rsidR="004B268D" w:rsidRPr="00E755B6">
        <w:t>:</w:t>
      </w:r>
    </w:p>
    <w:p w14:paraId="4A6A578A" w14:textId="2EB0D6FF" w:rsidR="004B268D" w:rsidRPr="00E755B6" w:rsidRDefault="004B268D" w:rsidP="00240BF1">
      <w:pPr>
        <w:pStyle w:val="enumlev1"/>
      </w:pPr>
      <w:r w:rsidRPr="00E755B6">
        <w:t>1)</w:t>
      </w:r>
      <w:r w:rsidRPr="00E755B6">
        <w:tab/>
        <w:t>La JCA-</w:t>
      </w:r>
      <w:r w:rsidR="00D96310" w:rsidRPr="00E755B6">
        <w:t xml:space="preserve">ML </w:t>
      </w:r>
      <w:r w:rsidRPr="00E755B6">
        <w:t xml:space="preserve">veille à la bonne coordination </w:t>
      </w:r>
      <w:r w:rsidR="00D96310" w:rsidRPr="00E755B6">
        <w:t xml:space="preserve">du programme de travail </w:t>
      </w:r>
      <w:r w:rsidR="00F4329F" w:rsidRPr="00E755B6">
        <w:t>de l</w:t>
      </w:r>
      <w:r w:rsidR="00F8674A" w:rsidRPr="00E755B6">
        <w:t>'</w:t>
      </w:r>
      <w:r w:rsidR="00F4329F" w:rsidRPr="00E755B6">
        <w:t xml:space="preserve">UIT-T </w:t>
      </w:r>
      <w:r w:rsidR="00D96310" w:rsidRPr="00E755B6">
        <w:t>sur les applications de l'apprentissage automatique et de</w:t>
      </w:r>
      <w:r w:rsidR="00146A36" w:rsidRPr="00E755B6">
        <w:t>s</w:t>
      </w:r>
      <w:r w:rsidR="00D96310" w:rsidRPr="00E755B6">
        <w:t xml:space="preserve"> </w:t>
      </w:r>
      <w:r w:rsidRPr="00E755B6">
        <w:t xml:space="preserve">travaux de normalisation </w:t>
      </w:r>
      <w:r w:rsidR="00D96310" w:rsidRPr="00E755B6">
        <w:t xml:space="preserve">connexes </w:t>
      </w:r>
      <w:r w:rsidR="00F4329F" w:rsidRPr="00E755B6">
        <w:t>du Secteur pour ce qui est des</w:t>
      </w:r>
      <w:r w:rsidR="00D96310" w:rsidRPr="00E755B6">
        <w:t xml:space="preserve"> télécommunications/TIC</w:t>
      </w:r>
      <w:r w:rsidR="00146A36" w:rsidRPr="00E755B6">
        <w:t xml:space="preserve"> </w:t>
      </w:r>
      <w:r w:rsidR="00F4329F" w:rsidRPr="00E755B6">
        <w:t>menés par toutes l</w:t>
      </w:r>
      <w:r w:rsidR="00146A36" w:rsidRPr="00E755B6">
        <w:t xml:space="preserve">es </w:t>
      </w:r>
      <w:r w:rsidRPr="00E755B6">
        <w:t xml:space="preserve">commissions d'études </w:t>
      </w:r>
      <w:r w:rsidR="00146A36" w:rsidRPr="00E755B6">
        <w:t xml:space="preserve">et </w:t>
      </w:r>
      <w:r w:rsidR="00F4329F" w:rsidRPr="00E755B6">
        <w:t>leurs groupes s</w:t>
      </w:r>
      <w:r w:rsidR="00F8674A" w:rsidRPr="00E755B6">
        <w:t>'</w:t>
      </w:r>
      <w:r w:rsidR="00F4329F" w:rsidRPr="00E755B6">
        <w:t>occupant</w:t>
      </w:r>
      <w:r w:rsidR="00146A36" w:rsidRPr="00E755B6">
        <w:t xml:space="preserve"> des Questions</w:t>
      </w:r>
      <w:r w:rsidR="009A0964" w:rsidRPr="00E755B6">
        <w:t xml:space="preserve"> concernées</w:t>
      </w:r>
      <w:r w:rsidR="00146A36" w:rsidRPr="00E755B6">
        <w:t>.</w:t>
      </w:r>
    </w:p>
    <w:p w14:paraId="6E15269F" w14:textId="5C455F86" w:rsidR="004B268D" w:rsidRPr="00E755B6" w:rsidRDefault="004B268D" w:rsidP="00240BF1">
      <w:pPr>
        <w:pStyle w:val="enumlev1"/>
      </w:pPr>
      <w:r w:rsidRPr="00E755B6">
        <w:t>2)</w:t>
      </w:r>
      <w:r w:rsidRPr="00E755B6">
        <w:tab/>
      </w:r>
      <w:r w:rsidR="00BF429C" w:rsidRPr="00E755B6">
        <w:t xml:space="preserve">La </w:t>
      </w:r>
      <w:r w:rsidRPr="00E755B6">
        <w:t xml:space="preserve">JCA-ML </w:t>
      </w:r>
      <w:r w:rsidR="009A0964" w:rsidRPr="00E755B6">
        <w:t>suit les</w:t>
      </w:r>
      <w:r w:rsidR="00BF429C" w:rsidRPr="00E755B6">
        <w:t xml:space="preserve"> programmes de travail d</w:t>
      </w:r>
      <w:r w:rsidR="009A0964" w:rsidRPr="00E755B6">
        <w:t xml:space="preserve">es </w:t>
      </w:r>
      <w:r w:rsidR="00BF429C" w:rsidRPr="00E755B6">
        <w:t>autres organisations de normalisation</w:t>
      </w:r>
      <w:r w:rsidR="009A0964" w:rsidRPr="00E755B6">
        <w:t>,</w:t>
      </w:r>
      <w:r w:rsidR="00BF429C" w:rsidRPr="00E755B6">
        <w:t xml:space="preserve"> afin de détecter </w:t>
      </w:r>
      <w:r w:rsidR="009A0964" w:rsidRPr="00E755B6">
        <w:t>les doublons</w:t>
      </w:r>
      <w:r w:rsidR="00BF429C" w:rsidRPr="00E755B6">
        <w:t xml:space="preserve"> et </w:t>
      </w:r>
      <w:r w:rsidR="009A0964" w:rsidRPr="00E755B6">
        <w:t xml:space="preserve">encourage </w:t>
      </w:r>
      <w:r w:rsidR="00827C94" w:rsidRPr="00E755B6">
        <w:t xml:space="preserve">une utilisation </w:t>
      </w:r>
      <w:r w:rsidR="00BF429C" w:rsidRPr="00E755B6">
        <w:t>de</w:t>
      </w:r>
      <w:r w:rsidR="00827C94" w:rsidRPr="00E755B6">
        <w:t>s</w:t>
      </w:r>
      <w:r w:rsidR="00BF429C" w:rsidRPr="00E755B6">
        <w:t xml:space="preserve"> termes et de</w:t>
      </w:r>
      <w:r w:rsidR="00827C94" w:rsidRPr="00E755B6">
        <w:t>s</w:t>
      </w:r>
      <w:r w:rsidR="00BF429C" w:rsidRPr="00E755B6">
        <w:t xml:space="preserve"> définitions </w:t>
      </w:r>
      <w:r w:rsidR="00284F7C" w:rsidRPr="00E755B6">
        <w:t xml:space="preserve">qui soit </w:t>
      </w:r>
      <w:r w:rsidR="00827C94" w:rsidRPr="00E755B6">
        <w:t>cohérente avec les</w:t>
      </w:r>
      <w:r w:rsidR="00284F7C" w:rsidRPr="00E755B6">
        <w:t xml:space="preserve"> </w:t>
      </w:r>
      <w:r w:rsidR="00BF429C" w:rsidRPr="00E755B6">
        <w:t xml:space="preserve">définitions normalisées existantes dans </w:t>
      </w:r>
      <w:r w:rsidR="009A0964" w:rsidRPr="00E755B6">
        <w:t xml:space="preserve">ce </w:t>
      </w:r>
      <w:r w:rsidR="00BF429C" w:rsidRPr="00E755B6">
        <w:t>domaine.</w:t>
      </w:r>
    </w:p>
    <w:p w14:paraId="20BD5ED3" w14:textId="3E5E5FD1" w:rsidR="004B268D" w:rsidRPr="00E755B6" w:rsidRDefault="004B268D" w:rsidP="00240BF1">
      <w:pPr>
        <w:pStyle w:val="enumlev1"/>
      </w:pPr>
      <w:r w:rsidRPr="00E755B6">
        <w:t>3)</w:t>
      </w:r>
      <w:r w:rsidRPr="00E755B6">
        <w:tab/>
        <w:t>Si des problèmes de répétition des tâches ou de planification sont constatés, la JCA</w:t>
      </w:r>
      <w:r w:rsidR="00E411B9" w:rsidRPr="00E755B6">
        <w:t>-</w:t>
      </w:r>
      <w:r w:rsidR="006F25A9" w:rsidRPr="00E755B6">
        <w:t>ML le</w:t>
      </w:r>
      <w:r w:rsidR="00827C94" w:rsidRPr="00E755B6">
        <w:t>s</w:t>
      </w:r>
      <w:r w:rsidR="006F25A9" w:rsidRPr="00E755B6">
        <w:t xml:space="preserve"> signale à la </w:t>
      </w:r>
      <w:r w:rsidR="00D160CA" w:rsidRPr="00E755B6">
        <w:t>C</w:t>
      </w:r>
      <w:r w:rsidR="006F25A9" w:rsidRPr="00E755B6">
        <w:t>ommission d'études de rattachement</w:t>
      </w:r>
      <w:r w:rsidR="00827C94" w:rsidRPr="00E755B6">
        <w:t>,</w:t>
      </w:r>
      <w:r w:rsidR="006F25A9" w:rsidRPr="00E755B6">
        <w:t xml:space="preserve"> afin de </w:t>
      </w:r>
      <w:r w:rsidRPr="00E755B6">
        <w:t xml:space="preserve">coordonner toutes les activités avec les </w:t>
      </w:r>
      <w:r w:rsidR="006F25A9" w:rsidRPr="00E755B6">
        <w:t xml:space="preserve">autres </w:t>
      </w:r>
      <w:r w:rsidR="00827C94" w:rsidRPr="00E755B6">
        <w:t>groupes</w:t>
      </w:r>
      <w:r w:rsidR="00D160CA" w:rsidRPr="00E755B6">
        <w:t xml:space="preserve"> concernés</w:t>
      </w:r>
      <w:r w:rsidRPr="00E755B6">
        <w:t>.</w:t>
      </w:r>
    </w:p>
    <w:p w14:paraId="7DD72634" w14:textId="19754C46" w:rsidR="004B268D" w:rsidRPr="00E755B6" w:rsidRDefault="004B268D" w:rsidP="00240BF1">
      <w:pPr>
        <w:pStyle w:val="enumlev1"/>
      </w:pPr>
      <w:r w:rsidRPr="00E755B6">
        <w:t>4)</w:t>
      </w:r>
      <w:r w:rsidRPr="00E755B6">
        <w:tab/>
        <w:t>La JCA-</w:t>
      </w:r>
      <w:r w:rsidR="00FE4492" w:rsidRPr="00E755B6">
        <w:t xml:space="preserve">ML </w:t>
      </w:r>
      <w:r w:rsidRPr="00E755B6">
        <w:t xml:space="preserve">étudie et encourage les possibilités de coopération </w:t>
      </w:r>
      <w:r w:rsidR="00FE4492" w:rsidRPr="00E755B6">
        <w:t xml:space="preserve">et de collaboration </w:t>
      </w:r>
      <w:r w:rsidRPr="00E755B6">
        <w:t xml:space="preserve">sur </w:t>
      </w:r>
      <w:r w:rsidR="00FE4492" w:rsidRPr="00E755B6">
        <w:t>les applications de l'apprentissage automatique</w:t>
      </w:r>
      <w:r w:rsidRPr="00E755B6">
        <w:t xml:space="preserve"> avec les </w:t>
      </w:r>
      <w:r w:rsidR="00827C94" w:rsidRPr="00E755B6">
        <w:t xml:space="preserve">groupes </w:t>
      </w:r>
      <w:r w:rsidRPr="00E755B6">
        <w:t>concernés tels que le JTC</w:t>
      </w:r>
      <w:r w:rsidR="00FE4492" w:rsidRPr="00E755B6">
        <w:t> </w:t>
      </w:r>
      <w:r w:rsidRPr="00E755B6">
        <w:t>1 de l'ISO/CEI,</w:t>
      </w:r>
      <w:r w:rsidR="00827C94" w:rsidRPr="00E755B6">
        <w:t xml:space="preserve"> le SC 42 du JTC 1 de</w:t>
      </w:r>
      <w:r w:rsidRPr="00E755B6">
        <w:t xml:space="preserve"> </w:t>
      </w:r>
      <w:r w:rsidR="00FE4492" w:rsidRPr="00E755B6">
        <w:t xml:space="preserve">l'ISO/CEI, </w:t>
      </w:r>
      <w:r w:rsidR="00827C94" w:rsidRPr="00E755B6">
        <w:t xml:space="preserve">le SC </w:t>
      </w:r>
      <w:r w:rsidR="00E755B6" w:rsidRPr="00E755B6">
        <w:t>2</w:t>
      </w:r>
      <w:r w:rsidR="00827C94" w:rsidRPr="00E755B6">
        <w:t xml:space="preserve">9 du JTC 1 de </w:t>
      </w:r>
      <w:r w:rsidR="00FE4492" w:rsidRPr="00E755B6">
        <w:t>l'ISO/CEI, le TC 37 de l'ISO, le</w:t>
      </w:r>
      <w:r w:rsidR="00F8674A" w:rsidRPr="00E755B6">
        <w:t> </w:t>
      </w:r>
      <w:r w:rsidR="00FE4492" w:rsidRPr="00E755B6">
        <w:t xml:space="preserve">TC 62 de la CEI, le Comité consultatif du SMB de la CEI sur la sécurité de l'information et </w:t>
      </w:r>
      <w:r w:rsidR="00EA38DD" w:rsidRPr="00E755B6">
        <w:t xml:space="preserve">la confidentialité des données, les Groupes stratégiques 11 et 12 du SMB de la CEI, </w:t>
      </w:r>
      <w:r w:rsidR="00C23A4A" w:rsidRPr="00E755B6">
        <w:t xml:space="preserve">l'IEEE, </w:t>
      </w:r>
      <w:r w:rsidR="00EA38DD" w:rsidRPr="00E755B6">
        <w:t>Khronos</w:t>
      </w:r>
      <w:r w:rsidR="00FC0A07" w:rsidRPr="00E755B6">
        <w:t> Group</w:t>
      </w:r>
      <w:r w:rsidR="00EA38DD" w:rsidRPr="00E755B6">
        <w:t xml:space="preserve"> ou encore le W3C, ainsi qu</w:t>
      </w:r>
      <w:r w:rsidR="001C3EFB" w:rsidRPr="00E755B6">
        <w:t>'avec</w:t>
      </w:r>
      <w:r w:rsidR="00EA38DD" w:rsidRPr="00E755B6">
        <w:t xml:space="preserve"> les communautés </w:t>
      </w:r>
      <w:r w:rsidR="00827C94" w:rsidRPr="00E755B6">
        <w:t>Open</w:t>
      </w:r>
      <w:r w:rsidR="00EA38DD" w:rsidRPr="00E755B6">
        <w:t xml:space="preserve"> </w:t>
      </w:r>
      <w:r w:rsidR="00827C94" w:rsidRPr="00E755B6">
        <w:t>S</w:t>
      </w:r>
      <w:r w:rsidR="00EA38DD" w:rsidRPr="00E755B6">
        <w:t xml:space="preserve">ource </w:t>
      </w:r>
      <w:r w:rsidR="00827C94" w:rsidRPr="00E755B6">
        <w:t>qui comptent d</w:t>
      </w:r>
      <w:r w:rsidR="00EA38DD" w:rsidRPr="00E755B6">
        <w:t xml:space="preserve">es experts </w:t>
      </w:r>
      <w:r w:rsidR="00827C94" w:rsidRPr="00E755B6">
        <w:t>des applications de l</w:t>
      </w:r>
      <w:r w:rsidR="00F8674A" w:rsidRPr="00E755B6">
        <w:t>'</w:t>
      </w:r>
      <w:r w:rsidR="00827C94" w:rsidRPr="00E755B6">
        <w:t>apprentissage automatique très actifs sur le plan de la participation et des</w:t>
      </w:r>
      <w:r w:rsidR="00EA38DD" w:rsidRPr="00E755B6">
        <w:t xml:space="preserve"> contribution</w:t>
      </w:r>
      <w:r w:rsidR="00827C94" w:rsidRPr="00E755B6">
        <w:t>s</w:t>
      </w:r>
      <w:r w:rsidR="00EA38DD" w:rsidRPr="00E755B6">
        <w:t>.</w:t>
      </w:r>
    </w:p>
    <w:p w14:paraId="3D79DD3F" w14:textId="07F2056E" w:rsidR="004B268D" w:rsidRPr="00E755B6" w:rsidRDefault="004B268D" w:rsidP="00240BF1">
      <w:pPr>
        <w:pStyle w:val="enumlev1"/>
      </w:pPr>
      <w:r w:rsidRPr="00E755B6">
        <w:t>5)</w:t>
      </w:r>
      <w:r w:rsidRPr="00E755B6">
        <w:tab/>
      </w:r>
      <w:r w:rsidR="00F61E5A" w:rsidRPr="00E755B6">
        <w:t>La JCA-ML examine périodiquement les feuilles de route de l'UIT-</w:t>
      </w:r>
      <w:r w:rsidR="001C3EFB" w:rsidRPr="00E755B6">
        <w:t>T</w:t>
      </w:r>
      <w:r w:rsidR="00F61E5A" w:rsidRPr="00E755B6">
        <w:t xml:space="preserve"> (par exemple la Feuille de route sur la normalisation de l'intelligence artificielle [UIT-T Y.sup.aisr]) afin de collecter des renseignements pertinents concernant les produits de l'UIT-T</w:t>
      </w:r>
      <w:r w:rsidR="001C3EFB" w:rsidRPr="00E755B6">
        <w:t xml:space="preserve"> et</w:t>
      </w:r>
      <w:r w:rsidR="00F61E5A" w:rsidRPr="00E755B6">
        <w:t xml:space="preserve"> d'autres organisations de normalisation, consortiums et forums concernés</w:t>
      </w:r>
      <w:r w:rsidR="00827C94" w:rsidRPr="00E755B6">
        <w:t xml:space="preserve"> en cours d'élaboration ou publiés</w:t>
      </w:r>
      <w:r w:rsidR="00F61E5A" w:rsidRPr="00E755B6">
        <w:t xml:space="preserve">, y compris en contribuant à une analyse des lacunes </w:t>
      </w:r>
      <w:r w:rsidR="00827C94" w:rsidRPr="00E755B6">
        <w:t>menée par la Commission à laquelle il est rattaché</w:t>
      </w:r>
      <w:r w:rsidR="00F61E5A" w:rsidRPr="00E755B6">
        <w:t>.</w:t>
      </w:r>
    </w:p>
    <w:p w14:paraId="4455105C" w14:textId="28850B79" w:rsidR="00787435" w:rsidRPr="00E755B6" w:rsidRDefault="00787435" w:rsidP="00240BF1">
      <w:pPr>
        <w:pStyle w:val="enumlev1"/>
      </w:pPr>
      <w:r w:rsidRPr="00E755B6">
        <w:t>6)</w:t>
      </w:r>
      <w:r w:rsidRPr="00E755B6">
        <w:tab/>
        <w:t>La JCA-</w:t>
      </w:r>
      <w:r w:rsidR="007A4B9F" w:rsidRPr="00E755B6">
        <w:t xml:space="preserve">ML étudie </w:t>
      </w:r>
      <w:r w:rsidRPr="00E755B6">
        <w:t xml:space="preserve">les travaux menés par les organisations de normalisation, les consortiums et les forums </w:t>
      </w:r>
      <w:r w:rsidR="004E3557" w:rsidRPr="00E755B6">
        <w:t>à utiliser dans le cadre de</w:t>
      </w:r>
      <w:r w:rsidRPr="00E755B6">
        <w:t xml:space="preserve"> sa fonction de coordination et</w:t>
      </w:r>
      <w:r w:rsidR="007A4B9F" w:rsidRPr="00E755B6">
        <w:t xml:space="preserve"> </w:t>
      </w:r>
      <w:r w:rsidRPr="00E755B6">
        <w:t xml:space="preserve">communique des informations sur ces travaux </w:t>
      </w:r>
      <w:r w:rsidR="004E3557" w:rsidRPr="00E755B6">
        <w:t>qui seront utilisées par les</w:t>
      </w:r>
      <w:r w:rsidRPr="00E755B6">
        <w:t xml:space="preserve"> commissions d'études concernées</w:t>
      </w:r>
      <w:r w:rsidR="004E3557" w:rsidRPr="00E755B6">
        <w:t xml:space="preserve"> dans le cadre de</w:t>
      </w:r>
      <w:r w:rsidRPr="00E755B6">
        <w:t xml:space="preserve"> leurs travaux.</w:t>
      </w:r>
    </w:p>
    <w:p w14:paraId="6AB9D7A1" w14:textId="6331801E" w:rsidR="00787435" w:rsidRPr="00E755B6" w:rsidRDefault="00787435" w:rsidP="00240BF1">
      <w:pPr>
        <w:pStyle w:val="enumlev1"/>
      </w:pPr>
      <w:r w:rsidRPr="00E755B6">
        <w:lastRenderedPageBreak/>
        <w:t>7)</w:t>
      </w:r>
      <w:r w:rsidRPr="00E755B6">
        <w:tab/>
      </w:r>
      <w:r w:rsidR="00932561" w:rsidRPr="00E755B6">
        <w:t xml:space="preserve">Pour faciliter </w:t>
      </w:r>
      <w:r w:rsidR="004E3557" w:rsidRPr="00E755B6">
        <w:t>la</w:t>
      </w:r>
      <w:r w:rsidR="0071594E" w:rsidRPr="00E755B6">
        <w:t xml:space="preserve"> </w:t>
      </w:r>
      <w:r w:rsidRPr="00E755B6">
        <w:t xml:space="preserve">coordination interne </w:t>
      </w:r>
      <w:r w:rsidR="004E3557" w:rsidRPr="00E755B6">
        <w:t xml:space="preserve">au sein </w:t>
      </w:r>
      <w:r w:rsidRPr="00E755B6">
        <w:t xml:space="preserve">de </w:t>
      </w:r>
      <w:r w:rsidR="00932561" w:rsidRPr="00E755B6">
        <w:t xml:space="preserve">l'UIT-T, </w:t>
      </w:r>
      <w:r w:rsidRPr="00E755B6">
        <w:t>la JCA-</w:t>
      </w:r>
      <w:r w:rsidR="00932561" w:rsidRPr="00E755B6">
        <w:t xml:space="preserve">ML invite les </w:t>
      </w:r>
      <w:r w:rsidRPr="00E755B6">
        <w:t xml:space="preserve">représentants </w:t>
      </w:r>
      <w:r w:rsidR="00932561" w:rsidRPr="00E755B6">
        <w:t xml:space="preserve">de toutes les </w:t>
      </w:r>
      <w:r w:rsidRPr="00E755B6">
        <w:t xml:space="preserve">commissions d'études et </w:t>
      </w:r>
      <w:r w:rsidR="004E3557" w:rsidRPr="00E755B6">
        <w:t xml:space="preserve">de tous </w:t>
      </w:r>
      <w:r w:rsidR="004E4A64" w:rsidRPr="00E755B6">
        <w:t>les</w:t>
      </w:r>
      <w:r w:rsidR="00932561" w:rsidRPr="00E755B6">
        <w:t xml:space="preserve"> groupes spécialisés </w:t>
      </w:r>
      <w:r w:rsidR="004E4A64" w:rsidRPr="00E755B6">
        <w:t>de l'UIT</w:t>
      </w:r>
      <w:r w:rsidR="00EE38CA" w:rsidRPr="00E755B6">
        <w:t>-</w:t>
      </w:r>
      <w:r w:rsidR="004E4A64" w:rsidRPr="00E755B6">
        <w:t xml:space="preserve">T </w:t>
      </w:r>
      <w:r w:rsidR="00932561" w:rsidRPr="00E755B6">
        <w:t>à ses réunions</w:t>
      </w:r>
      <w:r w:rsidRPr="00E755B6">
        <w:t>.</w:t>
      </w:r>
    </w:p>
    <w:p w14:paraId="2FB86018" w14:textId="54331D76" w:rsidR="00787435" w:rsidRPr="00E755B6" w:rsidRDefault="00787435" w:rsidP="00240BF1">
      <w:pPr>
        <w:pStyle w:val="enumlev1"/>
      </w:pPr>
      <w:r w:rsidRPr="00E755B6">
        <w:t>8)</w:t>
      </w:r>
      <w:r w:rsidRPr="00E755B6">
        <w:tab/>
        <w:t xml:space="preserve">Pour </w:t>
      </w:r>
      <w:r w:rsidR="004E3557" w:rsidRPr="00E755B6">
        <w:t>favoriser la</w:t>
      </w:r>
      <w:r w:rsidRPr="00E755B6">
        <w:t xml:space="preserve"> collaboration extérieure, la JCA-</w:t>
      </w:r>
      <w:r w:rsidR="0071594E" w:rsidRPr="00E755B6">
        <w:t xml:space="preserve">ML </w:t>
      </w:r>
      <w:r w:rsidRPr="00E755B6">
        <w:t>invite à participer à ses travaux des représentants d'autres organisations de normalisation, d'organisations régionales ou nationales, de consortiums et de forums concernés.</w:t>
      </w:r>
    </w:p>
    <w:p w14:paraId="778653D2" w14:textId="177887FC" w:rsidR="00787435" w:rsidRPr="00E755B6" w:rsidRDefault="00787435" w:rsidP="00240BF1">
      <w:pPr>
        <w:pStyle w:val="Heading1"/>
      </w:pPr>
      <w:r w:rsidRPr="00E755B6">
        <w:t>3</w:t>
      </w:r>
      <w:r w:rsidRPr="00E755B6">
        <w:tab/>
        <w:t>Appui administratif</w:t>
      </w:r>
    </w:p>
    <w:p w14:paraId="774A94EC" w14:textId="47FE2A35" w:rsidR="00787435" w:rsidRPr="00E755B6" w:rsidRDefault="00787435" w:rsidP="00240BF1">
      <w:pPr>
        <w:rPr>
          <w:szCs w:val="24"/>
        </w:rPr>
      </w:pPr>
      <w:bookmarkStart w:id="10" w:name="lt_pId106"/>
      <w:r w:rsidRPr="00E755B6">
        <w:rPr>
          <w:szCs w:val="24"/>
        </w:rPr>
        <w:t>Le Bureau de la normalisation des télécommunications (TSB) de l'UIT</w:t>
      </w:r>
      <w:r w:rsidRPr="00E755B6">
        <w:rPr>
          <w:szCs w:val="24"/>
        </w:rPr>
        <w:noBreakHyphen/>
        <w:t>T fourni</w:t>
      </w:r>
      <w:r w:rsidR="003E3A6E" w:rsidRPr="00E755B6">
        <w:rPr>
          <w:szCs w:val="24"/>
        </w:rPr>
        <w:t>t</w:t>
      </w:r>
      <w:r w:rsidRPr="00E755B6">
        <w:rPr>
          <w:szCs w:val="24"/>
        </w:rPr>
        <w:t xml:space="preserve"> à la JCA-</w:t>
      </w:r>
      <w:r w:rsidR="00351217" w:rsidRPr="00E755B6">
        <w:rPr>
          <w:szCs w:val="24"/>
        </w:rPr>
        <w:t xml:space="preserve">ML </w:t>
      </w:r>
      <w:r w:rsidRPr="00E755B6">
        <w:rPr>
          <w:szCs w:val="24"/>
        </w:rPr>
        <w:t>les services de secrétariat et les installations dont elle a besoin</w:t>
      </w:r>
      <w:r w:rsidR="00351217" w:rsidRPr="00E755B6">
        <w:rPr>
          <w:szCs w:val="24"/>
        </w:rPr>
        <w:t xml:space="preserve"> pour ses activités</w:t>
      </w:r>
      <w:r w:rsidRPr="00E755B6">
        <w:rPr>
          <w:szCs w:val="24"/>
        </w:rPr>
        <w:t>, dans les limites des ressources disponibles.</w:t>
      </w:r>
      <w:bookmarkEnd w:id="10"/>
    </w:p>
    <w:p w14:paraId="45DAB342" w14:textId="05C5DD95" w:rsidR="00787435" w:rsidRPr="00E755B6" w:rsidRDefault="00787435" w:rsidP="00240BF1">
      <w:pPr>
        <w:pStyle w:val="Heading1"/>
      </w:pPr>
      <w:r w:rsidRPr="00E755B6">
        <w:t>4</w:t>
      </w:r>
      <w:r w:rsidRPr="00E755B6">
        <w:tab/>
      </w:r>
      <w:bookmarkStart w:id="11" w:name="lt_pId108"/>
      <w:r w:rsidRPr="00E755B6">
        <w:t>Réunions</w:t>
      </w:r>
      <w:bookmarkEnd w:id="11"/>
    </w:p>
    <w:p w14:paraId="63CE2C4C" w14:textId="351331B0" w:rsidR="00787435" w:rsidRPr="00E755B6" w:rsidRDefault="00787435" w:rsidP="00240BF1">
      <w:bookmarkStart w:id="12" w:name="lt_pId109"/>
      <w:r w:rsidRPr="00E755B6">
        <w:t>La JCA-</w:t>
      </w:r>
      <w:r w:rsidR="00957A2D" w:rsidRPr="00E755B6">
        <w:t>ML</w:t>
      </w:r>
      <w:r w:rsidR="00957A2D" w:rsidRPr="00E755B6" w:rsidDel="00E907B3">
        <w:t xml:space="preserve"> </w:t>
      </w:r>
      <w:r w:rsidR="00957A2D" w:rsidRPr="00E755B6">
        <w:t xml:space="preserve">se réunit trois fois par an pour examiner </w:t>
      </w:r>
      <w:r w:rsidR="00D10AAE" w:rsidRPr="00E755B6">
        <w:t>d</w:t>
      </w:r>
      <w:r w:rsidR="00957A2D" w:rsidRPr="00E755B6">
        <w:t xml:space="preserve">es </w:t>
      </w:r>
      <w:r w:rsidR="004E3557" w:rsidRPr="00E755B6">
        <w:t>éléments nouveaux</w:t>
      </w:r>
      <w:r w:rsidR="00D10AAE" w:rsidRPr="00E755B6">
        <w:t xml:space="preserve"> et </w:t>
      </w:r>
      <w:r w:rsidR="004E3557" w:rsidRPr="00E755B6">
        <w:t xml:space="preserve">des </w:t>
      </w:r>
      <w:r w:rsidR="00D10AAE" w:rsidRPr="00E755B6">
        <w:t xml:space="preserve">rapports </w:t>
      </w:r>
      <w:r w:rsidR="004E3557" w:rsidRPr="00E755B6">
        <w:t xml:space="preserve">présentés </w:t>
      </w:r>
      <w:r w:rsidR="00D10AAE" w:rsidRPr="00E755B6">
        <w:t>par différentes parties. La JCA-ML mènera</w:t>
      </w:r>
      <w:r w:rsidRPr="00E755B6">
        <w:t xml:space="preserve"> ses travaux par voie électronique au moyen de téléconférences ainsi que de réunions physiques, selon les besoins.</w:t>
      </w:r>
      <w:bookmarkEnd w:id="12"/>
      <w:r w:rsidRPr="00E755B6">
        <w:t xml:space="preserve"> </w:t>
      </w:r>
      <w:bookmarkStart w:id="13" w:name="lt_pId110"/>
      <w:r w:rsidRPr="00E755B6">
        <w:t>La tenue des réunions sera déterminée par la JCA-</w:t>
      </w:r>
      <w:r w:rsidR="00D10AAE" w:rsidRPr="00E755B6">
        <w:t>ML</w:t>
      </w:r>
      <w:r w:rsidR="00D10AAE" w:rsidRPr="00E755B6" w:rsidDel="00E907B3">
        <w:t xml:space="preserve"> </w:t>
      </w:r>
      <w:r w:rsidRPr="00E755B6">
        <w:t>et sera annoncée aux participants et publiée sur la page web de l'UIT</w:t>
      </w:r>
      <w:r w:rsidRPr="00E755B6">
        <w:noBreakHyphen/>
        <w:t>T</w:t>
      </w:r>
      <w:bookmarkEnd w:id="13"/>
      <w:r w:rsidRPr="00E755B6">
        <w:t xml:space="preserve">. </w:t>
      </w:r>
      <w:r w:rsidR="00D10AAE" w:rsidRPr="00E755B6">
        <w:t xml:space="preserve">Les réunions en ligne et en présentiel se tiendront généralement </w:t>
      </w:r>
      <w:r w:rsidR="004E3557" w:rsidRPr="00E755B6">
        <w:t xml:space="preserve">en même temps que les réunions de </w:t>
      </w:r>
      <w:r w:rsidR="00D10AAE" w:rsidRPr="00E755B6">
        <w:t xml:space="preserve">la CE 13, à laquelle </w:t>
      </w:r>
      <w:r w:rsidR="00BA56C7" w:rsidRPr="00E755B6">
        <w:t xml:space="preserve">la JCA-ML </w:t>
      </w:r>
      <w:r w:rsidR="00D10AAE" w:rsidRPr="00E755B6">
        <w:t xml:space="preserve">est rattachée, et entre les réunions de </w:t>
      </w:r>
      <w:r w:rsidR="00BA56C7" w:rsidRPr="00E755B6">
        <w:t>la CE 13</w:t>
      </w:r>
      <w:r w:rsidRPr="00E755B6">
        <w:t>.</w:t>
      </w:r>
    </w:p>
    <w:p w14:paraId="34234065" w14:textId="4B46C878" w:rsidR="00787435" w:rsidRPr="00E755B6" w:rsidRDefault="00787435" w:rsidP="00240BF1">
      <w:pPr>
        <w:pStyle w:val="Heading1"/>
      </w:pPr>
      <w:r w:rsidRPr="00E755B6">
        <w:t>5</w:t>
      </w:r>
      <w:r w:rsidRPr="00E755B6">
        <w:tab/>
      </w:r>
      <w:bookmarkStart w:id="14" w:name="lt_pId112"/>
      <w:r w:rsidRPr="00E755B6">
        <w:t>Rattachement et rapports d'activité</w:t>
      </w:r>
      <w:bookmarkEnd w:id="14"/>
    </w:p>
    <w:p w14:paraId="476A333D" w14:textId="455B2725" w:rsidR="00787435" w:rsidRPr="00E755B6" w:rsidRDefault="00787435" w:rsidP="00240BF1">
      <w:bookmarkStart w:id="15" w:name="lt_pId113"/>
      <w:r w:rsidRPr="00E755B6">
        <w:t>La JCA-</w:t>
      </w:r>
      <w:r w:rsidR="00C5797E" w:rsidRPr="00E755B6">
        <w:t xml:space="preserve">ML </w:t>
      </w:r>
      <w:r w:rsidR="00890879" w:rsidRPr="00E755B6">
        <w:t>rend compte</w:t>
      </w:r>
      <w:r w:rsidRPr="00E755B6">
        <w:t xml:space="preserve"> </w:t>
      </w:r>
      <w:r w:rsidR="00C5797E" w:rsidRPr="00E755B6">
        <w:t>de ses activités à la Commission d'études 13</w:t>
      </w:r>
      <w:r w:rsidR="0062271E" w:rsidRPr="00E755B6">
        <w:t>,</w:t>
      </w:r>
      <w:r w:rsidR="00C5797E" w:rsidRPr="00E755B6">
        <w:t xml:space="preserve"> </w:t>
      </w:r>
      <w:r w:rsidR="00890879" w:rsidRPr="00E755B6">
        <w:t xml:space="preserve">qui est responsable </w:t>
      </w:r>
      <w:r w:rsidR="00C5797E" w:rsidRPr="00E755B6">
        <w:t>de la JCA</w:t>
      </w:r>
      <w:r w:rsidR="00890879" w:rsidRPr="00E755B6">
        <w:t>,</w:t>
      </w:r>
      <w:r w:rsidR="00C5797E" w:rsidRPr="00E755B6">
        <w:t xml:space="preserve"> </w:t>
      </w:r>
      <w:r w:rsidR="00890879" w:rsidRPr="00E755B6">
        <w:t xml:space="preserve">lors de </w:t>
      </w:r>
      <w:r w:rsidR="00C5797E" w:rsidRPr="00E755B6">
        <w:t xml:space="preserve">ses réunions. </w:t>
      </w:r>
      <w:bookmarkEnd w:id="15"/>
      <w:r w:rsidRPr="00E755B6">
        <w:t xml:space="preserve">Des rapports d'activité et des propositions seront envoyés aux commissions d'études concernées en fonction des besoins, conformément au </w:t>
      </w:r>
      <w:r w:rsidR="003C403A" w:rsidRPr="00E755B6">
        <w:t>paragraphe</w:t>
      </w:r>
      <w:r w:rsidR="0062271E" w:rsidRPr="00E755B6">
        <w:t> </w:t>
      </w:r>
      <w:r w:rsidRPr="00E755B6">
        <w:t>5</w:t>
      </w:r>
      <w:r w:rsidR="0062271E" w:rsidRPr="00E755B6">
        <w:t>.7</w:t>
      </w:r>
      <w:r w:rsidRPr="00E755B6">
        <w:t xml:space="preserve"> de la Recommandation UIT-T A.1.</w:t>
      </w:r>
    </w:p>
    <w:p w14:paraId="505D7E7D" w14:textId="4F056709" w:rsidR="00787435" w:rsidRPr="00E755B6" w:rsidRDefault="00046C34" w:rsidP="00240BF1">
      <w:pPr>
        <w:pStyle w:val="Heading1"/>
      </w:pPr>
      <w:r w:rsidRPr="00E755B6">
        <w:t>6</w:t>
      </w:r>
      <w:r w:rsidR="00787435" w:rsidRPr="00E755B6">
        <w:tab/>
        <w:t>Durée</w:t>
      </w:r>
    </w:p>
    <w:p w14:paraId="26CA7A3F" w14:textId="43FBD60C" w:rsidR="00787435" w:rsidRPr="00E755B6" w:rsidRDefault="00046C34" w:rsidP="00240BF1">
      <w:bookmarkStart w:id="16" w:name="lt_pId118"/>
      <w:r w:rsidRPr="00E755B6">
        <w:t xml:space="preserve">Le maintien ou </w:t>
      </w:r>
      <w:r w:rsidR="00890879" w:rsidRPr="00E755B6">
        <w:t xml:space="preserve">non en activité </w:t>
      </w:r>
      <w:r w:rsidRPr="00E755B6">
        <w:t xml:space="preserve">de la JCA-ML doit </w:t>
      </w:r>
      <w:r w:rsidR="00890879" w:rsidRPr="00E755B6">
        <w:t xml:space="preserve">être réexaminé </w:t>
      </w:r>
      <w:r w:rsidRPr="00E755B6">
        <w:t>d'ici la fin 2024</w:t>
      </w:r>
      <w:r w:rsidR="00E755B6" w:rsidRPr="00E755B6">
        <w:t xml:space="preserve"> </w:t>
      </w:r>
      <w:r w:rsidR="00890879" w:rsidRPr="00E755B6">
        <w:t>ou</w:t>
      </w:r>
      <w:r w:rsidRPr="00E755B6">
        <w:t xml:space="preserve"> la JCA-ML peut </w:t>
      </w:r>
      <w:r w:rsidR="00890879" w:rsidRPr="00E755B6">
        <w:t>être dissoute par l</w:t>
      </w:r>
      <w:r w:rsidR="00F8674A" w:rsidRPr="00E755B6">
        <w:t>'</w:t>
      </w:r>
      <w:r w:rsidR="00890879" w:rsidRPr="00E755B6">
        <w:t xml:space="preserve">entité de rattachement </w:t>
      </w:r>
      <w:r w:rsidRPr="00E755B6">
        <w:t>conformément au paragraphe </w:t>
      </w:r>
      <w:r w:rsidR="00787435" w:rsidRPr="00E755B6">
        <w:t>5.10 de la Recommandation UIT-T A.1.</w:t>
      </w:r>
      <w:bookmarkEnd w:id="16"/>
    </w:p>
    <w:p w14:paraId="18001667" w14:textId="03714C60" w:rsidR="00787435" w:rsidRPr="00E755B6" w:rsidRDefault="00787435" w:rsidP="00240B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E755B6">
        <w:br w:type="page"/>
      </w:r>
    </w:p>
    <w:p w14:paraId="7DBD9174" w14:textId="77777777" w:rsidR="00F8674A" w:rsidRPr="00E755B6" w:rsidRDefault="00787435" w:rsidP="00240BF1">
      <w:pPr>
        <w:pStyle w:val="AnnexTitle"/>
        <w:rPr>
          <w:bCs/>
          <w:sz w:val="28"/>
        </w:rPr>
      </w:pPr>
      <w:r w:rsidRPr="00E755B6">
        <w:rPr>
          <w:bCs/>
          <w:sz w:val="28"/>
        </w:rPr>
        <w:lastRenderedPageBreak/>
        <w:t xml:space="preserve">ANNEXE </w:t>
      </w:r>
      <w:r w:rsidR="009D2D3F" w:rsidRPr="00E755B6">
        <w:rPr>
          <w:bCs/>
          <w:sz w:val="28"/>
        </w:rPr>
        <w:t>2</w:t>
      </w:r>
    </w:p>
    <w:p w14:paraId="6A6C1B78" w14:textId="0AFBD061" w:rsidR="00787435" w:rsidRPr="00E755B6" w:rsidRDefault="00787435" w:rsidP="00240BF1">
      <w:pPr>
        <w:pStyle w:val="AnnexTitle"/>
        <w:rPr>
          <w:bCs/>
          <w:sz w:val="28"/>
        </w:rPr>
      </w:pPr>
      <w:r w:rsidRPr="00E755B6">
        <w:rPr>
          <w:bCs/>
          <w:sz w:val="28"/>
        </w:rPr>
        <w:t xml:space="preserve">Projet d'ordre du jour de la </w:t>
      </w:r>
      <w:r w:rsidR="009D2D3F" w:rsidRPr="00E755B6">
        <w:rPr>
          <w:bCs/>
          <w:sz w:val="28"/>
        </w:rPr>
        <w:t>1</w:t>
      </w:r>
      <w:r w:rsidR="00F8674A" w:rsidRPr="00E755B6">
        <w:rPr>
          <w:bCs/>
          <w:sz w:val="28"/>
        </w:rPr>
        <w:t>ère</w:t>
      </w:r>
      <w:r w:rsidR="009D2D3F" w:rsidRPr="00E755B6">
        <w:rPr>
          <w:bCs/>
          <w:sz w:val="28"/>
        </w:rPr>
        <w:t xml:space="preserve"> </w:t>
      </w:r>
      <w:r w:rsidRPr="00E755B6">
        <w:rPr>
          <w:bCs/>
          <w:sz w:val="28"/>
        </w:rPr>
        <w:t>réunion de la JCA-</w:t>
      </w:r>
      <w:r w:rsidR="009D2D3F" w:rsidRPr="00E755B6">
        <w:rPr>
          <w:bCs/>
          <w:sz w:val="28"/>
        </w:rPr>
        <w:t>ML</w:t>
      </w:r>
      <w:r w:rsidRPr="00E755B6">
        <w:rPr>
          <w:bCs/>
          <w:sz w:val="28"/>
        </w:rPr>
        <w:br/>
        <w:t xml:space="preserve">(Genève, </w:t>
      </w:r>
      <w:r w:rsidR="00E411B9" w:rsidRPr="00E755B6">
        <w:rPr>
          <w:bCs/>
          <w:sz w:val="28"/>
        </w:rPr>
        <w:t>16</w:t>
      </w:r>
      <w:r w:rsidRPr="00E755B6">
        <w:rPr>
          <w:bCs/>
          <w:sz w:val="28"/>
        </w:rPr>
        <w:t xml:space="preserve"> mars 2023)</w:t>
      </w:r>
    </w:p>
    <w:p w14:paraId="5066AA94" w14:textId="25807CE4" w:rsidR="00787435" w:rsidRPr="00E755B6" w:rsidRDefault="00787435" w:rsidP="00F8674A">
      <w:pPr>
        <w:pStyle w:val="enumlev1"/>
      </w:pPr>
      <w:r w:rsidRPr="00E755B6">
        <w:t>1</w:t>
      </w:r>
      <w:r w:rsidRPr="00E755B6">
        <w:tab/>
        <w:t>Ouverture de la réunion</w:t>
      </w:r>
      <w:r w:rsidR="009D2D3F" w:rsidRPr="00E755B6">
        <w:t>, accueil et objectifs de la réunion</w:t>
      </w:r>
    </w:p>
    <w:p w14:paraId="0DAABD65" w14:textId="77777777" w:rsidR="00787435" w:rsidRPr="00E755B6" w:rsidRDefault="00787435" w:rsidP="00F8674A">
      <w:pPr>
        <w:pStyle w:val="enumlev1"/>
      </w:pPr>
      <w:r w:rsidRPr="00E755B6">
        <w:t>2</w:t>
      </w:r>
      <w:r w:rsidRPr="00E755B6">
        <w:tab/>
        <w:t>Adoption de l'ordre du jour</w:t>
      </w:r>
    </w:p>
    <w:p w14:paraId="6A30860F" w14:textId="775ACE88" w:rsidR="00787435" w:rsidRPr="00E755B6" w:rsidRDefault="00787435" w:rsidP="00F8674A">
      <w:pPr>
        <w:pStyle w:val="enumlev1"/>
      </w:pPr>
      <w:r w:rsidRPr="00E755B6">
        <w:t>3</w:t>
      </w:r>
      <w:r w:rsidRPr="00E755B6">
        <w:tab/>
        <w:t>Examen du mandat de la JCA-</w:t>
      </w:r>
      <w:r w:rsidR="009D2D3F" w:rsidRPr="00E755B6">
        <w:t>ML</w:t>
      </w:r>
    </w:p>
    <w:p w14:paraId="6293DA65" w14:textId="609D54ED" w:rsidR="00787435" w:rsidRPr="00E755B6" w:rsidRDefault="00787435" w:rsidP="00F8674A">
      <w:pPr>
        <w:pStyle w:val="enumlev1"/>
      </w:pPr>
      <w:r w:rsidRPr="00E755B6">
        <w:t>4</w:t>
      </w:r>
      <w:r w:rsidRPr="00E755B6">
        <w:tab/>
      </w:r>
      <w:r w:rsidR="003176A0" w:rsidRPr="00E755B6">
        <w:t>M</w:t>
      </w:r>
      <w:r w:rsidRPr="00E755B6">
        <w:t xml:space="preserve">éthodes </w:t>
      </w:r>
      <w:r w:rsidR="003176A0" w:rsidRPr="00E755B6">
        <w:t xml:space="preserve">et outils </w:t>
      </w:r>
      <w:r w:rsidRPr="00E755B6">
        <w:t>de travail de l</w:t>
      </w:r>
      <w:r w:rsidR="003176A0" w:rsidRPr="00E755B6">
        <w:t>'Activité conjointe de coordination pour mener à bien ses travaux</w:t>
      </w:r>
    </w:p>
    <w:p w14:paraId="3BEAF053" w14:textId="0ECFF68C" w:rsidR="00787435" w:rsidRPr="00E755B6" w:rsidRDefault="00787435" w:rsidP="00F8674A">
      <w:pPr>
        <w:pStyle w:val="enumlev1"/>
        <w:rPr>
          <w:rFonts w:eastAsia="MS Mincho"/>
        </w:rPr>
      </w:pPr>
      <w:bookmarkStart w:id="17" w:name="_Hlk101256097"/>
      <w:r w:rsidRPr="00E755B6">
        <w:rPr>
          <w:rFonts w:eastAsia="MS Mincho"/>
        </w:rPr>
        <w:t>5</w:t>
      </w:r>
      <w:r w:rsidRPr="00E755B6">
        <w:rPr>
          <w:rFonts w:eastAsia="MS Mincho"/>
        </w:rPr>
        <w:tab/>
      </w:r>
      <w:r w:rsidR="00274E79" w:rsidRPr="00E755B6">
        <w:rPr>
          <w:rFonts w:eastAsia="MS Mincho"/>
        </w:rPr>
        <w:t xml:space="preserve">Désignation des représentants des Commissions d'études, organisations de normalisation et forums auprès de la </w:t>
      </w:r>
      <w:r w:rsidRPr="00E755B6">
        <w:rPr>
          <w:rFonts w:eastAsia="MS Mincho"/>
        </w:rPr>
        <w:t>JCA-ML</w:t>
      </w:r>
    </w:p>
    <w:p w14:paraId="68DB9E40" w14:textId="5B32024B" w:rsidR="00787435" w:rsidRPr="00E755B6" w:rsidRDefault="00787435" w:rsidP="00F8674A">
      <w:pPr>
        <w:pStyle w:val="enumlev1"/>
      </w:pPr>
      <w:r w:rsidRPr="00E755B6">
        <w:t>6</w:t>
      </w:r>
      <w:r w:rsidRPr="00E755B6">
        <w:tab/>
      </w:r>
      <w:r w:rsidRPr="00E755B6">
        <w:rPr>
          <w:color w:val="000000"/>
        </w:rPr>
        <w:t>Examen des contributions</w:t>
      </w:r>
    </w:p>
    <w:p w14:paraId="39C3D3C0" w14:textId="288EE23F" w:rsidR="00787435" w:rsidRPr="00E755B6" w:rsidRDefault="00787435" w:rsidP="00F8674A">
      <w:pPr>
        <w:pStyle w:val="enumlev1"/>
      </w:pPr>
      <w:r w:rsidRPr="00E755B6">
        <w:rPr>
          <w:rFonts w:eastAsia="MS Mincho"/>
        </w:rPr>
        <w:t>7</w:t>
      </w:r>
      <w:r w:rsidRPr="00E755B6">
        <w:rPr>
          <w:rFonts w:eastAsia="MS Mincho"/>
        </w:rPr>
        <w:tab/>
        <w:t>Examen des activités de normalisation menées par les commissions d'études de l'UIT-T</w:t>
      </w:r>
      <w:r w:rsidR="00FA0DD1" w:rsidRPr="00E755B6">
        <w:rPr>
          <w:rFonts w:eastAsia="MS Mincho"/>
        </w:rPr>
        <w:t xml:space="preserve"> et</w:t>
      </w:r>
      <w:r w:rsidRPr="00E755B6">
        <w:rPr>
          <w:rFonts w:eastAsia="MS Mincho"/>
        </w:rPr>
        <w:t xml:space="preserve"> d'autres organisations de normalisation et forums</w:t>
      </w:r>
      <w:bookmarkEnd w:id="17"/>
    </w:p>
    <w:p w14:paraId="02AE71A9" w14:textId="7632CD99" w:rsidR="00787435" w:rsidRPr="00E755B6" w:rsidRDefault="00787435" w:rsidP="00F8674A">
      <w:pPr>
        <w:pStyle w:val="enumlev1"/>
      </w:pPr>
      <w:r w:rsidRPr="00E755B6">
        <w:rPr>
          <w:rFonts w:eastAsia="MS Mincho"/>
        </w:rPr>
        <w:t>8</w:t>
      </w:r>
      <w:r w:rsidRPr="00E755B6">
        <w:rPr>
          <w:rFonts w:eastAsia="MS Mincho"/>
        </w:rPr>
        <w:tab/>
      </w:r>
      <w:r w:rsidR="000B7975" w:rsidRPr="00E755B6">
        <w:rPr>
          <w:rFonts w:eastAsia="MS Mincho"/>
        </w:rPr>
        <w:t>Futur plan d'action</w:t>
      </w:r>
    </w:p>
    <w:p w14:paraId="794B05DB" w14:textId="4650195C" w:rsidR="00787435" w:rsidRPr="00E755B6" w:rsidRDefault="00787435" w:rsidP="00F8674A">
      <w:pPr>
        <w:pStyle w:val="enumlev1"/>
      </w:pPr>
      <w:r w:rsidRPr="00E755B6">
        <w:t>9</w:t>
      </w:r>
      <w:r w:rsidRPr="00E755B6">
        <w:tab/>
      </w:r>
      <w:r w:rsidRPr="00E755B6">
        <w:rPr>
          <w:color w:val="000000"/>
        </w:rPr>
        <w:t>Approbation des notes de liaison à envoyer</w:t>
      </w:r>
    </w:p>
    <w:p w14:paraId="4E2C9BDF" w14:textId="5262D9AE" w:rsidR="00787435" w:rsidRPr="00E755B6" w:rsidRDefault="00787435" w:rsidP="00F8674A">
      <w:pPr>
        <w:pStyle w:val="enumlev1"/>
      </w:pPr>
      <w:r w:rsidRPr="00E755B6">
        <w:rPr>
          <w:rFonts w:eastAsia="MS Mincho"/>
        </w:rPr>
        <w:t>10</w:t>
      </w:r>
      <w:r w:rsidRPr="00E755B6">
        <w:rPr>
          <w:rFonts w:eastAsia="MS Mincho"/>
        </w:rPr>
        <w:tab/>
      </w:r>
      <w:r w:rsidRPr="00E755B6">
        <w:rPr>
          <w:color w:val="000000"/>
        </w:rPr>
        <w:t>Réunions/manifestations</w:t>
      </w:r>
      <w:r w:rsidRPr="00E755B6">
        <w:rPr>
          <w:rFonts w:eastAsia="MS Mincho"/>
        </w:rPr>
        <w:t xml:space="preserve"> futures</w:t>
      </w:r>
    </w:p>
    <w:p w14:paraId="2064876A" w14:textId="4D34BAA3" w:rsidR="00787435" w:rsidRPr="00E755B6" w:rsidRDefault="00787435" w:rsidP="00F8674A">
      <w:pPr>
        <w:pStyle w:val="enumlev1"/>
      </w:pPr>
      <w:r w:rsidRPr="00E755B6">
        <w:rPr>
          <w:rFonts w:eastAsia="MS Mincho"/>
        </w:rPr>
        <w:t>11</w:t>
      </w:r>
      <w:r w:rsidRPr="00E755B6">
        <w:rPr>
          <w:rFonts w:eastAsia="MS Mincho"/>
        </w:rPr>
        <w:tab/>
        <w:t>Divers</w:t>
      </w:r>
    </w:p>
    <w:p w14:paraId="4BABB956" w14:textId="6CD71387" w:rsidR="00787435" w:rsidRPr="00E755B6" w:rsidRDefault="00787435" w:rsidP="00F8674A">
      <w:pPr>
        <w:pStyle w:val="enumlev1"/>
      </w:pPr>
      <w:r w:rsidRPr="00E755B6">
        <w:t>12</w:t>
      </w:r>
      <w:r w:rsidRPr="00E755B6">
        <w:tab/>
      </w:r>
      <w:r w:rsidRPr="00E755B6">
        <w:rPr>
          <w:color w:val="000000"/>
        </w:rPr>
        <w:t>Clôture de la réunion</w:t>
      </w:r>
    </w:p>
    <w:p w14:paraId="2C8BBE7E" w14:textId="28CF9939" w:rsidR="00787435" w:rsidRPr="00E755B6" w:rsidRDefault="00787435" w:rsidP="00240BF1">
      <w:pPr>
        <w:spacing w:before="360"/>
        <w:jc w:val="center"/>
      </w:pPr>
      <w:r w:rsidRPr="00E755B6">
        <w:t>______________</w:t>
      </w:r>
    </w:p>
    <w:sectPr w:rsidR="00787435" w:rsidRPr="00E755B6" w:rsidSect="00A15179">
      <w:head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E750" w14:textId="77777777" w:rsidR="00651329" w:rsidRDefault="00651329">
      <w:r>
        <w:separator/>
      </w:r>
    </w:p>
  </w:endnote>
  <w:endnote w:type="continuationSeparator" w:id="0">
    <w:p w14:paraId="7F7104A8" w14:textId="77777777" w:rsidR="00651329" w:rsidRDefault="0065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DAA1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AC65" w14:textId="77777777" w:rsidR="00651329" w:rsidRDefault="00651329">
      <w:r>
        <w:t>____________________</w:t>
      </w:r>
    </w:p>
  </w:footnote>
  <w:footnote w:type="continuationSeparator" w:id="0">
    <w:p w14:paraId="3B765600" w14:textId="77777777" w:rsidR="00651329" w:rsidRDefault="0065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555E" w14:textId="78728D9F" w:rsidR="00697BC1" w:rsidRDefault="00260206" w:rsidP="00697BC1">
    <w:pPr>
      <w:pStyle w:val="Header"/>
      <w:rPr>
        <w:noProof/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</w:p>
  <w:p w14:paraId="5DAFF489" w14:textId="2A64CBE4" w:rsidR="004B268D" w:rsidRDefault="004B268D" w:rsidP="00697BC1">
    <w:pPr>
      <w:pStyle w:val="Header"/>
      <w:rPr>
        <w:sz w:val="18"/>
        <w:szCs w:val="16"/>
      </w:rPr>
    </w:pPr>
    <w:r>
      <w:rPr>
        <w:sz w:val="18"/>
        <w:szCs w:val="16"/>
      </w:rPr>
      <w:t>Circulaire TSB 72</w:t>
    </w:r>
  </w:p>
  <w:p w14:paraId="77EEA40B" w14:textId="77777777" w:rsidR="0026343F" w:rsidRPr="00697BC1" w:rsidRDefault="0026343F" w:rsidP="00697BC1">
    <w:pPr>
      <w:pStyle w:val="Header"/>
      <w:rPr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5273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20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4858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24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6CD0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C21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C803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6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463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220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198328">
    <w:abstractNumId w:val="11"/>
  </w:num>
  <w:num w:numId="2" w16cid:durableId="489059813">
    <w:abstractNumId w:val="13"/>
  </w:num>
  <w:num w:numId="3" w16cid:durableId="1561669033">
    <w:abstractNumId w:val="12"/>
  </w:num>
  <w:num w:numId="4" w16cid:durableId="324626060">
    <w:abstractNumId w:val="10"/>
  </w:num>
  <w:num w:numId="5" w16cid:durableId="2023124691">
    <w:abstractNumId w:val="9"/>
  </w:num>
  <w:num w:numId="6" w16cid:durableId="1515418999">
    <w:abstractNumId w:val="7"/>
  </w:num>
  <w:num w:numId="7" w16cid:durableId="1490754553">
    <w:abstractNumId w:val="6"/>
  </w:num>
  <w:num w:numId="8" w16cid:durableId="297994474">
    <w:abstractNumId w:val="5"/>
  </w:num>
  <w:num w:numId="9" w16cid:durableId="1459300084">
    <w:abstractNumId w:val="4"/>
  </w:num>
  <w:num w:numId="10" w16cid:durableId="399989171">
    <w:abstractNumId w:val="8"/>
  </w:num>
  <w:num w:numId="11" w16cid:durableId="928974552">
    <w:abstractNumId w:val="3"/>
  </w:num>
  <w:num w:numId="12" w16cid:durableId="1797872349">
    <w:abstractNumId w:val="2"/>
  </w:num>
  <w:num w:numId="13" w16cid:durableId="1656493373">
    <w:abstractNumId w:val="1"/>
  </w:num>
  <w:num w:numId="14" w16cid:durableId="24368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EB"/>
    <w:rsid w:val="000039EE"/>
    <w:rsid w:val="00005622"/>
    <w:rsid w:val="0002519E"/>
    <w:rsid w:val="00035B43"/>
    <w:rsid w:val="00036F4F"/>
    <w:rsid w:val="00046C34"/>
    <w:rsid w:val="000534EB"/>
    <w:rsid w:val="000758B3"/>
    <w:rsid w:val="00085F5A"/>
    <w:rsid w:val="000B0D96"/>
    <w:rsid w:val="000B59D8"/>
    <w:rsid w:val="000B7975"/>
    <w:rsid w:val="000C1F6B"/>
    <w:rsid w:val="000C25CC"/>
    <w:rsid w:val="000C56BE"/>
    <w:rsid w:val="001026FD"/>
    <w:rsid w:val="001077FD"/>
    <w:rsid w:val="00115DD7"/>
    <w:rsid w:val="00127EB3"/>
    <w:rsid w:val="00146A36"/>
    <w:rsid w:val="00167472"/>
    <w:rsid w:val="00167F92"/>
    <w:rsid w:val="001732EC"/>
    <w:rsid w:val="00173738"/>
    <w:rsid w:val="00194E2A"/>
    <w:rsid w:val="001B06AD"/>
    <w:rsid w:val="001B79A3"/>
    <w:rsid w:val="001C3EFB"/>
    <w:rsid w:val="002152A3"/>
    <w:rsid w:val="00221311"/>
    <w:rsid w:val="00240BF1"/>
    <w:rsid w:val="002427CD"/>
    <w:rsid w:val="00260206"/>
    <w:rsid w:val="0026343F"/>
    <w:rsid w:val="00274E79"/>
    <w:rsid w:val="00284F7C"/>
    <w:rsid w:val="002E395D"/>
    <w:rsid w:val="003131F0"/>
    <w:rsid w:val="003176A0"/>
    <w:rsid w:val="00333A80"/>
    <w:rsid w:val="00337E04"/>
    <w:rsid w:val="00341117"/>
    <w:rsid w:val="00351217"/>
    <w:rsid w:val="003513EF"/>
    <w:rsid w:val="00363D2B"/>
    <w:rsid w:val="00364E95"/>
    <w:rsid w:val="00372875"/>
    <w:rsid w:val="00374F57"/>
    <w:rsid w:val="00392AFA"/>
    <w:rsid w:val="003B1E80"/>
    <w:rsid w:val="003B66E8"/>
    <w:rsid w:val="003C403A"/>
    <w:rsid w:val="003E3A6E"/>
    <w:rsid w:val="003E66AD"/>
    <w:rsid w:val="004033F1"/>
    <w:rsid w:val="00406D6E"/>
    <w:rsid w:val="00414B0C"/>
    <w:rsid w:val="00423C21"/>
    <w:rsid w:val="004257AC"/>
    <w:rsid w:val="0043711B"/>
    <w:rsid w:val="0044171F"/>
    <w:rsid w:val="00463CDE"/>
    <w:rsid w:val="004977C9"/>
    <w:rsid w:val="004B268D"/>
    <w:rsid w:val="004B732E"/>
    <w:rsid w:val="004D51F4"/>
    <w:rsid w:val="004D5E4D"/>
    <w:rsid w:val="004D64E0"/>
    <w:rsid w:val="004E3557"/>
    <w:rsid w:val="004E4A64"/>
    <w:rsid w:val="004F1708"/>
    <w:rsid w:val="0050488F"/>
    <w:rsid w:val="005120A2"/>
    <w:rsid w:val="0051210D"/>
    <w:rsid w:val="005136D2"/>
    <w:rsid w:val="00517A03"/>
    <w:rsid w:val="00594831"/>
    <w:rsid w:val="005A3DD9"/>
    <w:rsid w:val="005A4E28"/>
    <w:rsid w:val="005A771A"/>
    <w:rsid w:val="005B1DFC"/>
    <w:rsid w:val="005D095F"/>
    <w:rsid w:val="00601682"/>
    <w:rsid w:val="00603470"/>
    <w:rsid w:val="00617D08"/>
    <w:rsid w:val="0062271E"/>
    <w:rsid w:val="00625111"/>
    <w:rsid w:val="00625E79"/>
    <w:rsid w:val="006333F7"/>
    <w:rsid w:val="00641B28"/>
    <w:rsid w:val="006427A1"/>
    <w:rsid w:val="00644741"/>
    <w:rsid w:val="00651329"/>
    <w:rsid w:val="00655642"/>
    <w:rsid w:val="0066508D"/>
    <w:rsid w:val="00697BC1"/>
    <w:rsid w:val="006A6FFE"/>
    <w:rsid w:val="006C5A91"/>
    <w:rsid w:val="006F25A9"/>
    <w:rsid w:val="006F7D9D"/>
    <w:rsid w:val="0071594E"/>
    <w:rsid w:val="00716BBC"/>
    <w:rsid w:val="007321BC"/>
    <w:rsid w:val="007535EB"/>
    <w:rsid w:val="00760063"/>
    <w:rsid w:val="00775E4B"/>
    <w:rsid w:val="00787435"/>
    <w:rsid w:val="0079553B"/>
    <w:rsid w:val="00795679"/>
    <w:rsid w:val="007A40FE"/>
    <w:rsid w:val="007A4B9F"/>
    <w:rsid w:val="007F7F9B"/>
    <w:rsid w:val="00810105"/>
    <w:rsid w:val="008157E0"/>
    <w:rsid w:val="00827C94"/>
    <w:rsid w:val="00837C9E"/>
    <w:rsid w:val="0084712E"/>
    <w:rsid w:val="00850477"/>
    <w:rsid w:val="00854E1D"/>
    <w:rsid w:val="00887FA6"/>
    <w:rsid w:val="00890879"/>
    <w:rsid w:val="0089704D"/>
    <w:rsid w:val="008A1F58"/>
    <w:rsid w:val="008C4397"/>
    <w:rsid w:val="008C465A"/>
    <w:rsid w:val="008F0A3B"/>
    <w:rsid w:val="008F2C9B"/>
    <w:rsid w:val="008F2E7D"/>
    <w:rsid w:val="00923CD6"/>
    <w:rsid w:val="00932561"/>
    <w:rsid w:val="00935AA8"/>
    <w:rsid w:val="00951064"/>
    <w:rsid w:val="00952A96"/>
    <w:rsid w:val="00957A2D"/>
    <w:rsid w:val="00971C9A"/>
    <w:rsid w:val="009A0964"/>
    <w:rsid w:val="009C0D87"/>
    <w:rsid w:val="009D2D3F"/>
    <w:rsid w:val="009D51FA"/>
    <w:rsid w:val="009F1E23"/>
    <w:rsid w:val="00A15179"/>
    <w:rsid w:val="00A451BF"/>
    <w:rsid w:val="00A51537"/>
    <w:rsid w:val="00A5280F"/>
    <w:rsid w:val="00A5645A"/>
    <w:rsid w:val="00A60FC1"/>
    <w:rsid w:val="00A915EF"/>
    <w:rsid w:val="00A97C37"/>
    <w:rsid w:val="00AA131B"/>
    <w:rsid w:val="00AC37B5"/>
    <w:rsid w:val="00AC3BC2"/>
    <w:rsid w:val="00AD752F"/>
    <w:rsid w:val="00AF08A4"/>
    <w:rsid w:val="00B07EBC"/>
    <w:rsid w:val="00B27B41"/>
    <w:rsid w:val="00B42659"/>
    <w:rsid w:val="00B67505"/>
    <w:rsid w:val="00B8573E"/>
    <w:rsid w:val="00BA56C7"/>
    <w:rsid w:val="00BB24C0"/>
    <w:rsid w:val="00BB29DE"/>
    <w:rsid w:val="00BD6ECF"/>
    <w:rsid w:val="00BE740D"/>
    <w:rsid w:val="00BF429C"/>
    <w:rsid w:val="00C23A4A"/>
    <w:rsid w:val="00C26F2E"/>
    <w:rsid w:val="00C302E3"/>
    <w:rsid w:val="00C45376"/>
    <w:rsid w:val="00C5797E"/>
    <w:rsid w:val="00C9028F"/>
    <w:rsid w:val="00CA0416"/>
    <w:rsid w:val="00CB1125"/>
    <w:rsid w:val="00CB5D00"/>
    <w:rsid w:val="00CD042E"/>
    <w:rsid w:val="00CF2560"/>
    <w:rsid w:val="00CF5B46"/>
    <w:rsid w:val="00D10AAE"/>
    <w:rsid w:val="00D160CA"/>
    <w:rsid w:val="00D26722"/>
    <w:rsid w:val="00D35972"/>
    <w:rsid w:val="00D46B68"/>
    <w:rsid w:val="00D511C3"/>
    <w:rsid w:val="00D542A5"/>
    <w:rsid w:val="00D54E57"/>
    <w:rsid w:val="00D96310"/>
    <w:rsid w:val="00DC3D47"/>
    <w:rsid w:val="00DD7577"/>
    <w:rsid w:val="00DD77DA"/>
    <w:rsid w:val="00DF1556"/>
    <w:rsid w:val="00E06C61"/>
    <w:rsid w:val="00E13DB3"/>
    <w:rsid w:val="00E2408B"/>
    <w:rsid w:val="00E411B9"/>
    <w:rsid w:val="00E42380"/>
    <w:rsid w:val="00E45AFB"/>
    <w:rsid w:val="00E62CEA"/>
    <w:rsid w:val="00E72AE1"/>
    <w:rsid w:val="00E755B6"/>
    <w:rsid w:val="00EA38DD"/>
    <w:rsid w:val="00EB1ADA"/>
    <w:rsid w:val="00ED64FE"/>
    <w:rsid w:val="00ED6A7A"/>
    <w:rsid w:val="00EE38CA"/>
    <w:rsid w:val="00EE4C36"/>
    <w:rsid w:val="00EF6F59"/>
    <w:rsid w:val="00F346CE"/>
    <w:rsid w:val="00F34F98"/>
    <w:rsid w:val="00F40540"/>
    <w:rsid w:val="00F4329F"/>
    <w:rsid w:val="00F61520"/>
    <w:rsid w:val="00F61E5A"/>
    <w:rsid w:val="00F67402"/>
    <w:rsid w:val="00F766A2"/>
    <w:rsid w:val="00F8674A"/>
    <w:rsid w:val="00F914AA"/>
    <w:rsid w:val="00F9451D"/>
    <w:rsid w:val="00FA0DD1"/>
    <w:rsid w:val="00FC0A07"/>
    <w:rsid w:val="00FE4492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5F053"/>
  <w15:docId w15:val="{61B4B428-52F6-4F6C-BC0B-27BA4513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14AA"/>
    <w:rPr>
      <w:color w:val="605E5C"/>
      <w:shd w:val="clear" w:color="auto" w:fill="E1DFDD"/>
    </w:rPr>
  </w:style>
  <w:style w:type="table" w:styleId="TableGrid">
    <w:name w:val="Table Grid"/>
    <w:basedOn w:val="TableNormal"/>
    <w:rsid w:val="008F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F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7435"/>
    <w:rPr>
      <w:rFonts w:asciiTheme="minorHAnsi" w:hAnsiTheme="minorHAnsi"/>
      <w:b/>
      <w:sz w:val="24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4B268D"/>
    <w:rPr>
      <w:rFonts w:asciiTheme="minorHAnsi" w:hAnsiTheme="minorHAnsi"/>
      <w:sz w:val="24"/>
      <w:lang w:val="fr-FR" w:eastAsia="en-US"/>
    </w:rPr>
  </w:style>
  <w:style w:type="character" w:customStyle="1" w:styleId="enumlev1Char">
    <w:name w:val="enumlev1 Char"/>
    <w:link w:val="enumlev1"/>
    <w:locked/>
    <w:rsid w:val="00787435"/>
    <w:rPr>
      <w:rFonts w:asciiTheme="minorHAnsi" w:hAnsiTheme="minorHAnsi"/>
      <w:sz w:val="24"/>
      <w:lang w:val="fr-FR" w:eastAsia="en-US"/>
    </w:rPr>
  </w:style>
  <w:style w:type="paragraph" w:styleId="Revision">
    <w:name w:val="Revision"/>
    <w:hidden/>
    <w:uiPriority w:val="99"/>
    <w:semiHidden/>
    <w:rsid w:val="00DF1556"/>
    <w:rPr>
      <w:rFonts w:asciiTheme="minorHAnsi" w:hAnsiTheme="minorHAnsi"/>
      <w:sz w:val="24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4F170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A09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09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0964"/>
    <w:rPr>
      <w:rFonts w:asciiTheme="minorHAnsi" w:hAnsiTheme="minorHAns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0964"/>
    <w:rPr>
      <w:rFonts w:asciiTheme="minorHAnsi" w:hAnsiTheme="minorHAns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ITU-T/jca/ml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jcaml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21</TotalTime>
  <Pages>5</Pages>
  <Words>1362</Words>
  <Characters>7713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UNION INTERNATIONALE DES TÉLÉCOMMUNICATIONS</vt:lpstr>
      <vt:lpstr>UNION INTERNATIONALE DES TÉLÉCOMMUNICATIONS</vt:lpstr>
    </vt:vector>
  </TitlesOfParts>
  <Company>ITU</Company>
  <LinksUpToDate>false</LinksUpToDate>
  <CharactersWithSpaces>9057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9</cp:revision>
  <cp:lastPrinted>2023-04-05T07:14:00Z</cp:lastPrinted>
  <dcterms:created xsi:type="dcterms:W3CDTF">2023-02-15T12:58:00Z</dcterms:created>
  <dcterms:modified xsi:type="dcterms:W3CDTF">2023-04-05T07:15:00Z</dcterms:modified>
</cp:coreProperties>
</file>