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0C602C" w14:paraId="0C2C0F0E" w14:textId="77777777" w:rsidTr="007B6316">
        <w:trPr>
          <w:cantSplit/>
          <w:trHeight w:val="340"/>
        </w:trPr>
        <w:tc>
          <w:tcPr>
            <w:tcW w:w="1410" w:type="dxa"/>
            <w:gridSpan w:val="2"/>
          </w:tcPr>
          <w:p w14:paraId="1BD38234" w14:textId="77777777" w:rsidR="007B6316" w:rsidRPr="000C602C" w:rsidRDefault="007B6316" w:rsidP="00303D62">
            <w:pPr>
              <w:tabs>
                <w:tab w:val="left" w:pos="4111"/>
              </w:tabs>
              <w:spacing w:before="10"/>
              <w:ind w:left="57"/>
              <w:rPr>
                <w:sz w:val="22"/>
                <w:lang w:val="es-ES"/>
              </w:rPr>
            </w:pPr>
            <w:r w:rsidRPr="000C602C">
              <w:rPr>
                <w:noProof/>
                <w:lang w:val="es-ES" w:eastAsia="zh-CN"/>
              </w:rPr>
              <w:drawing>
                <wp:inline distT="0" distB="0" distL="0" distR="0" wp14:anchorId="39321E76" wp14:editId="52C7770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C36B78C" w14:textId="77777777" w:rsidR="007B6316" w:rsidRPr="000C602C" w:rsidRDefault="007B6316" w:rsidP="007B6316">
            <w:pPr>
              <w:spacing w:before="0"/>
              <w:rPr>
                <w:rFonts w:cs="Times New Roman Bold"/>
                <w:b/>
                <w:bCs/>
                <w:smallCaps/>
                <w:sz w:val="26"/>
                <w:szCs w:val="26"/>
                <w:lang w:val="es-ES"/>
              </w:rPr>
            </w:pPr>
            <w:r w:rsidRPr="000C602C">
              <w:rPr>
                <w:rFonts w:cs="Times New Roman Bold"/>
                <w:b/>
                <w:bCs/>
                <w:smallCaps/>
                <w:sz w:val="36"/>
                <w:szCs w:val="36"/>
                <w:lang w:val="es-ES"/>
              </w:rPr>
              <w:t>Unión Internacional de Telecomunicaciones</w:t>
            </w:r>
          </w:p>
          <w:p w14:paraId="7A2C2FA0" w14:textId="77777777" w:rsidR="007B6316" w:rsidRPr="000C602C" w:rsidRDefault="007B6316" w:rsidP="007B6316">
            <w:pPr>
              <w:spacing w:before="0"/>
              <w:rPr>
                <w:lang w:val="es-ES"/>
              </w:rPr>
            </w:pPr>
            <w:r w:rsidRPr="000C602C">
              <w:rPr>
                <w:rFonts w:cs="Times New Roman Bold"/>
                <w:b/>
                <w:bCs/>
                <w:smallCaps/>
                <w:sz w:val="28"/>
                <w:szCs w:val="28"/>
                <w:lang w:val="es-ES"/>
              </w:rPr>
              <w:t>Oficina</w:t>
            </w:r>
            <w:r w:rsidRPr="000C602C">
              <w:rPr>
                <w:rFonts w:cs="Times New Roman Bold"/>
                <w:b/>
                <w:bCs/>
                <w:iCs/>
                <w:smallCaps/>
                <w:sz w:val="22"/>
                <w:szCs w:val="22"/>
                <w:lang w:val="es-ES"/>
              </w:rPr>
              <w:t xml:space="preserve"> </w:t>
            </w:r>
            <w:r w:rsidRPr="000C602C">
              <w:rPr>
                <w:rFonts w:cs="Times New Roman Bold"/>
                <w:b/>
                <w:bCs/>
                <w:iCs/>
                <w:smallCaps/>
                <w:sz w:val="28"/>
                <w:szCs w:val="28"/>
                <w:lang w:val="es-ES"/>
              </w:rPr>
              <w:t>de Normalización de las Telecomunicaciones</w:t>
            </w:r>
          </w:p>
        </w:tc>
      </w:tr>
      <w:tr w:rsidR="007B6316" w:rsidRPr="000C602C" w14:paraId="1D33F62C" w14:textId="77777777" w:rsidTr="00303D62">
        <w:trPr>
          <w:cantSplit/>
          <w:trHeight w:val="340"/>
        </w:trPr>
        <w:tc>
          <w:tcPr>
            <w:tcW w:w="993" w:type="dxa"/>
          </w:tcPr>
          <w:p w14:paraId="114A3E5E" w14:textId="77777777" w:rsidR="007B6316" w:rsidRPr="000C602C" w:rsidRDefault="007B6316" w:rsidP="00303D62">
            <w:pPr>
              <w:tabs>
                <w:tab w:val="left" w:pos="4111"/>
              </w:tabs>
              <w:spacing w:before="10"/>
              <w:ind w:left="57"/>
              <w:rPr>
                <w:b/>
                <w:bCs/>
                <w:sz w:val="22"/>
                <w:lang w:val="es-ES"/>
              </w:rPr>
            </w:pPr>
          </w:p>
        </w:tc>
        <w:tc>
          <w:tcPr>
            <w:tcW w:w="3884" w:type="dxa"/>
            <w:gridSpan w:val="2"/>
          </w:tcPr>
          <w:p w14:paraId="68474B0D" w14:textId="77777777" w:rsidR="007B6316" w:rsidRPr="000C602C" w:rsidRDefault="007B6316" w:rsidP="00303D62">
            <w:pPr>
              <w:tabs>
                <w:tab w:val="left" w:pos="4111"/>
              </w:tabs>
              <w:spacing w:before="0"/>
              <w:ind w:left="57"/>
              <w:rPr>
                <w:b/>
                <w:lang w:val="es-ES"/>
              </w:rPr>
            </w:pPr>
          </w:p>
        </w:tc>
        <w:tc>
          <w:tcPr>
            <w:tcW w:w="5329" w:type="dxa"/>
          </w:tcPr>
          <w:p w14:paraId="121726B0" w14:textId="30396EDD" w:rsidR="007B6316" w:rsidRPr="000C602C" w:rsidRDefault="007B6316" w:rsidP="007B6316">
            <w:pPr>
              <w:tabs>
                <w:tab w:val="clear" w:pos="794"/>
                <w:tab w:val="clear" w:pos="1191"/>
                <w:tab w:val="clear" w:pos="1588"/>
                <w:tab w:val="clear" w:pos="1985"/>
                <w:tab w:val="left" w:pos="284"/>
              </w:tabs>
              <w:spacing w:after="120"/>
              <w:ind w:left="284" w:hanging="227"/>
              <w:rPr>
                <w:lang w:val="es-ES"/>
              </w:rPr>
            </w:pPr>
            <w:r w:rsidRPr="000C602C">
              <w:rPr>
                <w:szCs w:val="24"/>
                <w:lang w:val="es-ES"/>
              </w:rPr>
              <w:t>Ginebra,</w:t>
            </w:r>
            <w:r w:rsidR="00C002B3" w:rsidRPr="000C602C">
              <w:rPr>
                <w:szCs w:val="24"/>
                <w:lang w:val="es-ES"/>
              </w:rPr>
              <w:t xml:space="preserve"> 19 de enero de 2023</w:t>
            </w:r>
          </w:p>
        </w:tc>
      </w:tr>
      <w:tr w:rsidR="007B6316" w:rsidRPr="000C602C" w14:paraId="35F92B8A" w14:textId="77777777" w:rsidTr="00303D62">
        <w:trPr>
          <w:cantSplit/>
          <w:trHeight w:val="340"/>
        </w:trPr>
        <w:tc>
          <w:tcPr>
            <w:tcW w:w="993" w:type="dxa"/>
          </w:tcPr>
          <w:p w14:paraId="23425ED1" w14:textId="30A2C4C8" w:rsidR="007B6316" w:rsidRPr="000C602C" w:rsidRDefault="007B6316" w:rsidP="004739E3">
            <w:pPr>
              <w:tabs>
                <w:tab w:val="left" w:pos="4111"/>
              </w:tabs>
              <w:spacing w:before="10"/>
              <w:ind w:left="57"/>
              <w:rPr>
                <w:b/>
                <w:bCs/>
                <w:sz w:val="22"/>
                <w:lang w:val="es-ES"/>
              </w:rPr>
            </w:pPr>
            <w:r w:rsidRPr="000C602C">
              <w:rPr>
                <w:b/>
                <w:bCs/>
                <w:sz w:val="22"/>
                <w:lang w:val="es-ES"/>
              </w:rPr>
              <w:t>Ref.:</w:t>
            </w:r>
          </w:p>
        </w:tc>
        <w:tc>
          <w:tcPr>
            <w:tcW w:w="3884" w:type="dxa"/>
            <w:gridSpan w:val="2"/>
          </w:tcPr>
          <w:p w14:paraId="443C3AFD" w14:textId="060B2C85" w:rsidR="007B6316" w:rsidRPr="00C27691" w:rsidRDefault="007B6316" w:rsidP="00303D62">
            <w:pPr>
              <w:tabs>
                <w:tab w:val="left" w:pos="4111"/>
              </w:tabs>
              <w:spacing w:before="0"/>
              <w:ind w:left="57"/>
              <w:rPr>
                <w:b/>
                <w:lang w:val="en-US"/>
              </w:rPr>
            </w:pPr>
            <w:r w:rsidRPr="00C27691">
              <w:rPr>
                <w:b/>
                <w:lang w:val="en-US"/>
              </w:rPr>
              <w:t xml:space="preserve">Circular TSB </w:t>
            </w:r>
            <w:r w:rsidR="004739E3" w:rsidRPr="00C27691">
              <w:rPr>
                <w:b/>
                <w:lang w:val="en-US"/>
              </w:rPr>
              <w:t>69</w:t>
            </w:r>
          </w:p>
          <w:p w14:paraId="532CB501" w14:textId="50793066" w:rsidR="007B6316" w:rsidRPr="00C27691" w:rsidRDefault="004739E3" w:rsidP="004739E3">
            <w:pPr>
              <w:tabs>
                <w:tab w:val="left" w:pos="4111"/>
              </w:tabs>
              <w:spacing w:before="0"/>
              <w:ind w:left="57"/>
              <w:rPr>
                <w:b/>
                <w:bCs/>
                <w:lang w:val="en-US"/>
              </w:rPr>
            </w:pPr>
            <w:r w:rsidRPr="00C27691">
              <w:rPr>
                <w:b/>
                <w:bCs/>
                <w:lang w:val="en-US"/>
              </w:rPr>
              <w:t>FG-MV/CB</w:t>
            </w:r>
          </w:p>
        </w:tc>
        <w:tc>
          <w:tcPr>
            <w:tcW w:w="5329" w:type="dxa"/>
            <w:vMerge w:val="restart"/>
          </w:tcPr>
          <w:p w14:paraId="052D35AC" w14:textId="77777777" w:rsidR="004739E3" w:rsidRPr="000C602C" w:rsidRDefault="004739E3" w:rsidP="00303D62">
            <w:pPr>
              <w:tabs>
                <w:tab w:val="clear" w:pos="794"/>
                <w:tab w:val="clear" w:pos="1191"/>
                <w:tab w:val="clear" w:pos="1588"/>
                <w:tab w:val="clear" w:pos="1985"/>
                <w:tab w:val="left" w:pos="284"/>
              </w:tabs>
              <w:spacing w:before="0"/>
              <w:ind w:left="284" w:hanging="227"/>
              <w:rPr>
                <w:b/>
                <w:bCs/>
                <w:lang w:val="es-ES"/>
              </w:rPr>
            </w:pPr>
            <w:bookmarkStart w:id="0" w:name="Addressee_S"/>
            <w:bookmarkEnd w:id="0"/>
            <w:r w:rsidRPr="000C602C">
              <w:rPr>
                <w:b/>
                <w:bCs/>
                <w:lang w:val="es-ES"/>
              </w:rPr>
              <w:t>A:</w:t>
            </w:r>
          </w:p>
          <w:p w14:paraId="7BE23034" w14:textId="3270CD52" w:rsidR="007B6316" w:rsidRPr="000C602C" w:rsidRDefault="007B6316" w:rsidP="00C27691">
            <w:pPr>
              <w:tabs>
                <w:tab w:val="clear" w:pos="794"/>
                <w:tab w:val="clear" w:pos="1191"/>
                <w:tab w:val="clear" w:pos="1588"/>
                <w:tab w:val="clear" w:pos="1985"/>
              </w:tabs>
              <w:spacing w:before="0"/>
              <w:ind w:left="213" w:hanging="227"/>
              <w:rPr>
                <w:lang w:val="es-ES"/>
              </w:rPr>
            </w:pPr>
            <w:r w:rsidRPr="000C602C">
              <w:rPr>
                <w:lang w:val="es-ES"/>
              </w:rPr>
              <w:t>-</w:t>
            </w:r>
            <w:r w:rsidRPr="000C602C">
              <w:rPr>
                <w:lang w:val="es-ES"/>
              </w:rPr>
              <w:tab/>
              <w:t>las Administraciones de los Estados Miembros de la Unión</w:t>
            </w:r>
          </w:p>
          <w:p w14:paraId="78B0D012" w14:textId="21482E4E" w:rsidR="004739E3" w:rsidRPr="000C602C" w:rsidRDefault="004739E3" w:rsidP="004739E3">
            <w:pPr>
              <w:tabs>
                <w:tab w:val="clear" w:pos="794"/>
                <w:tab w:val="left" w:pos="226"/>
                <w:tab w:val="left" w:pos="4111"/>
              </w:tabs>
              <w:spacing w:before="0"/>
              <w:rPr>
                <w:lang w:val="es-ES"/>
              </w:rPr>
            </w:pPr>
            <w:r w:rsidRPr="000C602C">
              <w:rPr>
                <w:lang w:val="es-ES"/>
              </w:rPr>
              <w:t>-</w:t>
            </w:r>
            <w:r w:rsidRPr="000C602C">
              <w:rPr>
                <w:lang w:val="es-ES"/>
              </w:rPr>
              <w:tab/>
              <w:t>los Miembros de Sector</w:t>
            </w:r>
            <w:r w:rsidR="002545F8" w:rsidRPr="000C602C">
              <w:rPr>
                <w:lang w:val="es-ES"/>
              </w:rPr>
              <w:t xml:space="preserve"> del</w:t>
            </w:r>
            <w:r w:rsidRPr="000C602C">
              <w:rPr>
                <w:lang w:val="es-ES"/>
              </w:rPr>
              <w:t xml:space="preserve"> UIT</w:t>
            </w:r>
            <w:r w:rsidRPr="000C602C">
              <w:rPr>
                <w:lang w:val="es-ES"/>
              </w:rPr>
              <w:noBreakHyphen/>
              <w:t>T;</w:t>
            </w:r>
          </w:p>
          <w:p w14:paraId="322B37E1" w14:textId="6B440903" w:rsidR="004739E3" w:rsidRPr="000C602C" w:rsidRDefault="004739E3" w:rsidP="004739E3">
            <w:pPr>
              <w:tabs>
                <w:tab w:val="clear" w:pos="794"/>
                <w:tab w:val="left" w:pos="226"/>
                <w:tab w:val="left" w:pos="4111"/>
              </w:tabs>
              <w:spacing w:before="0"/>
              <w:rPr>
                <w:lang w:val="es-ES"/>
              </w:rPr>
            </w:pPr>
            <w:r w:rsidRPr="000C602C">
              <w:rPr>
                <w:lang w:val="es-ES"/>
              </w:rPr>
              <w:t>-</w:t>
            </w:r>
            <w:r w:rsidRPr="000C602C">
              <w:rPr>
                <w:lang w:val="es-ES"/>
              </w:rPr>
              <w:tab/>
              <w:t>los Asociados del UIT</w:t>
            </w:r>
            <w:r w:rsidRPr="000C602C">
              <w:rPr>
                <w:lang w:val="es-ES"/>
              </w:rPr>
              <w:noBreakHyphen/>
              <w:t>T;</w:t>
            </w:r>
          </w:p>
          <w:p w14:paraId="7528B6C9" w14:textId="319100C2" w:rsidR="004739E3" w:rsidRPr="000C602C" w:rsidRDefault="004739E3" w:rsidP="004739E3">
            <w:pPr>
              <w:tabs>
                <w:tab w:val="clear" w:pos="794"/>
                <w:tab w:val="left" w:pos="226"/>
                <w:tab w:val="left" w:pos="4111"/>
              </w:tabs>
              <w:spacing w:before="0"/>
              <w:rPr>
                <w:lang w:val="es-ES"/>
              </w:rPr>
            </w:pPr>
            <w:r w:rsidRPr="000C602C">
              <w:rPr>
                <w:lang w:val="es-ES"/>
              </w:rPr>
              <w:t>-</w:t>
            </w:r>
            <w:r w:rsidRPr="000C602C">
              <w:rPr>
                <w:lang w:val="es-ES"/>
              </w:rPr>
              <w:tab/>
              <w:t>las Instituciones Académicas de</w:t>
            </w:r>
            <w:r w:rsidR="002545F8" w:rsidRPr="000C602C">
              <w:rPr>
                <w:lang w:val="es-ES"/>
              </w:rPr>
              <w:t xml:space="preserve"> </w:t>
            </w:r>
            <w:r w:rsidRPr="000C602C">
              <w:rPr>
                <w:lang w:val="es-ES"/>
              </w:rPr>
              <w:t>l</w:t>
            </w:r>
            <w:r w:rsidR="002545F8" w:rsidRPr="000C602C">
              <w:rPr>
                <w:lang w:val="es-ES"/>
              </w:rPr>
              <w:t>a</w:t>
            </w:r>
            <w:r w:rsidRPr="000C602C">
              <w:rPr>
                <w:lang w:val="es-ES"/>
              </w:rPr>
              <w:t xml:space="preserve"> UIT</w:t>
            </w:r>
          </w:p>
        </w:tc>
      </w:tr>
      <w:tr w:rsidR="007B6316" w:rsidRPr="000C602C" w14:paraId="7B16FE59" w14:textId="77777777" w:rsidTr="00303D62">
        <w:trPr>
          <w:cantSplit/>
        </w:trPr>
        <w:tc>
          <w:tcPr>
            <w:tcW w:w="993" w:type="dxa"/>
          </w:tcPr>
          <w:p w14:paraId="330823FA" w14:textId="77777777" w:rsidR="007B6316" w:rsidRPr="000C602C" w:rsidRDefault="007B6316" w:rsidP="00303D62">
            <w:pPr>
              <w:tabs>
                <w:tab w:val="left" w:pos="4111"/>
              </w:tabs>
              <w:spacing w:before="10"/>
              <w:ind w:left="57"/>
              <w:rPr>
                <w:b/>
                <w:bCs/>
                <w:sz w:val="22"/>
                <w:lang w:val="es-ES"/>
              </w:rPr>
            </w:pPr>
            <w:r w:rsidRPr="000C602C">
              <w:rPr>
                <w:b/>
                <w:bCs/>
                <w:sz w:val="22"/>
                <w:lang w:val="es-ES"/>
              </w:rPr>
              <w:t>Tel.:</w:t>
            </w:r>
          </w:p>
        </w:tc>
        <w:tc>
          <w:tcPr>
            <w:tcW w:w="3884" w:type="dxa"/>
            <w:gridSpan w:val="2"/>
          </w:tcPr>
          <w:p w14:paraId="5A58F54D" w14:textId="0B83A614" w:rsidR="007B6316" w:rsidRPr="000C602C" w:rsidRDefault="004739E3" w:rsidP="00303D62">
            <w:pPr>
              <w:tabs>
                <w:tab w:val="left" w:pos="4111"/>
              </w:tabs>
              <w:spacing w:before="0"/>
              <w:ind w:left="57"/>
              <w:rPr>
                <w:rStyle w:val="Hyperlink"/>
                <w:lang w:val="es-ES"/>
              </w:rPr>
            </w:pPr>
            <w:r w:rsidRPr="000C602C">
              <w:rPr>
                <w:lang w:val="es-ES"/>
              </w:rPr>
              <w:t>+41 22 730 6301</w:t>
            </w:r>
          </w:p>
        </w:tc>
        <w:tc>
          <w:tcPr>
            <w:tcW w:w="5329" w:type="dxa"/>
            <w:vMerge/>
          </w:tcPr>
          <w:p w14:paraId="21C76FC1" w14:textId="77777777" w:rsidR="007B6316" w:rsidRPr="000C602C" w:rsidRDefault="007B6316" w:rsidP="00303D62">
            <w:pPr>
              <w:tabs>
                <w:tab w:val="left" w:pos="4111"/>
              </w:tabs>
              <w:spacing w:before="0"/>
              <w:rPr>
                <w:b/>
                <w:lang w:val="es-ES"/>
              </w:rPr>
            </w:pPr>
          </w:p>
        </w:tc>
      </w:tr>
      <w:tr w:rsidR="007B6316" w:rsidRPr="000C602C" w14:paraId="1EF59BF3" w14:textId="77777777" w:rsidTr="00303D62">
        <w:trPr>
          <w:cantSplit/>
        </w:trPr>
        <w:tc>
          <w:tcPr>
            <w:tcW w:w="993" w:type="dxa"/>
          </w:tcPr>
          <w:p w14:paraId="3C28A839" w14:textId="77777777" w:rsidR="007B6316" w:rsidRPr="000C602C" w:rsidRDefault="007B6316" w:rsidP="00303D62">
            <w:pPr>
              <w:tabs>
                <w:tab w:val="left" w:pos="4111"/>
              </w:tabs>
              <w:spacing w:before="10"/>
              <w:ind w:left="57"/>
              <w:rPr>
                <w:b/>
                <w:bCs/>
                <w:sz w:val="22"/>
                <w:lang w:val="es-ES"/>
              </w:rPr>
            </w:pPr>
            <w:r w:rsidRPr="000C602C">
              <w:rPr>
                <w:b/>
                <w:bCs/>
                <w:sz w:val="22"/>
                <w:lang w:val="es-ES"/>
              </w:rPr>
              <w:t>Fax:</w:t>
            </w:r>
          </w:p>
        </w:tc>
        <w:tc>
          <w:tcPr>
            <w:tcW w:w="3884" w:type="dxa"/>
            <w:gridSpan w:val="2"/>
          </w:tcPr>
          <w:p w14:paraId="7ECA7157" w14:textId="60E39C7F" w:rsidR="007B6316" w:rsidRPr="000C602C" w:rsidRDefault="004739E3" w:rsidP="00303D62">
            <w:pPr>
              <w:tabs>
                <w:tab w:val="left" w:pos="4111"/>
              </w:tabs>
              <w:spacing w:before="0"/>
              <w:ind w:left="57"/>
              <w:rPr>
                <w:rStyle w:val="Hyperlink"/>
                <w:lang w:val="es-ES"/>
              </w:rPr>
            </w:pPr>
            <w:r w:rsidRPr="000C602C">
              <w:rPr>
                <w:lang w:val="es-ES"/>
              </w:rPr>
              <w:t>+41 22 730 5853</w:t>
            </w:r>
          </w:p>
        </w:tc>
        <w:tc>
          <w:tcPr>
            <w:tcW w:w="5329" w:type="dxa"/>
            <w:vMerge/>
          </w:tcPr>
          <w:p w14:paraId="376B0041" w14:textId="77777777" w:rsidR="007B6316" w:rsidRPr="000C602C" w:rsidRDefault="007B6316" w:rsidP="00303D62">
            <w:pPr>
              <w:tabs>
                <w:tab w:val="left" w:pos="4111"/>
              </w:tabs>
              <w:spacing w:before="0"/>
              <w:rPr>
                <w:b/>
                <w:lang w:val="es-ES"/>
              </w:rPr>
            </w:pPr>
          </w:p>
        </w:tc>
      </w:tr>
      <w:tr w:rsidR="00C34772" w:rsidRPr="000C602C" w14:paraId="370A61C9" w14:textId="77777777" w:rsidTr="00303D62">
        <w:trPr>
          <w:cantSplit/>
        </w:trPr>
        <w:tc>
          <w:tcPr>
            <w:tcW w:w="993" w:type="dxa"/>
          </w:tcPr>
          <w:p w14:paraId="4F6C870D" w14:textId="77777777" w:rsidR="00C34772" w:rsidRPr="000C602C" w:rsidRDefault="00C34772" w:rsidP="00303D62">
            <w:pPr>
              <w:tabs>
                <w:tab w:val="left" w:pos="4111"/>
              </w:tabs>
              <w:spacing w:before="10"/>
              <w:ind w:left="57"/>
              <w:rPr>
                <w:b/>
                <w:bCs/>
                <w:sz w:val="22"/>
                <w:lang w:val="es-ES"/>
              </w:rPr>
            </w:pPr>
            <w:r w:rsidRPr="000C602C">
              <w:rPr>
                <w:b/>
                <w:bCs/>
                <w:sz w:val="22"/>
                <w:lang w:val="es-ES"/>
              </w:rPr>
              <w:t>Correo-e:</w:t>
            </w:r>
          </w:p>
        </w:tc>
        <w:tc>
          <w:tcPr>
            <w:tcW w:w="3884" w:type="dxa"/>
            <w:gridSpan w:val="2"/>
          </w:tcPr>
          <w:p w14:paraId="1185EC65" w14:textId="4A63B6CC" w:rsidR="00C34772" w:rsidRPr="000C602C" w:rsidRDefault="00426000" w:rsidP="00303D62">
            <w:pPr>
              <w:tabs>
                <w:tab w:val="left" w:pos="4111"/>
              </w:tabs>
              <w:spacing w:before="0"/>
              <w:ind w:left="57"/>
              <w:rPr>
                <w:lang w:val="es-ES"/>
              </w:rPr>
            </w:pPr>
            <w:hyperlink r:id="rId9" w:history="1">
              <w:r w:rsidR="004739E3" w:rsidRPr="000C602C">
                <w:rPr>
                  <w:rStyle w:val="Hyperlink"/>
                  <w:lang w:val="es-ES"/>
                </w:rPr>
                <w:t>tsbfgmv@itu.int</w:t>
              </w:r>
            </w:hyperlink>
          </w:p>
        </w:tc>
        <w:tc>
          <w:tcPr>
            <w:tcW w:w="5329" w:type="dxa"/>
          </w:tcPr>
          <w:p w14:paraId="59CA9D08" w14:textId="58D07562" w:rsidR="00C34772" w:rsidRPr="000C602C" w:rsidRDefault="00C34772" w:rsidP="00303D62">
            <w:pPr>
              <w:tabs>
                <w:tab w:val="left" w:pos="4111"/>
              </w:tabs>
              <w:spacing w:before="0"/>
              <w:rPr>
                <w:lang w:val="es-ES"/>
              </w:rPr>
            </w:pPr>
            <w:r w:rsidRPr="000C602C">
              <w:rPr>
                <w:b/>
                <w:lang w:val="es-ES"/>
              </w:rPr>
              <w:t>Copia</w:t>
            </w:r>
            <w:r w:rsidR="002545F8" w:rsidRPr="000C602C">
              <w:rPr>
                <w:b/>
                <w:lang w:val="es-ES"/>
              </w:rPr>
              <w:t xml:space="preserve"> a</w:t>
            </w:r>
            <w:r w:rsidRPr="000C602C">
              <w:rPr>
                <w:lang w:val="es-ES"/>
              </w:rPr>
              <w:t>:</w:t>
            </w:r>
          </w:p>
          <w:p w14:paraId="137EED50" w14:textId="7819CA40" w:rsidR="00C34772" w:rsidRPr="000C602C" w:rsidRDefault="00C34772" w:rsidP="00303D62">
            <w:pPr>
              <w:tabs>
                <w:tab w:val="left" w:pos="226"/>
                <w:tab w:val="left" w:pos="4111"/>
              </w:tabs>
              <w:spacing w:before="0"/>
              <w:ind w:left="226" w:hanging="226"/>
              <w:rPr>
                <w:lang w:val="es-ES"/>
              </w:rPr>
            </w:pPr>
            <w:r w:rsidRPr="000C602C">
              <w:rPr>
                <w:lang w:val="es-ES"/>
              </w:rPr>
              <w:t>-</w:t>
            </w:r>
            <w:r w:rsidRPr="000C602C">
              <w:rPr>
                <w:lang w:val="es-ES"/>
              </w:rPr>
              <w:tab/>
              <w:t>l</w:t>
            </w:r>
            <w:r w:rsidR="002545F8" w:rsidRPr="000C602C">
              <w:rPr>
                <w:lang w:val="es-ES"/>
              </w:rPr>
              <w:t>os</w:t>
            </w:r>
            <w:r w:rsidRPr="000C602C">
              <w:rPr>
                <w:lang w:val="es-ES"/>
              </w:rPr>
              <w:t xml:space="preserve"> Presidente</w:t>
            </w:r>
            <w:r w:rsidR="002545F8" w:rsidRPr="000C602C">
              <w:rPr>
                <w:lang w:val="es-ES"/>
              </w:rPr>
              <w:t>s</w:t>
            </w:r>
            <w:r w:rsidRPr="000C602C">
              <w:rPr>
                <w:lang w:val="es-ES"/>
              </w:rPr>
              <w:t xml:space="preserve"> y Vicepresidentes de la</w:t>
            </w:r>
            <w:r w:rsidR="002545F8" w:rsidRPr="000C602C">
              <w:rPr>
                <w:lang w:val="es-ES"/>
              </w:rPr>
              <w:t>s</w:t>
            </w:r>
            <w:r w:rsidRPr="000C602C">
              <w:rPr>
                <w:lang w:val="es-ES"/>
              </w:rPr>
              <w:br/>
              <w:t>Comisi</w:t>
            </w:r>
            <w:r w:rsidR="002545F8" w:rsidRPr="000C602C">
              <w:rPr>
                <w:lang w:val="es-ES"/>
              </w:rPr>
              <w:t>ones</w:t>
            </w:r>
            <w:r w:rsidRPr="000C602C">
              <w:rPr>
                <w:lang w:val="es-ES"/>
              </w:rPr>
              <w:t xml:space="preserve"> de Estudio </w:t>
            </w:r>
            <w:r w:rsidR="004739E3" w:rsidRPr="000C602C">
              <w:rPr>
                <w:lang w:val="es-ES"/>
              </w:rPr>
              <w:t>del UIT-T</w:t>
            </w:r>
            <w:r w:rsidRPr="000C602C">
              <w:rPr>
                <w:lang w:val="es-ES"/>
              </w:rPr>
              <w:t>;</w:t>
            </w:r>
          </w:p>
          <w:p w14:paraId="0762C040" w14:textId="715CD049" w:rsidR="00C34772" w:rsidRPr="000C602C" w:rsidRDefault="00C34772" w:rsidP="00303D62">
            <w:pPr>
              <w:tabs>
                <w:tab w:val="clear" w:pos="794"/>
                <w:tab w:val="clear" w:pos="1191"/>
                <w:tab w:val="clear" w:pos="1588"/>
                <w:tab w:val="clear" w:pos="1985"/>
                <w:tab w:val="left" w:pos="226"/>
                <w:tab w:val="left" w:pos="510"/>
              </w:tabs>
              <w:spacing w:before="0"/>
              <w:ind w:left="226" w:hanging="169"/>
              <w:rPr>
                <w:lang w:val="es-ES"/>
              </w:rPr>
            </w:pPr>
            <w:r w:rsidRPr="000C602C">
              <w:rPr>
                <w:lang w:val="es-ES"/>
              </w:rPr>
              <w:t>-</w:t>
            </w:r>
            <w:r w:rsidRPr="000C602C">
              <w:rPr>
                <w:lang w:val="es-ES"/>
              </w:rPr>
              <w:tab/>
            </w:r>
            <w:r w:rsidR="002545F8" w:rsidRPr="000C602C">
              <w:rPr>
                <w:lang w:val="es-ES"/>
              </w:rPr>
              <w:t>el</w:t>
            </w:r>
            <w:r w:rsidRPr="000C602C">
              <w:rPr>
                <w:lang w:val="es-ES"/>
              </w:rPr>
              <w:t xml:space="preserve"> Director de la Oficina de Desarrollo de las Telecomunicaciones;</w:t>
            </w:r>
          </w:p>
          <w:p w14:paraId="640A05D4" w14:textId="77777777" w:rsidR="00C34772" w:rsidRDefault="00C34772" w:rsidP="00303D62">
            <w:pPr>
              <w:tabs>
                <w:tab w:val="clear" w:pos="794"/>
                <w:tab w:val="clear" w:pos="1191"/>
                <w:tab w:val="clear" w:pos="1588"/>
                <w:tab w:val="clear" w:pos="1985"/>
                <w:tab w:val="left" w:pos="226"/>
                <w:tab w:val="left" w:pos="510"/>
              </w:tabs>
              <w:spacing w:before="0"/>
              <w:ind w:left="226" w:hanging="169"/>
              <w:rPr>
                <w:lang w:val="es-ES"/>
              </w:rPr>
            </w:pPr>
            <w:r w:rsidRPr="000C602C">
              <w:rPr>
                <w:lang w:val="es-ES"/>
              </w:rPr>
              <w:t>-</w:t>
            </w:r>
            <w:r w:rsidRPr="000C602C">
              <w:rPr>
                <w:lang w:val="es-ES"/>
              </w:rPr>
              <w:tab/>
            </w:r>
            <w:r w:rsidR="002545F8" w:rsidRPr="000C602C">
              <w:rPr>
                <w:lang w:val="es-ES"/>
              </w:rPr>
              <w:t>e</w:t>
            </w:r>
            <w:r w:rsidRPr="000C602C">
              <w:rPr>
                <w:lang w:val="es-ES"/>
              </w:rPr>
              <w:t xml:space="preserve">l </w:t>
            </w:r>
            <w:proofErr w:type="gramStart"/>
            <w:r w:rsidRPr="000C602C">
              <w:rPr>
                <w:lang w:val="es-ES"/>
              </w:rPr>
              <w:t>Director</w:t>
            </w:r>
            <w:proofErr w:type="gramEnd"/>
            <w:r w:rsidRPr="000C602C">
              <w:rPr>
                <w:lang w:val="es-ES"/>
              </w:rPr>
              <w:t xml:space="preserve"> de la Oficina de Radiocomunicaciones</w:t>
            </w:r>
          </w:p>
          <w:p w14:paraId="4917D731" w14:textId="77777777" w:rsidR="00797AF4" w:rsidRDefault="00797AF4" w:rsidP="00303D62">
            <w:pPr>
              <w:tabs>
                <w:tab w:val="clear" w:pos="794"/>
                <w:tab w:val="clear" w:pos="1191"/>
                <w:tab w:val="clear" w:pos="1588"/>
                <w:tab w:val="clear" w:pos="1985"/>
                <w:tab w:val="left" w:pos="226"/>
                <w:tab w:val="left" w:pos="510"/>
              </w:tabs>
              <w:spacing w:before="0"/>
              <w:ind w:left="226" w:hanging="169"/>
              <w:rPr>
                <w:lang w:val="es-ES"/>
              </w:rPr>
            </w:pPr>
          </w:p>
          <w:p w14:paraId="727614D7" w14:textId="6F8E81D6" w:rsidR="00797AF4" w:rsidRPr="000C602C" w:rsidRDefault="00797AF4" w:rsidP="00303D62">
            <w:pPr>
              <w:tabs>
                <w:tab w:val="clear" w:pos="794"/>
                <w:tab w:val="clear" w:pos="1191"/>
                <w:tab w:val="clear" w:pos="1588"/>
                <w:tab w:val="clear" w:pos="1985"/>
                <w:tab w:val="left" w:pos="226"/>
                <w:tab w:val="left" w:pos="510"/>
              </w:tabs>
              <w:spacing w:before="0"/>
              <w:ind w:left="226" w:hanging="169"/>
              <w:rPr>
                <w:lang w:val="es-ES"/>
              </w:rPr>
            </w:pPr>
          </w:p>
        </w:tc>
      </w:tr>
      <w:tr w:rsidR="007B6316" w:rsidRPr="000C602C" w14:paraId="225BE342" w14:textId="77777777" w:rsidTr="00DA30ED">
        <w:trPr>
          <w:cantSplit/>
        </w:trPr>
        <w:tc>
          <w:tcPr>
            <w:tcW w:w="993" w:type="dxa"/>
          </w:tcPr>
          <w:p w14:paraId="2456223B" w14:textId="77777777" w:rsidR="007B6316" w:rsidRPr="000C602C" w:rsidRDefault="007B6316" w:rsidP="00303D62">
            <w:pPr>
              <w:tabs>
                <w:tab w:val="left" w:pos="4111"/>
              </w:tabs>
              <w:spacing w:before="10"/>
              <w:ind w:left="57"/>
              <w:rPr>
                <w:b/>
                <w:bCs/>
                <w:sz w:val="22"/>
                <w:lang w:val="es-ES"/>
              </w:rPr>
            </w:pPr>
            <w:r w:rsidRPr="000C602C">
              <w:rPr>
                <w:b/>
                <w:bCs/>
                <w:sz w:val="22"/>
                <w:lang w:val="es-ES"/>
              </w:rPr>
              <w:t>Asunto:</w:t>
            </w:r>
          </w:p>
        </w:tc>
        <w:tc>
          <w:tcPr>
            <w:tcW w:w="9213" w:type="dxa"/>
            <w:gridSpan w:val="3"/>
          </w:tcPr>
          <w:p w14:paraId="176BEC7B" w14:textId="14F39F5F" w:rsidR="007B6316" w:rsidRPr="000C602C" w:rsidRDefault="006E022D" w:rsidP="006E022D">
            <w:pPr>
              <w:tabs>
                <w:tab w:val="left" w:pos="4111"/>
              </w:tabs>
              <w:spacing w:before="0"/>
              <w:rPr>
                <w:b/>
                <w:lang w:val="es-ES"/>
              </w:rPr>
            </w:pPr>
            <w:r w:rsidRPr="000C602C">
              <w:rPr>
                <w:b/>
                <w:lang w:val="es-ES"/>
              </w:rPr>
              <w:t>Creación de un nuevo Grupo Temático del UIT-T sobre el metaverso (FG-MV) y primera reunión del mismo en Riad (Reino de Arabia Saudita) del 8 al 9 de marzo de 2023</w:t>
            </w:r>
          </w:p>
        </w:tc>
      </w:tr>
    </w:tbl>
    <w:p w14:paraId="3A2A13C6" w14:textId="77777777" w:rsidR="00C34772" w:rsidRPr="000C602C" w:rsidRDefault="00C34772" w:rsidP="007B6316">
      <w:pPr>
        <w:spacing w:before="320"/>
        <w:rPr>
          <w:lang w:val="es-ES"/>
        </w:rPr>
      </w:pPr>
      <w:bookmarkStart w:id="1" w:name="StartTyping_S"/>
      <w:bookmarkStart w:id="2" w:name="suitetext"/>
      <w:bookmarkStart w:id="3" w:name="text"/>
      <w:bookmarkEnd w:id="1"/>
      <w:bookmarkEnd w:id="2"/>
      <w:bookmarkEnd w:id="3"/>
      <w:r w:rsidRPr="000C602C">
        <w:rPr>
          <w:lang w:val="es-ES"/>
        </w:rPr>
        <w:t>Muy Señora mía/Muy Señor mío:</w:t>
      </w:r>
    </w:p>
    <w:p w14:paraId="7B4560A1" w14:textId="3AE5D67B" w:rsidR="007B6316" w:rsidRPr="000C602C" w:rsidRDefault="004739E3" w:rsidP="00683C51">
      <w:pPr>
        <w:rPr>
          <w:lang w:val="es-ES"/>
        </w:rPr>
      </w:pPr>
      <w:r w:rsidRPr="000C602C">
        <w:rPr>
          <w:lang w:val="es-ES"/>
        </w:rPr>
        <w:t>1</w:t>
      </w:r>
      <w:r w:rsidRPr="000C602C">
        <w:rPr>
          <w:lang w:val="es-ES"/>
        </w:rPr>
        <w:tab/>
      </w:r>
      <w:bookmarkStart w:id="4" w:name="lt_pId050"/>
      <w:r w:rsidR="00683C51" w:rsidRPr="000C602C">
        <w:rPr>
          <w:szCs w:val="24"/>
          <w:lang w:val="es-ES"/>
        </w:rPr>
        <w:t>Tras el acuerdo alcanzado por el Grupo Asesor de Normalización de las Telecomunicaciones (GANT)</w:t>
      </w:r>
      <w:r w:rsidR="006E022D" w:rsidRPr="000C602C">
        <w:rPr>
          <w:lang w:val="es-ES"/>
        </w:rPr>
        <w:t xml:space="preserve"> del UIT-T en su reunión celebrada en Ginebra del 12 al 16 de diciembre de 2022, me complace anunciar la creación del nuevo </w:t>
      </w:r>
      <w:hyperlink r:id="rId10" w:history="1">
        <w:r w:rsidR="006E022D" w:rsidRPr="000C602C">
          <w:rPr>
            <w:rStyle w:val="Hyperlink"/>
            <w:lang w:val="es-ES"/>
          </w:rPr>
          <w:t xml:space="preserve">Grupo Temático del UIT-T sobre </w:t>
        </w:r>
        <w:r w:rsidR="00683C51" w:rsidRPr="000C602C">
          <w:rPr>
            <w:rStyle w:val="Hyperlink"/>
            <w:lang w:val="es-ES"/>
          </w:rPr>
          <w:t xml:space="preserve">el </w:t>
        </w:r>
        <w:r w:rsidR="006E022D" w:rsidRPr="000C602C">
          <w:rPr>
            <w:rStyle w:val="Hyperlink"/>
            <w:lang w:val="es-ES"/>
          </w:rPr>
          <w:t>metaverso (FG-MV)</w:t>
        </w:r>
      </w:hyperlink>
      <w:r w:rsidR="006E022D" w:rsidRPr="000C602C">
        <w:rPr>
          <w:lang w:val="es-ES"/>
        </w:rPr>
        <w:t>.</w:t>
      </w:r>
      <w:bookmarkEnd w:id="4"/>
    </w:p>
    <w:p w14:paraId="5C399703" w14:textId="70C2557F" w:rsidR="004739E3" w:rsidRPr="000C602C" w:rsidRDefault="004739E3" w:rsidP="0073183C">
      <w:pPr>
        <w:rPr>
          <w:lang w:val="es-ES"/>
        </w:rPr>
      </w:pPr>
      <w:r w:rsidRPr="000C602C">
        <w:rPr>
          <w:lang w:val="es-ES"/>
        </w:rPr>
        <w:t>2</w:t>
      </w:r>
      <w:r w:rsidRPr="000C602C">
        <w:rPr>
          <w:lang w:val="es-ES"/>
        </w:rPr>
        <w:tab/>
      </w:r>
      <w:bookmarkStart w:id="5" w:name="lt_pId052"/>
      <w:r w:rsidR="006E022D" w:rsidRPr="000C602C">
        <w:rPr>
          <w:lang w:val="es-ES"/>
        </w:rPr>
        <w:t xml:space="preserve">Bajo la presidencia del Dr. Shin-Gak Kang (ETRI, Rep. de Corea), el FG-MV analizará los requisitos técnicos del metaverso </w:t>
      </w:r>
      <w:r w:rsidR="00683C51" w:rsidRPr="000C602C">
        <w:rPr>
          <w:lang w:val="es-ES"/>
        </w:rPr>
        <w:t>con miras a</w:t>
      </w:r>
      <w:r w:rsidR="006E022D" w:rsidRPr="000C602C">
        <w:rPr>
          <w:lang w:val="es-ES"/>
        </w:rPr>
        <w:t xml:space="preserve"> identificar tecnologías habilitadoras fundamentales en ámbitos que </w:t>
      </w:r>
      <w:r w:rsidR="00683C51" w:rsidRPr="000C602C">
        <w:rPr>
          <w:lang w:val="es-ES"/>
        </w:rPr>
        <w:t>abarcan</w:t>
      </w:r>
      <w:r w:rsidR="006E022D" w:rsidRPr="000C602C">
        <w:rPr>
          <w:lang w:val="es-ES"/>
        </w:rPr>
        <w:t xml:space="preserve"> desde los multimedios y la optimización de redes hasta las monedas digitales, la Internet de las cosas, los gemelos digitales y la sostenibilidad medioambiental.</w:t>
      </w:r>
      <w:r w:rsidR="0073183C" w:rsidRPr="000C602C">
        <w:rPr>
          <w:lang w:val="es-ES"/>
        </w:rPr>
        <w:t xml:space="preserve"> Forman también parte del equipo directivo </w:t>
      </w:r>
      <w:r w:rsidR="006E022D" w:rsidRPr="000C602C">
        <w:rPr>
          <w:lang w:val="es-ES"/>
        </w:rPr>
        <w:t xml:space="preserve">del FG-MV </w:t>
      </w:r>
      <w:r w:rsidR="0073183C" w:rsidRPr="000C602C">
        <w:rPr>
          <w:lang w:val="es-ES"/>
        </w:rPr>
        <w:t>el Sr.</w:t>
      </w:r>
      <w:r w:rsidR="006E022D" w:rsidRPr="000C602C">
        <w:rPr>
          <w:lang w:val="es-ES"/>
        </w:rPr>
        <w:t xml:space="preserve"> Andrey Nunes (Brasil), </w:t>
      </w:r>
      <w:r w:rsidR="0073183C" w:rsidRPr="000C602C">
        <w:rPr>
          <w:lang w:val="es-ES"/>
        </w:rPr>
        <w:t xml:space="preserve">el Dr. </w:t>
      </w:r>
      <w:r w:rsidR="006E022D" w:rsidRPr="000C602C">
        <w:rPr>
          <w:lang w:val="es-ES"/>
        </w:rPr>
        <w:t>Hideo Imanaka (NICT, Japón),</w:t>
      </w:r>
      <w:r w:rsidR="0073183C" w:rsidRPr="000C602C">
        <w:rPr>
          <w:lang w:val="es-ES"/>
        </w:rPr>
        <w:t xml:space="preserve"> el Dr.</w:t>
      </w:r>
      <w:r w:rsidR="006E022D" w:rsidRPr="000C602C">
        <w:rPr>
          <w:lang w:val="es-ES"/>
        </w:rPr>
        <w:t xml:space="preserve"> Per Fröjdh (Ericsson, Suecia),</w:t>
      </w:r>
      <w:r w:rsidR="0073183C" w:rsidRPr="000C602C">
        <w:rPr>
          <w:lang w:val="es-ES"/>
        </w:rPr>
        <w:t xml:space="preserve"> el Dr.</w:t>
      </w:r>
      <w:r w:rsidR="006E022D" w:rsidRPr="000C602C">
        <w:rPr>
          <w:lang w:val="es-ES"/>
        </w:rPr>
        <w:t xml:space="preserve"> Shane He (Nokia, Finlandia), </w:t>
      </w:r>
      <w:r w:rsidR="0073183C" w:rsidRPr="000C602C">
        <w:rPr>
          <w:lang w:val="es-ES"/>
        </w:rPr>
        <w:t xml:space="preserve">el Sr. </w:t>
      </w:r>
      <w:r w:rsidR="006E022D" w:rsidRPr="000C602C">
        <w:rPr>
          <w:lang w:val="es-ES"/>
        </w:rPr>
        <w:t xml:space="preserve">Vincent Affleck (Reino Unido) y </w:t>
      </w:r>
      <w:r w:rsidR="0073183C" w:rsidRPr="000C602C">
        <w:rPr>
          <w:lang w:val="es-ES"/>
        </w:rPr>
        <w:t xml:space="preserve">el Sr. </w:t>
      </w:r>
      <w:r w:rsidR="006E022D" w:rsidRPr="000C602C">
        <w:rPr>
          <w:lang w:val="es-ES"/>
        </w:rPr>
        <w:t>Yuntao Wang (China)</w:t>
      </w:r>
      <w:r w:rsidR="0073183C" w:rsidRPr="000C602C">
        <w:rPr>
          <w:lang w:val="es-ES"/>
        </w:rPr>
        <w:t>, en calidad de</w:t>
      </w:r>
      <w:r w:rsidR="006E022D" w:rsidRPr="000C602C">
        <w:rPr>
          <w:lang w:val="es-ES"/>
        </w:rPr>
        <w:t xml:space="preserve"> </w:t>
      </w:r>
      <w:r w:rsidR="0073183C" w:rsidRPr="000C602C">
        <w:rPr>
          <w:lang w:val="es-ES"/>
        </w:rPr>
        <w:t>V</w:t>
      </w:r>
      <w:r w:rsidR="006E022D" w:rsidRPr="000C602C">
        <w:rPr>
          <w:lang w:val="es-ES"/>
        </w:rPr>
        <w:t>icepresidentes.</w:t>
      </w:r>
      <w:bookmarkEnd w:id="5"/>
    </w:p>
    <w:p w14:paraId="0208E007" w14:textId="231E5BB1" w:rsidR="00160C0E" w:rsidRPr="000C602C" w:rsidRDefault="00160C0E" w:rsidP="00160C0E">
      <w:pPr>
        <w:rPr>
          <w:lang w:val="es-ES"/>
        </w:rPr>
      </w:pPr>
      <w:r w:rsidRPr="000C602C">
        <w:rPr>
          <w:lang w:val="es-ES"/>
        </w:rPr>
        <w:t>3</w:t>
      </w:r>
      <w:r w:rsidRPr="000C602C">
        <w:rPr>
          <w:lang w:val="es-ES"/>
        </w:rPr>
        <w:tab/>
        <w:t xml:space="preserve">La participación en el FG-MV es gratuita y está abierta a expertos y organizaciones de todos los sectores y disciplinas pertinentes. Se invita a todos los interesados en seguir dicha labor o participar en ella a </w:t>
      </w:r>
      <w:r w:rsidR="0073183C" w:rsidRPr="000C602C">
        <w:rPr>
          <w:lang w:val="es-ES"/>
        </w:rPr>
        <w:t xml:space="preserve">suscribirse </w:t>
      </w:r>
      <w:r w:rsidRPr="000C602C">
        <w:rPr>
          <w:lang w:val="es-ES"/>
        </w:rPr>
        <w:t xml:space="preserve">a una lista de correo electrónico específica; en la siguiente página web se proporciona información </w:t>
      </w:r>
      <w:r w:rsidR="0073183C" w:rsidRPr="000C602C">
        <w:rPr>
          <w:lang w:val="es-ES"/>
        </w:rPr>
        <w:t>detallada</w:t>
      </w:r>
      <w:r w:rsidRPr="000C602C">
        <w:rPr>
          <w:lang w:val="es-ES"/>
        </w:rPr>
        <w:t xml:space="preserve"> sobre el proceso de inscripción: </w:t>
      </w:r>
      <w:hyperlink r:id="rId11" w:history="1">
        <w:r w:rsidRPr="000C602C">
          <w:rPr>
            <w:rStyle w:val="Hyperlink"/>
            <w:lang w:val="es-ES"/>
          </w:rPr>
          <w:t>https://www.itu.int/en/ITU-T/focusgroups/mv/Pages/reg.aspx</w:t>
        </w:r>
      </w:hyperlink>
      <w:r w:rsidRPr="000C602C">
        <w:rPr>
          <w:lang w:val="es-ES"/>
        </w:rPr>
        <w:t>.</w:t>
      </w:r>
      <w:bookmarkStart w:id="6" w:name="lt_pId110"/>
      <w:bookmarkEnd w:id="6"/>
    </w:p>
    <w:p w14:paraId="7BDBD84B" w14:textId="3DD7DA64" w:rsidR="004739E3" w:rsidRPr="000C602C" w:rsidRDefault="00160C0E" w:rsidP="00E46862">
      <w:pPr>
        <w:rPr>
          <w:lang w:val="es-ES"/>
        </w:rPr>
      </w:pPr>
      <w:r w:rsidRPr="000C602C">
        <w:rPr>
          <w:lang w:val="es-ES"/>
        </w:rPr>
        <w:t>4</w:t>
      </w:r>
      <w:r w:rsidRPr="000C602C">
        <w:rPr>
          <w:lang w:val="es-ES"/>
        </w:rPr>
        <w:tab/>
      </w:r>
      <w:r w:rsidR="00E46862" w:rsidRPr="000C602C">
        <w:rPr>
          <w:lang w:val="es-ES"/>
        </w:rPr>
        <w:t xml:space="preserve">El Grupo ejercerá sus funciones con arreglo a los procedimientos estipulados en la </w:t>
      </w:r>
      <w:hyperlink r:id="rId12" w:history="1">
        <w:r w:rsidR="00E46862" w:rsidRPr="000C602C">
          <w:rPr>
            <w:rStyle w:val="Hyperlink"/>
            <w:lang w:val="es-ES"/>
          </w:rPr>
          <w:t>Recomendación UIT-T A.7</w:t>
        </w:r>
      </w:hyperlink>
      <w:r w:rsidR="00E46862" w:rsidRPr="000C602C">
        <w:rPr>
          <w:lang w:val="es-ES"/>
        </w:rPr>
        <w:t xml:space="preserve">, así como al mandato acordado y detallado en el </w:t>
      </w:r>
      <w:r w:rsidR="00E46862" w:rsidRPr="000C602C">
        <w:rPr>
          <w:b/>
          <w:bCs/>
          <w:lang w:val="es-ES"/>
        </w:rPr>
        <w:t>Anexo 1</w:t>
      </w:r>
      <w:r w:rsidR="00E46862" w:rsidRPr="000C602C">
        <w:rPr>
          <w:lang w:val="es-ES"/>
        </w:rPr>
        <w:t>. La duración prevista de la labor del Grupo Temático es de un año a partir de su primera reunión, con posibilidad de prórroga.</w:t>
      </w:r>
    </w:p>
    <w:p w14:paraId="3EB7AAC5" w14:textId="5D1AB870" w:rsidR="004739E3" w:rsidRDefault="004739E3" w:rsidP="004739E3">
      <w:pPr>
        <w:rPr>
          <w:lang w:val="es-ES"/>
        </w:rPr>
      </w:pPr>
      <w:r w:rsidRPr="000C602C">
        <w:rPr>
          <w:lang w:val="es-ES"/>
        </w:rPr>
        <w:t>5</w:t>
      </w:r>
      <w:r w:rsidRPr="000C602C">
        <w:rPr>
          <w:lang w:val="es-ES"/>
        </w:rPr>
        <w:tab/>
      </w:r>
      <w:bookmarkStart w:id="7" w:name="lt_pId061"/>
      <w:r w:rsidR="0073183C" w:rsidRPr="000C602C">
        <w:rPr>
          <w:lang w:val="es-ES"/>
        </w:rPr>
        <w:t xml:space="preserve">La primera </w:t>
      </w:r>
      <w:r w:rsidR="000C602C" w:rsidRPr="000C602C">
        <w:rPr>
          <w:lang w:val="es-ES"/>
        </w:rPr>
        <w:t>reunión</w:t>
      </w:r>
      <w:r w:rsidR="0073183C" w:rsidRPr="000C602C">
        <w:rPr>
          <w:lang w:val="es-ES"/>
        </w:rPr>
        <w:t xml:space="preserve"> del</w:t>
      </w:r>
      <w:r w:rsidRPr="000C602C">
        <w:rPr>
          <w:lang w:val="es-ES"/>
        </w:rPr>
        <w:t xml:space="preserve"> FG-MV</w:t>
      </w:r>
      <w:r w:rsidR="0073183C" w:rsidRPr="000C602C">
        <w:rPr>
          <w:lang w:val="es-ES"/>
        </w:rPr>
        <w:t xml:space="preserve"> se celebrará en Riad</w:t>
      </w:r>
      <w:r w:rsidRPr="000C602C">
        <w:rPr>
          <w:lang w:val="es-ES"/>
        </w:rPr>
        <w:t xml:space="preserve">, </w:t>
      </w:r>
      <w:r w:rsidR="002236BD" w:rsidRPr="000C602C">
        <w:rPr>
          <w:lang w:val="es-ES"/>
        </w:rPr>
        <w:t xml:space="preserve">los días </w:t>
      </w:r>
      <w:r w:rsidRPr="000C602C">
        <w:rPr>
          <w:lang w:val="es-ES"/>
        </w:rPr>
        <w:t xml:space="preserve">8 </w:t>
      </w:r>
      <w:r w:rsidR="002236BD" w:rsidRPr="000C602C">
        <w:rPr>
          <w:lang w:val="es-ES"/>
        </w:rPr>
        <w:t>y</w:t>
      </w:r>
      <w:r w:rsidRPr="000C602C">
        <w:rPr>
          <w:lang w:val="es-ES"/>
        </w:rPr>
        <w:t xml:space="preserve"> 9 </w:t>
      </w:r>
      <w:r w:rsidR="002236BD" w:rsidRPr="000C602C">
        <w:rPr>
          <w:lang w:val="es-ES"/>
        </w:rPr>
        <w:t xml:space="preserve">de marzo de </w:t>
      </w:r>
      <w:r w:rsidRPr="000C602C">
        <w:rPr>
          <w:lang w:val="es-ES"/>
        </w:rPr>
        <w:t xml:space="preserve">2023, </w:t>
      </w:r>
      <w:r w:rsidR="002236BD" w:rsidRPr="000C602C">
        <w:rPr>
          <w:lang w:val="es-ES"/>
        </w:rPr>
        <w:t xml:space="preserve">bajo los auspicios de la Autoridad Nacional de Ciberseguridad (NCA) del Reino de </w:t>
      </w:r>
      <w:r w:rsidRPr="000C602C">
        <w:rPr>
          <w:lang w:val="es-ES"/>
        </w:rPr>
        <w:t>Arabia</w:t>
      </w:r>
      <w:r w:rsidR="002236BD" w:rsidRPr="000C602C">
        <w:rPr>
          <w:lang w:val="es-ES"/>
        </w:rPr>
        <w:t xml:space="preserve"> Saudita</w:t>
      </w:r>
      <w:r w:rsidRPr="000C602C">
        <w:rPr>
          <w:lang w:val="es-ES"/>
        </w:rPr>
        <w:t>.</w:t>
      </w:r>
      <w:bookmarkEnd w:id="7"/>
      <w:r w:rsidRPr="000C602C">
        <w:rPr>
          <w:lang w:val="es-ES"/>
        </w:rPr>
        <w:t xml:space="preserve"> </w:t>
      </w:r>
    </w:p>
    <w:p w14:paraId="652292BA" w14:textId="7A63D4F0" w:rsidR="00797AF4" w:rsidRDefault="00797AF4" w:rsidP="004739E3">
      <w:pPr>
        <w:rPr>
          <w:lang w:val="es-ES"/>
        </w:rPr>
      </w:pPr>
    </w:p>
    <w:p w14:paraId="62ED068D" w14:textId="77777777" w:rsidR="00797AF4" w:rsidRPr="000C602C" w:rsidRDefault="00797AF4" w:rsidP="004739E3">
      <w:pPr>
        <w:rPr>
          <w:lang w:val="es-ES"/>
        </w:rPr>
      </w:pPr>
    </w:p>
    <w:p w14:paraId="4003A610" w14:textId="63AC2E1D" w:rsidR="004739E3" w:rsidRPr="000C602C" w:rsidRDefault="00E46862" w:rsidP="00E46862">
      <w:pPr>
        <w:rPr>
          <w:lang w:val="es-ES"/>
        </w:rPr>
      </w:pPr>
      <w:r w:rsidRPr="000C602C">
        <w:rPr>
          <w:lang w:val="es-ES"/>
        </w:rPr>
        <w:t>Entre los objetivos de la primera reunión figuran:</w:t>
      </w:r>
    </w:p>
    <w:p w14:paraId="7FDA03D4" w14:textId="19FF1E72" w:rsidR="004739E3" w:rsidRPr="000C602C" w:rsidRDefault="00E46862" w:rsidP="00E46862">
      <w:pPr>
        <w:pStyle w:val="enumlev1"/>
        <w:rPr>
          <w:lang w:val="es-ES"/>
        </w:rPr>
      </w:pPr>
      <w:r w:rsidRPr="000C602C">
        <w:rPr>
          <w:lang w:val="es-ES"/>
        </w:rPr>
        <w:t>–</w:t>
      </w:r>
      <w:r w:rsidRPr="000C602C">
        <w:rPr>
          <w:lang w:val="es-ES"/>
        </w:rPr>
        <w:tab/>
      </w:r>
      <w:r w:rsidR="002236BD" w:rsidRPr="000C602C">
        <w:rPr>
          <w:lang w:val="es-ES"/>
        </w:rPr>
        <w:t>la creación de Grupos de Trabajo</w:t>
      </w:r>
      <w:r w:rsidRPr="000C602C">
        <w:rPr>
          <w:lang w:val="es-ES"/>
        </w:rPr>
        <w:t xml:space="preserve"> (</w:t>
      </w:r>
      <w:r w:rsidR="002236BD" w:rsidRPr="000C602C">
        <w:rPr>
          <w:lang w:val="es-ES"/>
        </w:rPr>
        <w:t>GT</w:t>
      </w:r>
      <w:r w:rsidRPr="000C602C">
        <w:rPr>
          <w:lang w:val="es-ES"/>
        </w:rPr>
        <w:t xml:space="preserve">) </w:t>
      </w:r>
      <w:r w:rsidR="002236BD" w:rsidRPr="000C602C">
        <w:rPr>
          <w:lang w:val="es-ES"/>
        </w:rPr>
        <w:t>y el nombramiento de sus Presidentes</w:t>
      </w:r>
      <w:r w:rsidRPr="000C602C">
        <w:rPr>
          <w:lang w:val="es-ES"/>
        </w:rPr>
        <w:t>;</w:t>
      </w:r>
    </w:p>
    <w:p w14:paraId="3875BF38" w14:textId="076DAF6F" w:rsidR="00E46862" w:rsidRPr="000C602C" w:rsidRDefault="00E46862" w:rsidP="00E46862">
      <w:pPr>
        <w:pStyle w:val="enumlev1"/>
        <w:rPr>
          <w:lang w:val="es-ES"/>
        </w:rPr>
      </w:pPr>
      <w:r w:rsidRPr="000C602C">
        <w:rPr>
          <w:lang w:val="es-ES"/>
        </w:rPr>
        <w:t>–</w:t>
      </w:r>
      <w:r w:rsidRPr="000C602C">
        <w:rPr>
          <w:lang w:val="es-ES"/>
        </w:rPr>
        <w:tab/>
      </w:r>
      <w:r w:rsidR="002236BD" w:rsidRPr="000C602C">
        <w:rPr>
          <w:lang w:val="es-ES"/>
        </w:rPr>
        <w:t xml:space="preserve">la definición </w:t>
      </w:r>
      <w:r w:rsidRPr="000C602C">
        <w:rPr>
          <w:lang w:val="es-ES"/>
        </w:rPr>
        <w:t xml:space="preserve">de una hoja de ruta para el FG-MV, </w:t>
      </w:r>
      <w:r w:rsidR="004658C9">
        <w:rPr>
          <w:lang w:val="es-ES"/>
        </w:rPr>
        <w:t>en la que se recojan</w:t>
      </w:r>
      <w:r w:rsidRPr="000C602C">
        <w:rPr>
          <w:lang w:val="es-ES"/>
        </w:rPr>
        <w:t xml:space="preserve"> los productos finales previstos, los plazos, los editores y las responsabilidades asignadas a cada GT;</w:t>
      </w:r>
    </w:p>
    <w:p w14:paraId="1835A5D5" w14:textId="261ADE7A" w:rsidR="00E46862" w:rsidRPr="000C602C" w:rsidRDefault="00E46862" w:rsidP="00E46862">
      <w:pPr>
        <w:pStyle w:val="enumlev1"/>
        <w:rPr>
          <w:lang w:val="es-ES"/>
        </w:rPr>
      </w:pPr>
      <w:r w:rsidRPr="000C602C">
        <w:rPr>
          <w:lang w:val="es-ES"/>
        </w:rPr>
        <w:t>–</w:t>
      </w:r>
      <w:r w:rsidRPr="000C602C">
        <w:rPr>
          <w:lang w:val="es-ES"/>
        </w:rPr>
        <w:tab/>
        <w:t>el acuerdo de los métodos de trabajo del FG-MV, sobre la base de la Recomendación</w:t>
      </w:r>
      <w:r w:rsidR="00E50A59">
        <w:rPr>
          <w:lang w:val="es-ES"/>
        </w:rPr>
        <w:t> </w:t>
      </w:r>
      <w:r w:rsidRPr="000C602C">
        <w:rPr>
          <w:lang w:val="es-ES"/>
        </w:rPr>
        <w:t>UIT</w:t>
      </w:r>
      <w:r w:rsidR="00E50A59">
        <w:rPr>
          <w:lang w:val="es-ES"/>
        </w:rPr>
        <w:noBreakHyphen/>
      </w:r>
      <w:r w:rsidRPr="000C602C">
        <w:rPr>
          <w:lang w:val="es-ES"/>
        </w:rPr>
        <w:t>T</w:t>
      </w:r>
      <w:r w:rsidR="00E50A59">
        <w:rPr>
          <w:lang w:val="es-ES"/>
        </w:rPr>
        <w:t> </w:t>
      </w:r>
      <w:r w:rsidRPr="000C602C">
        <w:rPr>
          <w:lang w:val="es-ES"/>
        </w:rPr>
        <w:t>A.7;</w:t>
      </w:r>
    </w:p>
    <w:p w14:paraId="28EF079B" w14:textId="46AD90D3" w:rsidR="0096001F" w:rsidRPr="000C602C" w:rsidRDefault="0096001F" w:rsidP="00E46862">
      <w:pPr>
        <w:pStyle w:val="enumlev1"/>
        <w:rPr>
          <w:lang w:val="es-ES"/>
        </w:rPr>
      </w:pPr>
      <w:r w:rsidRPr="000C602C">
        <w:rPr>
          <w:lang w:val="es-ES"/>
        </w:rPr>
        <w:t>–</w:t>
      </w:r>
      <w:r w:rsidRPr="000C602C">
        <w:rPr>
          <w:lang w:val="es-ES"/>
        </w:rPr>
        <w:tab/>
        <w:t>el acuerdo de la planificación de las futuras reuniones del FG-MV, incluida su frecuencia;</w:t>
      </w:r>
    </w:p>
    <w:p w14:paraId="0DD83832" w14:textId="230D7BAA" w:rsidR="004739E3" w:rsidRPr="000C602C" w:rsidRDefault="00E46862" w:rsidP="00E46862">
      <w:pPr>
        <w:pStyle w:val="enumlev1"/>
        <w:rPr>
          <w:lang w:val="es-ES"/>
        </w:rPr>
      </w:pPr>
      <w:r w:rsidRPr="000C602C">
        <w:rPr>
          <w:lang w:val="es-ES"/>
        </w:rPr>
        <w:t>–</w:t>
      </w:r>
      <w:r w:rsidRPr="000C602C">
        <w:rPr>
          <w:lang w:val="es-ES"/>
        </w:rPr>
        <w:tab/>
      </w:r>
      <w:r w:rsidR="0096001F" w:rsidRPr="000C602C">
        <w:rPr>
          <w:lang w:val="es-ES"/>
        </w:rPr>
        <w:t>el examen y la presentación de contribuciones escritas, incluidos nuevos casos de uso.</w:t>
      </w:r>
    </w:p>
    <w:p w14:paraId="742F2228" w14:textId="11B66001" w:rsidR="004739E3" w:rsidRPr="000C602C" w:rsidRDefault="007A6760" w:rsidP="004739E3">
      <w:pPr>
        <w:rPr>
          <w:lang w:val="es-ES"/>
        </w:rPr>
      </w:pPr>
      <w:bookmarkStart w:id="8" w:name="lt_pId068"/>
      <w:r w:rsidRPr="000C602C">
        <w:rPr>
          <w:lang w:val="es-ES"/>
        </w:rPr>
        <w:t>La primera reunión del grupo se celebrará justo después del</w:t>
      </w:r>
      <w:r w:rsidR="004739E3" w:rsidRPr="000C602C">
        <w:rPr>
          <w:lang w:val="es-ES"/>
        </w:rPr>
        <w:t xml:space="preserve"> </w:t>
      </w:r>
      <w:hyperlink r:id="rId13" w:history="1">
        <w:r w:rsidR="004739E3" w:rsidRPr="000C602C">
          <w:rPr>
            <w:rStyle w:val="Hyperlink"/>
            <w:lang w:val="es-ES"/>
          </w:rPr>
          <w:t>1</w:t>
        </w:r>
        <w:r w:rsidRPr="000C602C">
          <w:rPr>
            <w:rStyle w:val="Hyperlink"/>
            <w:vertAlign w:val="superscript"/>
            <w:lang w:val="es-ES"/>
          </w:rPr>
          <w:t>er</w:t>
        </w:r>
        <w:r w:rsidR="004739E3" w:rsidRPr="000C602C">
          <w:rPr>
            <w:rStyle w:val="Hyperlink"/>
            <w:lang w:val="es-ES"/>
          </w:rPr>
          <w:t xml:space="preserve"> </w:t>
        </w:r>
        <w:r w:rsidRPr="000C602C">
          <w:rPr>
            <w:rStyle w:val="Hyperlink"/>
            <w:lang w:val="es-ES"/>
          </w:rPr>
          <w:t xml:space="preserve">foro de la UIT </w:t>
        </w:r>
        <w:r w:rsidR="00DF6379" w:rsidRPr="000C602C">
          <w:rPr>
            <w:rStyle w:val="Hyperlink"/>
            <w:lang w:val="es-ES"/>
          </w:rPr>
          <w:t xml:space="preserve">sobre </w:t>
        </w:r>
        <w:r w:rsidRPr="000C602C">
          <w:rPr>
            <w:rStyle w:val="Hyperlink"/>
            <w:lang w:val="es-ES"/>
          </w:rPr>
          <w:t>la adopción del metaverso</w:t>
        </w:r>
      </w:hyperlink>
      <w:r w:rsidR="004739E3" w:rsidRPr="000C602C">
        <w:rPr>
          <w:lang w:val="es-ES"/>
        </w:rPr>
        <w:t xml:space="preserve">, </w:t>
      </w:r>
      <w:r w:rsidRPr="000C602C">
        <w:rPr>
          <w:lang w:val="es-ES"/>
        </w:rPr>
        <w:t>que tendrá lugar el</w:t>
      </w:r>
      <w:r w:rsidR="004739E3" w:rsidRPr="000C602C">
        <w:rPr>
          <w:lang w:val="es-ES"/>
        </w:rPr>
        <w:t xml:space="preserve"> 7 </w:t>
      </w:r>
      <w:r w:rsidRPr="000C602C">
        <w:rPr>
          <w:lang w:val="es-ES"/>
        </w:rPr>
        <w:t>de marzo de</w:t>
      </w:r>
      <w:r w:rsidR="004739E3" w:rsidRPr="000C602C">
        <w:rPr>
          <w:lang w:val="es-ES"/>
        </w:rPr>
        <w:t xml:space="preserve"> 2023, </w:t>
      </w:r>
      <w:r w:rsidRPr="000C602C">
        <w:rPr>
          <w:lang w:val="es-ES"/>
        </w:rPr>
        <w:t>en el mismo lugar</w:t>
      </w:r>
      <w:r w:rsidR="004739E3" w:rsidRPr="000C602C">
        <w:rPr>
          <w:lang w:val="es-ES"/>
        </w:rPr>
        <w:t>.</w:t>
      </w:r>
      <w:bookmarkEnd w:id="8"/>
    </w:p>
    <w:p w14:paraId="7651EBFB" w14:textId="15EFEBBA" w:rsidR="00DF6379" w:rsidRPr="000C602C" w:rsidRDefault="0096001F" w:rsidP="00DF6379">
      <w:pPr>
        <w:rPr>
          <w:lang w:val="es-ES"/>
        </w:rPr>
      </w:pPr>
      <w:r w:rsidRPr="000C602C">
        <w:rPr>
          <w:lang w:val="es-ES"/>
        </w:rPr>
        <w:t>6</w:t>
      </w:r>
      <w:r w:rsidRPr="000C602C">
        <w:rPr>
          <w:lang w:val="es-ES"/>
        </w:rPr>
        <w:tab/>
      </w:r>
      <w:bookmarkStart w:id="9" w:name="lt_pId070"/>
      <w:r w:rsidR="00DF6379" w:rsidRPr="000C602C">
        <w:rPr>
          <w:lang w:val="es-ES"/>
        </w:rPr>
        <w:t xml:space="preserve">Habida cuenta de que las contribuciones por escrito son importantes para el éxito final del Grupo Temático, recomendamos encarecidamente a sus autores que se ajusten al mandato establecido en el </w:t>
      </w:r>
      <w:r w:rsidR="00DF6379" w:rsidRPr="000C602C">
        <w:rPr>
          <w:b/>
          <w:bCs/>
          <w:lang w:val="es-ES"/>
        </w:rPr>
        <w:t>Anexo 1</w:t>
      </w:r>
      <w:r w:rsidR="00DF6379" w:rsidRPr="000C602C">
        <w:rPr>
          <w:lang w:val="es-ES"/>
        </w:rPr>
        <w:t xml:space="preserve"> y aborden los objetivos destacados </w:t>
      </w:r>
      <w:r w:rsidR="00DF6379" w:rsidRPr="000C602C">
        <w:rPr>
          <w:i/>
          <w:iCs/>
          <w:lang w:val="es-ES"/>
        </w:rPr>
        <w:t>supra</w:t>
      </w:r>
      <w:r w:rsidR="00DF6379" w:rsidRPr="000C602C">
        <w:rPr>
          <w:lang w:val="es-ES"/>
        </w:rPr>
        <w:t>, a fin de impulsar un plan de desarrollo inicial de los productos finales. Dichas contribuciones deben presentarse a la Secretaría de la TSB (</w:t>
      </w:r>
      <w:hyperlink r:id="rId14" w:history="1">
        <w:r w:rsidR="00DF6379" w:rsidRPr="000C602C">
          <w:rPr>
            <w:rStyle w:val="Hyperlink"/>
            <w:lang w:val="es-ES"/>
          </w:rPr>
          <w:t>tsbfgmv@itu.int</w:t>
        </w:r>
      </w:hyperlink>
      <w:r w:rsidR="00DF6379" w:rsidRPr="000C602C">
        <w:rPr>
          <w:lang w:val="es-ES"/>
        </w:rPr>
        <w:t xml:space="preserve">) en formato electrónico, utilizando las plantillas disponibles en la </w:t>
      </w:r>
      <w:hyperlink r:id="rId15" w:history="1">
        <w:r w:rsidR="00DF6379" w:rsidRPr="000C602C">
          <w:rPr>
            <w:rStyle w:val="Hyperlink"/>
            <w:lang w:val="es-ES"/>
          </w:rPr>
          <w:t>página web del FG-MV</w:t>
        </w:r>
      </w:hyperlink>
      <w:r w:rsidR="00DF6379" w:rsidRPr="000C602C">
        <w:rPr>
          <w:lang w:val="es-ES"/>
        </w:rPr>
        <w:t xml:space="preserve">. </w:t>
      </w:r>
      <w:r w:rsidR="00DF6379" w:rsidRPr="000C602C">
        <w:rPr>
          <w:b/>
          <w:bCs/>
          <w:lang w:val="es-ES"/>
        </w:rPr>
        <w:t>El plazo de presentación de contribuciones a la primera reunión finaliza el 24 de febrero de 2023.</w:t>
      </w:r>
    </w:p>
    <w:bookmarkEnd w:id="9"/>
    <w:p w14:paraId="34FCAB04" w14:textId="66D24135" w:rsidR="004739E3" w:rsidRPr="000C602C" w:rsidRDefault="00FD5B67" w:rsidP="00FD5B67">
      <w:pPr>
        <w:rPr>
          <w:lang w:val="es-ES"/>
        </w:rPr>
      </w:pPr>
      <w:r w:rsidRPr="000C602C">
        <w:rPr>
          <w:lang w:val="es-ES"/>
        </w:rPr>
        <w:t>7</w:t>
      </w:r>
      <w:r w:rsidRPr="000C602C">
        <w:rPr>
          <w:lang w:val="es-ES"/>
        </w:rPr>
        <w:tab/>
        <w:t xml:space="preserve">El orden del día y los documentos de la reunión, entre otra información útil, se publicarán en la </w:t>
      </w:r>
      <w:hyperlink r:id="rId16" w:history="1">
        <w:r w:rsidRPr="000C602C">
          <w:rPr>
            <w:rStyle w:val="Hyperlink"/>
            <w:lang w:val="es-ES"/>
          </w:rPr>
          <w:t>página web del FG-MV</w:t>
        </w:r>
      </w:hyperlink>
      <w:r w:rsidRPr="000C602C">
        <w:rPr>
          <w:lang w:val="es-ES"/>
        </w:rPr>
        <w:t xml:space="preserve"> antes de la reunión. Los debates se celebrarán únicamente en inglés. En la página web del Grupo Temático (</w:t>
      </w:r>
      <w:hyperlink r:id="rId17" w:history="1">
        <w:r w:rsidRPr="000C602C">
          <w:rPr>
            <w:rStyle w:val="Hyperlink"/>
            <w:lang w:val="es-ES"/>
          </w:rPr>
          <w:t>www.itu.int/go/fgmv</w:t>
        </w:r>
      </w:hyperlink>
      <w:r w:rsidRPr="000C602C">
        <w:rPr>
          <w:lang w:val="es-ES"/>
        </w:rPr>
        <w:t>) también se publicará información detallada sobre el sistema de participación a distancia.</w:t>
      </w:r>
    </w:p>
    <w:p w14:paraId="493EE9AC" w14:textId="10ED9462" w:rsidR="00FD5B67" w:rsidRPr="000C602C" w:rsidRDefault="00B20E17" w:rsidP="00B20E17">
      <w:pPr>
        <w:rPr>
          <w:lang w:val="es-ES"/>
        </w:rPr>
      </w:pPr>
      <w:r w:rsidRPr="000C602C">
        <w:rPr>
          <w:lang w:val="es-ES"/>
        </w:rPr>
        <w:t>8</w:t>
      </w:r>
      <w:r w:rsidRPr="000C602C">
        <w:rPr>
          <w:lang w:val="es-ES"/>
        </w:rPr>
        <w:tab/>
        <w:t xml:space="preserve">A fin de que la UIT pueda adoptar las disposiciones logísticas necesarias, se invita a los participantes a inscribirse en línea </w:t>
      </w:r>
      <w:r w:rsidR="00DF6379" w:rsidRPr="000C602C">
        <w:rPr>
          <w:lang w:val="es-ES"/>
        </w:rPr>
        <w:t>a través de</w:t>
      </w:r>
      <w:r w:rsidRPr="000C602C">
        <w:rPr>
          <w:lang w:val="es-ES"/>
        </w:rPr>
        <w:t xml:space="preserve"> la </w:t>
      </w:r>
      <w:hyperlink r:id="rId18" w:history="1">
        <w:r w:rsidRPr="000C602C">
          <w:rPr>
            <w:rStyle w:val="Hyperlink"/>
            <w:lang w:val="es-ES"/>
          </w:rPr>
          <w:t>página web del FG-MV</w:t>
        </w:r>
      </w:hyperlink>
      <w:r w:rsidRPr="000C602C">
        <w:rPr>
          <w:lang w:val="es-ES"/>
        </w:rPr>
        <w:t xml:space="preserve"> lo antes</w:t>
      </w:r>
      <w:r w:rsidR="00DF6379" w:rsidRPr="000C602C">
        <w:rPr>
          <w:lang w:val="es-ES"/>
        </w:rPr>
        <w:t xml:space="preserve"> posible</w:t>
      </w:r>
      <w:r w:rsidRPr="000C602C">
        <w:rPr>
          <w:bCs/>
          <w:lang w:val="es-ES"/>
        </w:rPr>
        <w:t>.</w:t>
      </w:r>
      <w:r w:rsidRPr="000C602C">
        <w:rPr>
          <w:lang w:val="es-ES"/>
        </w:rPr>
        <w:t xml:space="preserve"> El número de plazas es limitado y las inscripciones se tramitarán en el orden en que se reciban. La inscripción es obligatoria tanto para participar a distancia como para asistir en persona a la reunión. Le </w:t>
      </w:r>
      <w:r w:rsidR="00DF6379" w:rsidRPr="000C602C">
        <w:rPr>
          <w:lang w:val="es-ES"/>
        </w:rPr>
        <w:t>rogamos</w:t>
      </w:r>
      <w:r w:rsidRPr="000C602C">
        <w:rPr>
          <w:lang w:val="es-ES"/>
        </w:rPr>
        <w:t xml:space="preserve"> tenga en cuenta que la preinscripción de los participantes para estos eventos se llevará a cabo exclusivamente en línea.</w:t>
      </w:r>
    </w:p>
    <w:p w14:paraId="5E559905" w14:textId="606D84B1" w:rsidR="00413E6A" w:rsidRPr="000C602C" w:rsidRDefault="00413E6A" w:rsidP="00413E6A">
      <w:pPr>
        <w:rPr>
          <w:lang w:val="es-ES"/>
        </w:rPr>
      </w:pPr>
      <w:r w:rsidRPr="000C602C">
        <w:rPr>
          <w:lang w:val="es-ES"/>
        </w:rPr>
        <w:t>9</w:t>
      </w:r>
      <w:r w:rsidRPr="000C602C">
        <w:rPr>
          <w:lang w:val="es-ES"/>
        </w:rPr>
        <w:tab/>
        <w:t xml:space="preserve">Le recordamos que los ciudadanos de algunos países están obligados a obtener un visado para entrar y permanecer en </w:t>
      </w:r>
      <w:r w:rsidR="00101E2C" w:rsidRPr="000C602C">
        <w:rPr>
          <w:lang w:val="es-ES"/>
        </w:rPr>
        <w:t>el Reino de Arabia Saudita</w:t>
      </w:r>
      <w:r w:rsidRPr="000C602C">
        <w:rPr>
          <w:lang w:val="es-ES"/>
        </w:rPr>
        <w:t xml:space="preserve">. De ser necesarios, los visados deben solicitarse antes de la fecha de llegada a </w:t>
      </w:r>
      <w:r w:rsidR="00101E2C" w:rsidRPr="000C602C">
        <w:rPr>
          <w:lang w:val="es-ES"/>
        </w:rPr>
        <w:t>Arabia Saudita</w:t>
      </w:r>
      <w:r w:rsidRPr="000C602C">
        <w:rPr>
          <w:lang w:val="es-ES"/>
        </w:rPr>
        <w:t xml:space="preserve"> en la embajada o consulado que represente a </w:t>
      </w:r>
      <w:r w:rsidR="00101E2C" w:rsidRPr="000C602C">
        <w:rPr>
          <w:lang w:val="es-ES"/>
        </w:rPr>
        <w:t>Arabia Saudita</w:t>
      </w:r>
      <w:r w:rsidRPr="000C602C">
        <w:rPr>
          <w:lang w:val="es-ES"/>
        </w:rPr>
        <w:t xml:space="preserve"> en su país o, si no existe dicha oficina en su país, en la más cercana al país de partida. Los plazos varían, por lo que se sugiere consultar directamente con la representación correspondiente y presentar la solicitud con antelación.</w:t>
      </w:r>
    </w:p>
    <w:p w14:paraId="2A16641A" w14:textId="77777777" w:rsidR="00797AF4" w:rsidRDefault="00E50A59" w:rsidP="00415122">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17102152" w14:textId="77777777" w:rsidR="00797AF4" w:rsidRDefault="00797AF4" w:rsidP="00415122">
      <w:pPr>
        <w:tabs>
          <w:tab w:val="clear" w:pos="794"/>
          <w:tab w:val="clear" w:pos="1191"/>
          <w:tab w:val="clear" w:pos="1588"/>
          <w:tab w:val="clear" w:pos="1985"/>
        </w:tabs>
        <w:overflowPunct/>
        <w:autoSpaceDE/>
        <w:autoSpaceDN/>
        <w:adjustRightInd/>
        <w:spacing w:before="0"/>
        <w:textAlignment w:val="auto"/>
        <w:rPr>
          <w:lang w:val="es-ES"/>
        </w:rPr>
      </w:pPr>
    </w:p>
    <w:p w14:paraId="14DC3F11" w14:textId="380AF2C4" w:rsidR="00413E6A" w:rsidRPr="000C602C" w:rsidRDefault="00413E6A" w:rsidP="00415122">
      <w:pPr>
        <w:tabs>
          <w:tab w:val="clear" w:pos="794"/>
          <w:tab w:val="clear" w:pos="1191"/>
          <w:tab w:val="clear" w:pos="1588"/>
          <w:tab w:val="clear" w:pos="1985"/>
        </w:tabs>
        <w:overflowPunct/>
        <w:autoSpaceDE/>
        <w:autoSpaceDN/>
        <w:adjustRightInd/>
        <w:spacing w:before="0"/>
        <w:textAlignment w:val="auto"/>
        <w:rPr>
          <w:lang w:val="es-ES"/>
        </w:rPr>
      </w:pPr>
      <w:r w:rsidRPr="000C602C">
        <w:rPr>
          <w:lang w:val="es-ES"/>
        </w:rPr>
        <w:t>Los detalles adicionales y la documentación necesaria para la tramitación de los visados, en su caso, se facilitarán en el documento logístico de la reunión que estará disponible en l</w:t>
      </w:r>
      <w:r w:rsidR="00C870FD" w:rsidRPr="000C602C">
        <w:rPr>
          <w:lang w:val="es-ES"/>
        </w:rPr>
        <w:t>a</w:t>
      </w:r>
      <w:r w:rsidRPr="000C602C">
        <w:rPr>
          <w:lang w:val="es-ES"/>
        </w:rPr>
        <w:t xml:space="preserve"> </w:t>
      </w:r>
      <w:hyperlink r:id="rId19" w:history="1">
        <w:r w:rsidR="00C870FD" w:rsidRPr="000C602C">
          <w:rPr>
            <w:rStyle w:val="Hyperlink"/>
            <w:lang w:val="es-ES"/>
          </w:rPr>
          <w:t xml:space="preserve">página </w:t>
        </w:r>
        <w:r w:rsidRPr="000C602C">
          <w:rPr>
            <w:rStyle w:val="Hyperlink"/>
            <w:lang w:val="es-ES"/>
          </w:rPr>
          <w:t>web del FG-</w:t>
        </w:r>
        <w:r w:rsidR="00101E2C" w:rsidRPr="000C602C">
          <w:rPr>
            <w:rStyle w:val="Hyperlink"/>
            <w:lang w:val="es-ES"/>
          </w:rPr>
          <w:t>MV</w:t>
        </w:r>
      </w:hyperlink>
      <w:r w:rsidRPr="000C602C">
        <w:rPr>
          <w:lang w:val="es-ES"/>
        </w:rPr>
        <w:t>.</w:t>
      </w:r>
    </w:p>
    <w:tbl>
      <w:tblPr>
        <w:tblStyle w:val="TableGrid"/>
        <w:tblW w:w="5000" w:type="pct"/>
        <w:tblLayout w:type="fixed"/>
        <w:tblLook w:val="04A0" w:firstRow="1" w:lastRow="0" w:firstColumn="1" w:lastColumn="0" w:noHBand="0" w:noVBand="1"/>
      </w:tblPr>
      <w:tblGrid>
        <w:gridCol w:w="2417"/>
        <w:gridCol w:w="7212"/>
      </w:tblGrid>
      <w:tr w:rsidR="00101E2C" w:rsidRPr="000C602C" w14:paraId="0DF633B4" w14:textId="77777777" w:rsidTr="00101E2C">
        <w:trPr>
          <w:trHeight w:val="438"/>
        </w:trPr>
        <w:tc>
          <w:tcPr>
            <w:tcW w:w="2417" w:type="dxa"/>
          </w:tcPr>
          <w:p w14:paraId="04205DBC" w14:textId="0BF5BECD" w:rsidR="00101E2C" w:rsidRPr="000C602C" w:rsidRDefault="00101E2C" w:rsidP="00101E2C">
            <w:pPr>
              <w:pStyle w:val="Tabletext0"/>
              <w:rPr>
                <w:lang w:val="es-ES"/>
              </w:rPr>
            </w:pPr>
            <w:bookmarkStart w:id="10" w:name="_Hlk124850442"/>
            <w:r w:rsidRPr="000C602C">
              <w:rPr>
                <w:lang w:val="es-ES"/>
              </w:rPr>
              <w:t xml:space="preserve">24 </w:t>
            </w:r>
            <w:bookmarkStart w:id="11" w:name="lt_pId088"/>
            <w:r w:rsidRPr="000C602C">
              <w:rPr>
                <w:lang w:val="es-ES"/>
              </w:rPr>
              <w:t>de febrero de 2023</w:t>
            </w:r>
            <w:bookmarkEnd w:id="11"/>
          </w:p>
        </w:tc>
        <w:tc>
          <w:tcPr>
            <w:tcW w:w="7212" w:type="dxa"/>
          </w:tcPr>
          <w:p w14:paraId="68B8A09A" w14:textId="5BDCB0E6" w:rsidR="00101E2C" w:rsidRPr="000C602C" w:rsidRDefault="00101E2C" w:rsidP="00101E2C">
            <w:pPr>
              <w:pStyle w:val="Tabletext0"/>
              <w:ind w:left="284" w:hanging="284"/>
              <w:rPr>
                <w:lang w:val="es-ES"/>
              </w:rPr>
            </w:pPr>
            <w:bookmarkStart w:id="12" w:name="lt_pId089"/>
            <w:r w:rsidRPr="000C602C">
              <w:rPr>
                <w:lang w:val="es-ES"/>
              </w:rPr>
              <w:t>–</w:t>
            </w:r>
            <w:r w:rsidRPr="000C602C">
              <w:rPr>
                <w:lang w:val="es-ES"/>
              </w:rPr>
              <w:tab/>
              <w:t xml:space="preserve">Presentación de contribuciones por escrito (por correo-e a </w:t>
            </w:r>
            <w:hyperlink r:id="rId20" w:history="1">
              <w:r w:rsidRPr="000C602C">
                <w:rPr>
                  <w:rStyle w:val="Hyperlink"/>
                  <w:lang w:val="es-ES"/>
                </w:rPr>
                <w:t>tsbfgmv@itu.int</w:t>
              </w:r>
            </w:hyperlink>
            <w:r w:rsidRPr="000C602C">
              <w:rPr>
                <w:lang w:val="es-ES"/>
              </w:rPr>
              <w:t>)</w:t>
            </w:r>
            <w:bookmarkEnd w:id="12"/>
          </w:p>
        </w:tc>
      </w:tr>
      <w:tr w:rsidR="00101E2C" w:rsidRPr="000C602C" w14:paraId="24420F21" w14:textId="77777777" w:rsidTr="00101E2C">
        <w:trPr>
          <w:trHeight w:val="438"/>
        </w:trPr>
        <w:tc>
          <w:tcPr>
            <w:tcW w:w="2417" w:type="dxa"/>
          </w:tcPr>
          <w:p w14:paraId="392A2841" w14:textId="49975A0D" w:rsidR="00101E2C" w:rsidRPr="000C602C" w:rsidRDefault="00101E2C" w:rsidP="00101E2C">
            <w:pPr>
              <w:pStyle w:val="Tabletext0"/>
              <w:rPr>
                <w:lang w:val="es-ES"/>
              </w:rPr>
            </w:pPr>
            <w:r w:rsidRPr="000C602C">
              <w:rPr>
                <w:lang w:val="es-ES"/>
              </w:rPr>
              <w:t xml:space="preserve">6 </w:t>
            </w:r>
            <w:bookmarkStart w:id="13" w:name="lt_pId091"/>
            <w:r w:rsidRPr="000C602C">
              <w:rPr>
                <w:lang w:val="es-ES"/>
              </w:rPr>
              <w:t>de marzo de 2023</w:t>
            </w:r>
            <w:bookmarkEnd w:id="13"/>
          </w:p>
        </w:tc>
        <w:tc>
          <w:tcPr>
            <w:tcW w:w="7212" w:type="dxa"/>
          </w:tcPr>
          <w:p w14:paraId="2157115E" w14:textId="589A062D" w:rsidR="00101E2C" w:rsidRPr="000C602C" w:rsidRDefault="00101E2C" w:rsidP="00101E2C">
            <w:pPr>
              <w:pStyle w:val="Tabletext0"/>
              <w:rPr>
                <w:lang w:val="es-ES"/>
              </w:rPr>
            </w:pPr>
            <w:bookmarkStart w:id="14" w:name="lt_pId092"/>
            <w:r w:rsidRPr="000C602C">
              <w:rPr>
                <w:lang w:val="es-ES"/>
              </w:rPr>
              <w:t>–</w:t>
            </w:r>
            <w:r w:rsidRPr="000C602C">
              <w:rPr>
                <w:lang w:val="es-ES"/>
              </w:rPr>
              <w:tab/>
              <w:t xml:space="preserve">Preinscripción (en línea a través de la </w:t>
            </w:r>
            <w:hyperlink r:id="rId21" w:history="1">
              <w:r w:rsidRPr="000C602C">
                <w:rPr>
                  <w:rStyle w:val="Hyperlink"/>
                  <w:lang w:val="es-ES"/>
                </w:rPr>
                <w:t xml:space="preserve">página </w:t>
              </w:r>
              <w:r w:rsidR="00C870FD" w:rsidRPr="000C602C">
                <w:rPr>
                  <w:rStyle w:val="Hyperlink"/>
                  <w:lang w:val="es-ES"/>
                </w:rPr>
                <w:t>web</w:t>
              </w:r>
              <w:r w:rsidRPr="000C602C">
                <w:rPr>
                  <w:rStyle w:val="Hyperlink"/>
                  <w:lang w:val="es-ES"/>
                </w:rPr>
                <w:t xml:space="preserve"> del FG-MV</w:t>
              </w:r>
            </w:hyperlink>
            <w:r w:rsidRPr="000C602C">
              <w:rPr>
                <w:lang w:val="es-ES"/>
              </w:rPr>
              <w:t>)</w:t>
            </w:r>
            <w:bookmarkEnd w:id="14"/>
          </w:p>
        </w:tc>
      </w:tr>
    </w:tbl>
    <w:bookmarkEnd w:id="10"/>
    <w:p w14:paraId="154B1F83" w14:textId="52A34CE2" w:rsidR="00101E2C" w:rsidRPr="000C602C" w:rsidRDefault="00101E2C" w:rsidP="00101E2C">
      <w:pPr>
        <w:rPr>
          <w:lang w:val="es-ES"/>
        </w:rPr>
      </w:pPr>
      <w:r w:rsidRPr="000C602C">
        <w:rPr>
          <w:lang w:val="es-ES"/>
        </w:rPr>
        <w:t>Le deseo una reunión agradable y fructífera.</w:t>
      </w:r>
    </w:p>
    <w:p w14:paraId="13FB6EBC" w14:textId="2E3E4ECD" w:rsidR="00B20E17" w:rsidRPr="000C602C" w:rsidRDefault="00101E2C" w:rsidP="00B20E17">
      <w:pPr>
        <w:rPr>
          <w:lang w:val="es-ES"/>
        </w:rPr>
      </w:pPr>
      <w:r w:rsidRPr="000C602C">
        <w:rPr>
          <w:lang w:val="es-ES"/>
        </w:rPr>
        <w:t>Atentamente,</w:t>
      </w:r>
    </w:p>
    <w:p w14:paraId="47968299" w14:textId="77777777" w:rsidR="007B6316" w:rsidRPr="000C602C" w:rsidRDefault="007B6316" w:rsidP="00101E2C">
      <w:pPr>
        <w:spacing w:before="240" w:after="240"/>
        <w:rPr>
          <w:i/>
          <w:iCs/>
          <w:sz w:val="28"/>
          <w:szCs w:val="22"/>
          <w:lang w:val="es-ES"/>
        </w:rPr>
      </w:pPr>
      <w:r w:rsidRPr="000C602C">
        <w:rPr>
          <w:i/>
          <w:iCs/>
          <w:lang w:val="es-ES"/>
        </w:rPr>
        <w:t>(firmado)</w:t>
      </w:r>
    </w:p>
    <w:p w14:paraId="741D14C0" w14:textId="58C57142" w:rsidR="007B6316" w:rsidRPr="000C602C" w:rsidRDefault="00101E2C" w:rsidP="00101E2C">
      <w:pPr>
        <w:rPr>
          <w:lang w:val="es-ES"/>
        </w:rPr>
      </w:pPr>
      <w:r w:rsidRPr="000C602C">
        <w:rPr>
          <w:lang w:val="es-ES"/>
        </w:rPr>
        <w:t>Seizo Onoe</w:t>
      </w:r>
      <w:r w:rsidR="007B6316" w:rsidRPr="000C602C">
        <w:rPr>
          <w:lang w:val="es-ES"/>
        </w:rPr>
        <w:br/>
        <w:t xml:space="preserve">Director de la Oficina de </w:t>
      </w:r>
      <w:r w:rsidR="007B6316" w:rsidRPr="000C602C">
        <w:rPr>
          <w:lang w:val="es-ES"/>
        </w:rPr>
        <w:br/>
        <w:t>Normalización de las Telecomunicaciones</w:t>
      </w:r>
    </w:p>
    <w:p w14:paraId="2996E1BF" w14:textId="41B45800" w:rsidR="00101E2C" w:rsidRPr="000C602C" w:rsidRDefault="00101E2C" w:rsidP="00101E2C">
      <w:pPr>
        <w:spacing w:before="480"/>
        <w:rPr>
          <w:lang w:val="es-ES"/>
        </w:rPr>
      </w:pPr>
      <w:r w:rsidRPr="000C602C">
        <w:rPr>
          <w:b/>
          <w:bCs/>
          <w:lang w:val="es-ES"/>
        </w:rPr>
        <w:t>Anexo</w:t>
      </w:r>
      <w:r w:rsidRPr="000C602C">
        <w:rPr>
          <w:lang w:val="es-ES"/>
        </w:rPr>
        <w:t>: 1</w:t>
      </w:r>
    </w:p>
    <w:p w14:paraId="1AB1FC8B" w14:textId="344FB056" w:rsidR="004739E3" w:rsidRPr="000C602C" w:rsidRDefault="004739E3">
      <w:pPr>
        <w:tabs>
          <w:tab w:val="clear" w:pos="794"/>
          <w:tab w:val="clear" w:pos="1191"/>
          <w:tab w:val="clear" w:pos="1588"/>
          <w:tab w:val="clear" w:pos="1985"/>
        </w:tabs>
        <w:overflowPunct/>
        <w:autoSpaceDE/>
        <w:autoSpaceDN/>
        <w:adjustRightInd/>
        <w:spacing w:before="0"/>
        <w:textAlignment w:val="auto"/>
        <w:rPr>
          <w:lang w:val="es-ES"/>
        </w:rPr>
      </w:pPr>
      <w:r w:rsidRPr="000C602C">
        <w:rPr>
          <w:lang w:val="es-ES"/>
        </w:rPr>
        <w:br w:type="page"/>
      </w:r>
    </w:p>
    <w:p w14:paraId="72B920C4" w14:textId="77777777" w:rsidR="00134906" w:rsidRDefault="00134906" w:rsidP="00101E2C">
      <w:pPr>
        <w:pStyle w:val="Annex"/>
        <w:rPr>
          <w:lang w:val="es-ES"/>
        </w:rPr>
      </w:pPr>
    </w:p>
    <w:p w14:paraId="25966E0A" w14:textId="2C527757" w:rsidR="00101E2C" w:rsidRPr="000C602C" w:rsidRDefault="00101E2C" w:rsidP="00101E2C">
      <w:pPr>
        <w:pStyle w:val="Annex"/>
        <w:rPr>
          <w:lang w:val="es-ES"/>
        </w:rPr>
      </w:pPr>
      <w:r w:rsidRPr="000C602C">
        <w:rPr>
          <w:lang w:val="es-ES"/>
        </w:rPr>
        <w:t>ANEXO 1</w:t>
      </w:r>
    </w:p>
    <w:p w14:paraId="702C9181" w14:textId="7A4F7AEA" w:rsidR="00401C20" w:rsidRPr="000C602C" w:rsidRDefault="00416E90" w:rsidP="00101E2C">
      <w:pPr>
        <w:pStyle w:val="AnnexTitle"/>
        <w:rPr>
          <w:lang w:val="es-ES"/>
        </w:rPr>
      </w:pPr>
      <w:r w:rsidRPr="000C602C">
        <w:rPr>
          <w:lang w:val="es-ES"/>
        </w:rPr>
        <w:t xml:space="preserve">Mandato del Grupo Temático del UIT-T sobre el metaverso </w:t>
      </w:r>
      <w:r w:rsidR="00101E2C" w:rsidRPr="000C602C">
        <w:rPr>
          <w:lang w:val="es-ES"/>
        </w:rPr>
        <w:t>(FG-MV)</w:t>
      </w:r>
    </w:p>
    <w:p w14:paraId="01119178" w14:textId="3B7E3A60" w:rsidR="004739E3" w:rsidRPr="000C602C" w:rsidRDefault="00101E2C" w:rsidP="00101E2C">
      <w:pPr>
        <w:pStyle w:val="Heading1"/>
        <w:rPr>
          <w:lang w:val="es-ES"/>
        </w:rPr>
      </w:pPr>
      <w:r w:rsidRPr="000C602C">
        <w:rPr>
          <w:lang w:val="es-ES"/>
        </w:rPr>
        <w:t>1</w:t>
      </w:r>
      <w:r w:rsidRPr="000C602C">
        <w:rPr>
          <w:lang w:val="es-ES"/>
        </w:rPr>
        <w:tab/>
        <w:t>Motivación y alcance</w:t>
      </w:r>
    </w:p>
    <w:p w14:paraId="2669AF7B" w14:textId="71883BFD" w:rsidR="00EE5709" w:rsidRPr="000C602C" w:rsidRDefault="00450DEB" w:rsidP="00450DEB">
      <w:pPr>
        <w:rPr>
          <w:lang w:val="es-ES"/>
        </w:rPr>
      </w:pPr>
      <w:bookmarkStart w:id="15" w:name="lt_pId107"/>
      <w:r w:rsidRPr="000C602C">
        <w:rPr>
          <w:lang w:val="es-ES"/>
        </w:rPr>
        <w:t>En los últimos tiempos</w:t>
      </w:r>
      <w:r w:rsidR="00416E90" w:rsidRPr="000C602C">
        <w:rPr>
          <w:lang w:val="es-ES"/>
        </w:rPr>
        <w:t>, el metaverso se ha convertido en un</w:t>
      </w:r>
      <w:r w:rsidRPr="000C602C">
        <w:rPr>
          <w:lang w:val="es-ES"/>
        </w:rPr>
        <w:t xml:space="preserve"> sector </w:t>
      </w:r>
      <w:r w:rsidR="00416E90" w:rsidRPr="000C602C">
        <w:rPr>
          <w:lang w:val="es-ES"/>
        </w:rPr>
        <w:t>de innovació</w:t>
      </w:r>
      <w:r w:rsidRPr="000C602C">
        <w:rPr>
          <w:lang w:val="es-ES"/>
        </w:rPr>
        <w:t xml:space="preserve">n revolucionario, dotado de un </w:t>
      </w:r>
      <w:r w:rsidR="00416E90" w:rsidRPr="000C602C">
        <w:rPr>
          <w:lang w:val="es-ES"/>
        </w:rPr>
        <w:t xml:space="preserve">gran potencial para </w:t>
      </w:r>
      <w:r w:rsidRPr="000C602C">
        <w:rPr>
          <w:lang w:val="es-ES"/>
        </w:rPr>
        <w:t>transformar</w:t>
      </w:r>
      <w:r w:rsidR="00416E90" w:rsidRPr="000C602C">
        <w:rPr>
          <w:lang w:val="es-ES"/>
        </w:rPr>
        <w:t xml:space="preserve"> nuestra economía,</w:t>
      </w:r>
      <w:r w:rsidRPr="000C602C">
        <w:rPr>
          <w:lang w:val="es-ES"/>
        </w:rPr>
        <w:t xml:space="preserve"> nuestras</w:t>
      </w:r>
      <w:r w:rsidR="00416E90" w:rsidRPr="000C602C">
        <w:rPr>
          <w:lang w:val="es-ES"/>
        </w:rPr>
        <w:t xml:space="preserve"> forma</w:t>
      </w:r>
      <w:r w:rsidRPr="000C602C">
        <w:rPr>
          <w:lang w:val="es-ES"/>
        </w:rPr>
        <w:t>s</w:t>
      </w:r>
      <w:r w:rsidR="00416E90" w:rsidRPr="000C602C">
        <w:rPr>
          <w:lang w:val="es-ES"/>
        </w:rPr>
        <w:t xml:space="preserve"> de vida y comunicación y</w:t>
      </w:r>
      <w:r w:rsidRPr="000C602C">
        <w:rPr>
          <w:lang w:val="es-ES"/>
        </w:rPr>
        <w:t xml:space="preserve"> nuestra</w:t>
      </w:r>
      <w:r w:rsidR="00416E90" w:rsidRPr="000C602C">
        <w:rPr>
          <w:lang w:val="es-ES"/>
        </w:rPr>
        <w:t xml:space="preserve"> sociedad. En esta fase incipiente del metaverso, la industria</w:t>
      </w:r>
      <w:r w:rsidRPr="000C602C">
        <w:rPr>
          <w:lang w:val="es-ES"/>
        </w:rPr>
        <w:t xml:space="preserve"> aún</w:t>
      </w:r>
      <w:r w:rsidR="00416E90" w:rsidRPr="000C602C">
        <w:rPr>
          <w:lang w:val="es-ES"/>
        </w:rPr>
        <w:t xml:space="preserve"> no ha </w:t>
      </w:r>
      <w:r w:rsidRPr="000C602C">
        <w:rPr>
          <w:lang w:val="es-ES"/>
        </w:rPr>
        <w:t xml:space="preserve">elaborado </w:t>
      </w:r>
      <w:r w:rsidR="00416E90" w:rsidRPr="000C602C">
        <w:rPr>
          <w:lang w:val="es-ES"/>
        </w:rPr>
        <w:t xml:space="preserve">términos y definiciones comunes. El concepto de metaverso ha </w:t>
      </w:r>
      <w:r w:rsidRPr="000C602C">
        <w:rPr>
          <w:lang w:val="es-ES"/>
        </w:rPr>
        <w:t>suscitado</w:t>
      </w:r>
      <w:r w:rsidR="00416E90" w:rsidRPr="000C602C">
        <w:rPr>
          <w:lang w:val="es-ES"/>
        </w:rPr>
        <w:t xml:space="preserve"> una atención pública</w:t>
      </w:r>
      <w:r w:rsidRPr="000C602C">
        <w:rPr>
          <w:lang w:val="es-ES"/>
        </w:rPr>
        <w:t xml:space="preserve"> considerable</w:t>
      </w:r>
      <w:r w:rsidR="00416E90" w:rsidRPr="000C602C">
        <w:rPr>
          <w:lang w:val="es-ES"/>
        </w:rPr>
        <w:t>. Los analistas de Bloomberg</w:t>
      </w:r>
      <w:r w:rsidRPr="000C602C">
        <w:rPr>
          <w:rStyle w:val="FootnoteReference"/>
          <w:lang w:val="es-ES"/>
        </w:rPr>
        <w:footnoteReference w:id="1"/>
      </w:r>
      <w:r w:rsidR="00416E90" w:rsidRPr="000C602C">
        <w:rPr>
          <w:lang w:val="es-ES"/>
        </w:rPr>
        <w:t xml:space="preserve"> han sugerido que el valor total de mercado del metaverso</w:t>
      </w:r>
      <w:r w:rsidRPr="000C602C">
        <w:rPr>
          <w:lang w:val="es-ES"/>
        </w:rPr>
        <w:t>,</w:t>
      </w:r>
      <w:r w:rsidR="00416E90" w:rsidRPr="000C602C">
        <w:rPr>
          <w:lang w:val="es-ES"/>
        </w:rPr>
        <w:t xml:space="preserve"> como la </w:t>
      </w:r>
      <w:r w:rsidR="00E50A59">
        <w:rPr>
          <w:lang w:val="es-ES"/>
        </w:rPr>
        <w:t>"</w:t>
      </w:r>
      <w:r w:rsidR="00416E90" w:rsidRPr="000C602C">
        <w:rPr>
          <w:lang w:val="es-ES"/>
        </w:rPr>
        <w:t>próxima gran plataforma tecnológica</w:t>
      </w:r>
      <w:r w:rsidR="00E50A59">
        <w:rPr>
          <w:lang w:val="es-ES"/>
        </w:rPr>
        <w:t>"</w:t>
      </w:r>
      <w:r w:rsidR="00416E90" w:rsidRPr="000C602C">
        <w:rPr>
          <w:lang w:val="es-ES"/>
        </w:rPr>
        <w:t xml:space="preserve"> del mundo</w:t>
      </w:r>
      <w:r w:rsidRPr="000C602C">
        <w:rPr>
          <w:lang w:val="es-ES"/>
        </w:rPr>
        <w:t>,</w:t>
      </w:r>
      <w:r w:rsidR="00416E90" w:rsidRPr="000C602C">
        <w:rPr>
          <w:lang w:val="es-ES"/>
        </w:rPr>
        <w:t xml:space="preserve"> podría alcanzar los 800</w:t>
      </w:r>
      <w:r w:rsidR="00E50A59">
        <w:rPr>
          <w:lang w:val="es-ES"/>
        </w:rPr>
        <w:t> </w:t>
      </w:r>
      <w:r w:rsidR="00416E90" w:rsidRPr="000C602C">
        <w:rPr>
          <w:lang w:val="es-ES"/>
        </w:rPr>
        <w:t>000</w:t>
      </w:r>
      <w:r w:rsidR="00E50A59">
        <w:rPr>
          <w:lang w:val="es-ES"/>
        </w:rPr>
        <w:t> </w:t>
      </w:r>
      <w:r w:rsidR="00416E90" w:rsidRPr="000C602C">
        <w:rPr>
          <w:lang w:val="es-ES"/>
        </w:rPr>
        <w:t>millones de dólares</w:t>
      </w:r>
      <w:r w:rsidRPr="000C602C">
        <w:rPr>
          <w:lang w:val="es-ES"/>
        </w:rPr>
        <w:t xml:space="preserve"> de los Estados Unidos (USD)</w:t>
      </w:r>
      <w:r w:rsidR="00416E90" w:rsidRPr="000C602C">
        <w:rPr>
          <w:lang w:val="es-ES"/>
        </w:rPr>
        <w:t xml:space="preserve"> en 2024, duplicando</w:t>
      </w:r>
      <w:r w:rsidRPr="000C602C">
        <w:rPr>
          <w:lang w:val="es-ES"/>
        </w:rPr>
        <w:t xml:space="preserve"> así</w:t>
      </w:r>
      <w:r w:rsidR="00416E90" w:rsidRPr="000C602C">
        <w:rPr>
          <w:lang w:val="es-ES"/>
        </w:rPr>
        <w:t xml:space="preserve"> el valor registrado en 2020.</w:t>
      </w:r>
    </w:p>
    <w:p w14:paraId="050D1CBA" w14:textId="57FC20DC" w:rsidR="004739E3" w:rsidRPr="000C602C" w:rsidRDefault="00416E90" w:rsidP="00450DEB">
      <w:pPr>
        <w:rPr>
          <w:lang w:val="es-ES"/>
        </w:rPr>
      </w:pPr>
      <w:r w:rsidRPr="000C602C">
        <w:rPr>
          <w:lang w:val="es-ES"/>
        </w:rPr>
        <w:t xml:space="preserve">Este Grupo Temático ofrece una plataforma de colaboración </w:t>
      </w:r>
      <w:r w:rsidR="00450DEB" w:rsidRPr="000C602C">
        <w:rPr>
          <w:lang w:val="es-ES"/>
        </w:rPr>
        <w:t>en la que entablar un</w:t>
      </w:r>
      <w:r w:rsidRPr="000C602C">
        <w:rPr>
          <w:lang w:val="es-ES"/>
        </w:rPr>
        <w:t xml:space="preserve"> diálogo, </w:t>
      </w:r>
      <w:r w:rsidR="00450DEB" w:rsidRPr="000C602C">
        <w:rPr>
          <w:lang w:val="es-ES"/>
        </w:rPr>
        <w:t>i</w:t>
      </w:r>
      <w:r w:rsidRPr="000C602C">
        <w:rPr>
          <w:lang w:val="es-ES"/>
        </w:rPr>
        <w:t xml:space="preserve">dentificar las partes interesadas con las que podría colaborar </w:t>
      </w:r>
      <w:r w:rsidR="00450DEB" w:rsidRPr="000C602C">
        <w:rPr>
          <w:lang w:val="es-ES"/>
        </w:rPr>
        <w:t xml:space="preserve">el UIT-T </w:t>
      </w:r>
      <w:r w:rsidRPr="000C602C">
        <w:rPr>
          <w:lang w:val="es-ES"/>
        </w:rPr>
        <w:t>y permitir</w:t>
      </w:r>
      <w:r w:rsidR="00450DEB" w:rsidRPr="000C602C">
        <w:rPr>
          <w:lang w:val="es-ES"/>
        </w:rPr>
        <w:t xml:space="preserve"> la participación de entidades ajenas a la organización en la</w:t>
      </w:r>
      <w:r w:rsidR="00D55830">
        <w:rPr>
          <w:lang w:val="es-ES"/>
        </w:rPr>
        <w:t>s</w:t>
      </w:r>
      <w:r w:rsidR="00450DEB" w:rsidRPr="000C602C">
        <w:rPr>
          <w:lang w:val="es-ES"/>
        </w:rPr>
        <w:t xml:space="preserve"> </w:t>
      </w:r>
      <w:r w:rsidR="00D55830">
        <w:rPr>
          <w:lang w:val="es-ES"/>
        </w:rPr>
        <w:t>actividades</w:t>
      </w:r>
      <w:r w:rsidRPr="000C602C">
        <w:rPr>
          <w:lang w:val="es-ES"/>
        </w:rPr>
        <w:t xml:space="preserve"> técnic</w:t>
      </w:r>
      <w:r w:rsidR="00450DEB" w:rsidRPr="000C602C">
        <w:rPr>
          <w:lang w:val="es-ES"/>
        </w:rPr>
        <w:t>a</w:t>
      </w:r>
      <w:r w:rsidR="00D55830">
        <w:rPr>
          <w:lang w:val="es-ES"/>
        </w:rPr>
        <w:t>s</w:t>
      </w:r>
      <w:r w:rsidR="00450DEB" w:rsidRPr="000C602C">
        <w:rPr>
          <w:lang w:val="es-ES"/>
        </w:rPr>
        <w:t xml:space="preserve"> previa</w:t>
      </w:r>
      <w:r w:rsidR="00D55830">
        <w:rPr>
          <w:lang w:val="es-ES"/>
        </w:rPr>
        <w:t>s</w:t>
      </w:r>
      <w:r w:rsidR="00450DEB" w:rsidRPr="000C602C">
        <w:rPr>
          <w:lang w:val="es-ES"/>
        </w:rPr>
        <w:t xml:space="preserve"> a la normalización</w:t>
      </w:r>
      <w:r w:rsidRPr="000C602C">
        <w:rPr>
          <w:lang w:val="es-ES"/>
        </w:rPr>
        <w:t xml:space="preserve">. El trabajo del Grupo Temático se enriquecerá con la identificación de casos de uso </w:t>
      </w:r>
      <w:bookmarkEnd w:id="15"/>
      <w:r w:rsidR="00450DEB" w:rsidRPr="000C602C">
        <w:rPr>
          <w:lang w:val="es-ES"/>
        </w:rPr>
        <w:t>pertinentes.</w:t>
      </w:r>
    </w:p>
    <w:p w14:paraId="6313BA19" w14:textId="08464868" w:rsidR="004739E3" w:rsidRPr="000C602C" w:rsidRDefault="00416E90" w:rsidP="00450DEB">
      <w:pPr>
        <w:rPr>
          <w:lang w:val="es-ES"/>
        </w:rPr>
      </w:pPr>
      <w:bookmarkStart w:id="16" w:name="lt_pId109"/>
      <w:r w:rsidRPr="000C602C">
        <w:rPr>
          <w:lang w:val="es-ES"/>
        </w:rPr>
        <w:t xml:space="preserve">El Grupo Temático considerará los siguientes aspectos </w:t>
      </w:r>
      <w:r w:rsidR="00450DEB" w:rsidRPr="000C602C">
        <w:rPr>
          <w:lang w:val="es-ES"/>
        </w:rPr>
        <w:t xml:space="preserve">en el marco de los trabajos previos a la </w:t>
      </w:r>
      <w:r w:rsidRPr="000C602C">
        <w:rPr>
          <w:lang w:val="es-ES"/>
        </w:rPr>
        <w:t>normalización del metaverso:</w:t>
      </w:r>
      <w:bookmarkEnd w:id="16"/>
    </w:p>
    <w:p w14:paraId="6DF970A8" w14:textId="3A54A492" w:rsidR="00416E90" w:rsidRPr="000C602C" w:rsidRDefault="004739E3" w:rsidP="00416E90">
      <w:pPr>
        <w:pStyle w:val="enumlev1"/>
        <w:rPr>
          <w:lang w:val="es-ES"/>
        </w:rPr>
      </w:pPr>
      <w:r w:rsidRPr="000C602C">
        <w:rPr>
          <w:lang w:val="es-ES"/>
        </w:rPr>
        <w:t>–</w:t>
      </w:r>
      <w:r w:rsidRPr="000C602C">
        <w:rPr>
          <w:lang w:val="es-ES"/>
        </w:rPr>
        <w:tab/>
      </w:r>
      <w:bookmarkStart w:id="17" w:name="lt_pId111"/>
      <w:r w:rsidR="00416E90" w:rsidRPr="000C602C">
        <w:rPr>
          <w:lang w:val="es-ES"/>
        </w:rPr>
        <w:t xml:space="preserve">definiciones </w:t>
      </w:r>
      <w:r w:rsidR="007A0A57" w:rsidRPr="000C602C">
        <w:rPr>
          <w:lang w:val="es-ES"/>
        </w:rPr>
        <w:t>funcionales</w:t>
      </w:r>
      <w:r w:rsidR="00416E90" w:rsidRPr="000C602C">
        <w:rPr>
          <w:lang w:val="es-ES"/>
        </w:rPr>
        <w:t xml:space="preserve"> y terminología, conceptos, visión, casos de uso y ecosistema;</w:t>
      </w:r>
    </w:p>
    <w:p w14:paraId="1563C735" w14:textId="01A0668D" w:rsidR="00416E90" w:rsidRPr="000C602C" w:rsidRDefault="00416E90" w:rsidP="00416E90">
      <w:pPr>
        <w:pStyle w:val="enumlev1"/>
        <w:rPr>
          <w:lang w:val="es-ES"/>
        </w:rPr>
      </w:pPr>
      <w:r w:rsidRPr="000C602C">
        <w:rPr>
          <w:lang w:val="es-ES"/>
        </w:rPr>
        <w:t>–</w:t>
      </w:r>
      <w:r w:rsidRPr="000C602C">
        <w:rPr>
          <w:lang w:val="es-ES"/>
        </w:rPr>
        <w:tab/>
        <w:t>requisitos técnicos;</w:t>
      </w:r>
    </w:p>
    <w:p w14:paraId="2FDDFE91" w14:textId="2CC0551E" w:rsidR="00416E90" w:rsidRPr="000C602C" w:rsidRDefault="00416E90" w:rsidP="00416E90">
      <w:pPr>
        <w:pStyle w:val="enumlev1"/>
        <w:rPr>
          <w:lang w:val="es-ES"/>
        </w:rPr>
      </w:pPr>
      <w:r w:rsidRPr="000C602C">
        <w:rPr>
          <w:lang w:val="es-ES"/>
        </w:rPr>
        <w:t>–</w:t>
      </w:r>
      <w:r w:rsidRPr="000C602C">
        <w:rPr>
          <w:lang w:val="es-ES"/>
        </w:rPr>
        <w:tab/>
        <w:t>marco y características técnicas, incluida la identificación de las tecnologías subyacentes fundamentales</w:t>
      </w:r>
      <w:r w:rsidR="007A0A57" w:rsidRPr="000C602C">
        <w:rPr>
          <w:lang w:val="es-ES"/>
        </w:rPr>
        <w:t>;</w:t>
      </w:r>
    </w:p>
    <w:p w14:paraId="727BD0FF" w14:textId="1C220F15" w:rsidR="00416E90" w:rsidRPr="000C602C" w:rsidRDefault="00416E90" w:rsidP="00416E90">
      <w:pPr>
        <w:pStyle w:val="enumlev1"/>
        <w:rPr>
          <w:lang w:val="es-ES"/>
        </w:rPr>
      </w:pPr>
      <w:r w:rsidRPr="000C602C">
        <w:rPr>
          <w:lang w:val="es-ES"/>
        </w:rPr>
        <w:t>–</w:t>
      </w:r>
      <w:r w:rsidRPr="000C602C">
        <w:rPr>
          <w:lang w:val="es-ES"/>
        </w:rPr>
        <w:tab/>
        <w:t xml:space="preserve">aspectos </w:t>
      </w:r>
      <w:r w:rsidR="007A0A57" w:rsidRPr="000C602C">
        <w:rPr>
          <w:lang w:val="es-ES"/>
        </w:rPr>
        <w:t>relativos a</w:t>
      </w:r>
      <w:r w:rsidRPr="000C602C">
        <w:rPr>
          <w:lang w:val="es-ES"/>
        </w:rPr>
        <w:t xml:space="preserve"> la seguridad y la protección de la </w:t>
      </w:r>
      <w:r w:rsidR="007A0A57" w:rsidRPr="000C602C">
        <w:rPr>
          <w:lang w:val="es-ES"/>
        </w:rPr>
        <w:t>información de identificación personal</w:t>
      </w:r>
      <w:r w:rsidR="00D55830">
        <w:rPr>
          <w:lang w:val="es-ES"/>
        </w:rPr>
        <w:t xml:space="preserve"> (IIP)</w:t>
      </w:r>
      <w:r w:rsidR="007A0A57" w:rsidRPr="000C602C">
        <w:rPr>
          <w:lang w:val="es-ES"/>
        </w:rPr>
        <w:t>;</w:t>
      </w:r>
    </w:p>
    <w:p w14:paraId="130DBC0D" w14:textId="74C2678E" w:rsidR="00416E90" w:rsidRPr="000C602C" w:rsidRDefault="00416E90" w:rsidP="00416E90">
      <w:pPr>
        <w:pStyle w:val="enumlev1"/>
        <w:rPr>
          <w:lang w:val="es-ES"/>
        </w:rPr>
      </w:pPr>
      <w:r w:rsidRPr="000C602C">
        <w:rPr>
          <w:lang w:val="es-ES"/>
        </w:rPr>
        <w:t>–</w:t>
      </w:r>
      <w:r w:rsidRPr="000C602C">
        <w:rPr>
          <w:lang w:val="es-ES"/>
        </w:rPr>
        <w:tab/>
        <w:t xml:space="preserve">infraestructura de </w:t>
      </w:r>
      <w:r w:rsidR="007A0A57" w:rsidRPr="000C602C">
        <w:rPr>
          <w:lang w:val="es-ES"/>
        </w:rPr>
        <w:t xml:space="preserve">interconexión de </w:t>
      </w:r>
      <w:r w:rsidRPr="000C602C">
        <w:rPr>
          <w:lang w:val="es-ES"/>
        </w:rPr>
        <w:t>redes y conectividad</w:t>
      </w:r>
      <w:r w:rsidR="007A0A57" w:rsidRPr="000C602C">
        <w:rPr>
          <w:lang w:val="es-ES"/>
        </w:rPr>
        <w:t>;</w:t>
      </w:r>
    </w:p>
    <w:p w14:paraId="10F40A7A" w14:textId="610BBB07" w:rsidR="00416E90" w:rsidRPr="000C602C" w:rsidRDefault="00416E90" w:rsidP="00416E90">
      <w:pPr>
        <w:pStyle w:val="enumlev1"/>
        <w:rPr>
          <w:lang w:val="es-ES"/>
        </w:rPr>
      </w:pPr>
      <w:r w:rsidRPr="000C602C">
        <w:rPr>
          <w:lang w:val="es-ES"/>
        </w:rPr>
        <w:t>–</w:t>
      </w:r>
      <w:r w:rsidRPr="000C602C">
        <w:rPr>
          <w:lang w:val="es-ES"/>
        </w:rPr>
        <w:tab/>
        <w:t>interoperabilidad</w:t>
      </w:r>
      <w:r w:rsidR="007A0A57" w:rsidRPr="000C602C">
        <w:rPr>
          <w:lang w:val="es-ES"/>
        </w:rPr>
        <w:t>;</w:t>
      </w:r>
    </w:p>
    <w:p w14:paraId="7D42B64B" w14:textId="5B6132FE" w:rsidR="00416E90" w:rsidRPr="000C602C" w:rsidRDefault="00416E90" w:rsidP="00416E90">
      <w:pPr>
        <w:pStyle w:val="enumlev1"/>
        <w:rPr>
          <w:lang w:val="es-ES"/>
        </w:rPr>
      </w:pPr>
      <w:r w:rsidRPr="000C602C">
        <w:rPr>
          <w:lang w:val="es-ES"/>
        </w:rPr>
        <w:t>–</w:t>
      </w:r>
      <w:r w:rsidRPr="000C602C">
        <w:rPr>
          <w:lang w:val="es-ES"/>
        </w:rPr>
        <w:tab/>
        <w:t>interfaces de aplicación;</w:t>
      </w:r>
    </w:p>
    <w:p w14:paraId="0358627F" w14:textId="2EC8D904" w:rsidR="00416E90" w:rsidRPr="000C602C" w:rsidRDefault="00416E90" w:rsidP="00416E90">
      <w:pPr>
        <w:pStyle w:val="enumlev1"/>
        <w:rPr>
          <w:lang w:val="es-ES"/>
        </w:rPr>
      </w:pPr>
      <w:r w:rsidRPr="000C602C">
        <w:rPr>
          <w:lang w:val="es-ES"/>
        </w:rPr>
        <w:t>–</w:t>
      </w:r>
      <w:r w:rsidRPr="000C602C">
        <w:rPr>
          <w:lang w:val="es-ES"/>
        </w:rPr>
        <w:tab/>
        <w:t>accesibilidad, incluidas las personas con discapacidad;</w:t>
      </w:r>
    </w:p>
    <w:p w14:paraId="70C7505D" w14:textId="643E5126" w:rsidR="00416E90" w:rsidRPr="000C602C" w:rsidRDefault="00416E90" w:rsidP="00416E90">
      <w:pPr>
        <w:pStyle w:val="enumlev1"/>
        <w:rPr>
          <w:lang w:val="es-ES"/>
        </w:rPr>
      </w:pPr>
      <w:r w:rsidRPr="000C602C">
        <w:rPr>
          <w:lang w:val="es-ES"/>
        </w:rPr>
        <w:t>–</w:t>
      </w:r>
      <w:r w:rsidRPr="000C602C">
        <w:rPr>
          <w:lang w:val="es-ES"/>
        </w:rPr>
        <w:tab/>
        <w:t>análisis de las lagunas existentes en las actividades de normalización de otros organismos de normalización, incluid</w:t>
      </w:r>
      <w:r w:rsidR="007A0A57" w:rsidRPr="000C602C">
        <w:rPr>
          <w:lang w:val="es-ES"/>
        </w:rPr>
        <w:t>os los principios y</w:t>
      </w:r>
      <w:r w:rsidRPr="000C602C">
        <w:rPr>
          <w:lang w:val="es-ES"/>
        </w:rPr>
        <w:t xml:space="preserve"> la terminología utilizados en</w:t>
      </w:r>
      <w:r w:rsidR="007A0A57" w:rsidRPr="000C602C">
        <w:rPr>
          <w:lang w:val="es-ES"/>
        </w:rPr>
        <w:t xml:space="preserve"> el seno de</w:t>
      </w:r>
      <w:r w:rsidRPr="000C602C">
        <w:rPr>
          <w:lang w:val="es-ES"/>
        </w:rPr>
        <w:t xml:space="preserve"> la ISO y la CEI</w:t>
      </w:r>
      <w:r w:rsidR="007A0A57" w:rsidRPr="000C602C">
        <w:rPr>
          <w:lang w:val="es-ES"/>
        </w:rPr>
        <w:t>;</w:t>
      </w:r>
    </w:p>
    <w:p w14:paraId="296302C3" w14:textId="513E4148" w:rsidR="00416E90" w:rsidRPr="000C602C" w:rsidRDefault="00416E90" w:rsidP="00416E90">
      <w:pPr>
        <w:pStyle w:val="enumlev1"/>
        <w:rPr>
          <w:lang w:val="es-ES"/>
        </w:rPr>
      </w:pPr>
      <w:r w:rsidRPr="000C602C">
        <w:rPr>
          <w:lang w:val="es-ES"/>
        </w:rPr>
        <w:t>–</w:t>
      </w:r>
      <w:r w:rsidRPr="000C602C">
        <w:rPr>
          <w:lang w:val="es-ES"/>
        </w:rPr>
        <w:tab/>
        <w:t xml:space="preserve">aspectos económicos </w:t>
      </w:r>
      <w:r w:rsidR="007A0A57" w:rsidRPr="000C602C">
        <w:rPr>
          <w:lang w:val="es-ES"/>
        </w:rPr>
        <w:t>y repercusiones</w:t>
      </w:r>
      <w:r w:rsidRPr="000C602C">
        <w:rPr>
          <w:lang w:val="es-ES"/>
        </w:rPr>
        <w:t xml:space="preserve"> reglamentarias;</w:t>
      </w:r>
      <w:r w:rsidR="007A0A57" w:rsidRPr="000C602C">
        <w:rPr>
          <w:lang w:val="es-ES"/>
        </w:rPr>
        <w:t xml:space="preserve"> y</w:t>
      </w:r>
    </w:p>
    <w:p w14:paraId="40697D4B" w14:textId="6000A47B" w:rsidR="004739E3" w:rsidRPr="000C602C" w:rsidRDefault="00416E90" w:rsidP="004739E3">
      <w:pPr>
        <w:pStyle w:val="enumlev1"/>
        <w:rPr>
          <w:lang w:val="es-ES"/>
        </w:rPr>
      </w:pPr>
      <w:r w:rsidRPr="000C602C">
        <w:rPr>
          <w:lang w:val="es-ES"/>
        </w:rPr>
        <w:t>–</w:t>
      </w:r>
      <w:r w:rsidRPr="000C602C">
        <w:rPr>
          <w:lang w:val="es-ES"/>
        </w:rPr>
        <w:tab/>
        <w:t>sostenibilidad medioambiental.</w:t>
      </w:r>
      <w:bookmarkEnd w:id="17"/>
    </w:p>
    <w:p w14:paraId="02124430" w14:textId="04BE4C38" w:rsidR="004739E3" w:rsidRPr="000C602C" w:rsidRDefault="00101E2C" w:rsidP="00101E2C">
      <w:pPr>
        <w:pStyle w:val="Heading1"/>
        <w:rPr>
          <w:lang w:val="es-ES"/>
        </w:rPr>
      </w:pPr>
      <w:r w:rsidRPr="000C602C">
        <w:rPr>
          <w:lang w:val="es-ES"/>
        </w:rPr>
        <w:lastRenderedPageBreak/>
        <w:t>2</w:t>
      </w:r>
      <w:r w:rsidRPr="000C602C">
        <w:rPr>
          <w:lang w:val="es-ES"/>
        </w:rPr>
        <w:tab/>
        <w:t>Objetivos</w:t>
      </w:r>
    </w:p>
    <w:p w14:paraId="0932248B" w14:textId="7D51637E" w:rsidR="004739E3" w:rsidRPr="000C602C" w:rsidRDefault="007A0A57" w:rsidP="00D0791A">
      <w:pPr>
        <w:rPr>
          <w:lang w:val="es-ES"/>
        </w:rPr>
      </w:pPr>
      <w:bookmarkStart w:id="18" w:name="lt_pId134"/>
      <w:r w:rsidRPr="000C602C">
        <w:rPr>
          <w:lang w:val="es-ES"/>
        </w:rPr>
        <w:t>El objetivo de</w:t>
      </w:r>
      <w:r w:rsidR="00D0791A" w:rsidRPr="000C602C">
        <w:rPr>
          <w:lang w:val="es-ES"/>
        </w:rPr>
        <w:t xml:space="preserve"> este Grupo Temático es</w:t>
      </w:r>
      <w:r w:rsidRPr="000C602C">
        <w:rPr>
          <w:lang w:val="es-ES"/>
        </w:rPr>
        <w:t xml:space="preserve"> apoyar las actividades previas a la normalización, </w:t>
      </w:r>
      <w:r w:rsidR="00D55830">
        <w:rPr>
          <w:lang w:val="es-ES"/>
        </w:rPr>
        <w:t>incluidas</w:t>
      </w:r>
      <w:r w:rsidRPr="000C602C">
        <w:rPr>
          <w:lang w:val="es-ES"/>
        </w:rPr>
        <w:t xml:space="preserve"> las </w:t>
      </w:r>
      <w:r w:rsidR="00D55830">
        <w:rPr>
          <w:lang w:val="es-ES"/>
        </w:rPr>
        <w:t>encaminadas a</w:t>
      </w:r>
      <w:r w:rsidR="004739E3" w:rsidRPr="000C602C">
        <w:rPr>
          <w:lang w:val="es-ES"/>
        </w:rPr>
        <w:t>:</w:t>
      </w:r>
      <w:bookmarkEnd w:id="18"/>
    </w:p>
    <w:p w14:paraId="63B09B98" w14:textId="057C6FEB" w:rsidR="004739E3" w:rsidRPr="000C602C" w:rsidRDefault="004739E3" w:rsidP="00D0791A">
      <w:pPr>
        <w:pStyle w:val="enumlev1"/>
        <w:rPr>
          <w:lang w:val="es-ES"/>
        </w:rPr>
      </w:pPr>
      <w:bookmarkStart w:id="19" w:name="lt_pId135"/>
      <w:r w:rsidRPr="000C602C">
        <w:rPr>
          <w:lang w:val="es-ES"/>
        </w:rPr>
        <w:t>a)</w:t>
      </w:r>
      <w:bookmarkEnd w:id="19"/>
      <w:r w:rsidRPr="000C602C">
        <w:rPr>
          <w:lang w:val="es-ES"/>
        </w:rPr>
        <w:tab/>
      </w:r>
      <w:bookmarkStart w:id="20" w:name="lt_pId136"/>
      <w:r w:rsidR="00EB74CD" w:rsidRPr="000C602C">
        <w:rPr>
          <w:lang w:val="es-ES"/>
        </w:rPr>
        <w:t>e</w:t>
      </w:r>
      <w:r w:rsidR="007A0A57" w:rsidRPr="000C602C">
        <w:rPr>
          <w:lang w:val="es-ES"/>
        </w:rPr>
        <w:t>studiar la terminología, los conceptos, la visión y el ecosistema</w:t>
      </w:r>
      <w:bookmarkEnd w:id="20"/>
      <w:r w:rsidR="00EB74CD" w:rsidRPr="000C602C">
        <w:rPr>
          <w:lang w:val="es-ES"/>
        </w:rPr>
        <w:t>;</w:t>
      </w:r>
    </w:p>
    <w:p w14:paraId="094E11C7" w14:textId="4647B113" w:rsidR="004739E3" w:rsidRPr="000C602C" w:rsidRDefault="004739E3" w:rsidP="00EB74CD">
      <w:pPr>
        <w:pStyle w:val="enumlev1"/>
        <w:rPr>
          <w:lang w:val="es-ES"/>
        </w:rPr>
      </w:pPr>
      <w:bookmarkStart w:id="21" w:name="lt_pId137"/>
      <w:r w:rsidRPr="000C602C">
        <w:rPr>
          <w:lang w:val="es-ES"/>
        </w:rPr>
        <w:t>b)</w:t>
      </w:r>
      <w:bookmarkEnd w:id="21"/>
      <w:r w:rsidRPr="000C602C">
        <w:rPr>
          <w:lang w:val="es-ES"/>
        </w:rPr>
        <w:tab/>
      </w:r>
      <w:bookmarkStart w:id="22" w:name="lt_pId138"/>
      <w:r w:rsidR="00EB74CD" w:rsidRPr="000C602C">
        <w:rPr>
          <w:lang w:val="es-ES"/>
        </w:rPr>
        <w:t>i</w:t>
      </w:r>
      <w:r w:rsidR="007A0A57" w:rsidRPr="000C602C">
        <w:rPr>
          <w:lang w:val="es-ES"/>
        </w:rPr>
        <w:t>dentificar y estudiar las tecnologías habilitadoras, su evolución y las tareas clave a efectos de</w:t>
      </w:r>
      <w:r w:rsidR="00EB74CD" w:rsidRPr="000C602C">
        <w:rPr>
          <w:lang w:val="es-ES"/>
        </w:rPr>
        <w:t xml:space="preserve"> la</w:t>
      </w:r>
      <w:r w:rsidR="007A0A57" w:rsidRPr="000C602C">
        <w:rPr>
          <w:lang w:val="es-ES"/>
        </w:rPr>
        <w:t xml:space="preserve"> normalización, incluidos los multimedios, la optimización de redes, la conectividad, la interoperabilidad de servicios y aplicaciones, la seguridad, la protección de la </w:t>
      </w:r>
      <w:r w:rsidR="008B5344" w:rsidRPr="000C602C">
        <w:rPr>
          <w:lang w:val="es-ES"/>
        </w:rPr>
        <w:t>IIP</w:t>
      </w:r>
      <w:r w:rsidR="007A0A57" w:rsidRPr="000C602C">
        <w:rPr>
          <w:lang w:val="es-ES"/>
        </w:rPr>
        <w:t>, la calidad (incluido el ancho de banda), los activos digitales (por ejemplo, las monedas digitales), la</w:t>
      </w:r>
      <w:r w:rsidR="00E50A59">
        <w:rPr>
          <w:lang w:val="es-ES"/>
        </w:rPr>
        <w:t> </w:t>
      </w:r>
      <w:r w:rsidR="007A0A57" w:rsidRPr="000C602C">
        <w:rPr>
          <w:lang w:val="es-ES"/>
        </w:rPr>
        <w:t>I</w:t>
      </w:r>
      <w:r w:rsidR="00EB74CD" w:rsidRPr="000C602C">
        <w:rPr>
          <w:lang w:val="es-ES"/>
        </w:rPr>
        <w:t>oT</w:t>
      </w:r>
      <w:r w:rsidR="007A0A57" w:rsidRPr="000C602C">
        <w:rPr>
          <w:lang w:val="es-ES"/>
        </w:rPr>
        <w:t xml:space="preserve">, la accesibilidad, </w:t>
      </w:r>
      <w:r w:rsidR="00EB74CD" w:rsidRPr="000C602C">
        <w:rPr>
          <w:lang w:val="es-ES"/>
        </w:rPr>
        <w:t>los</w:t>
      </w:r>
      <w:r w:rsidR="007A0A57" w:rsidRPr="000C602C">
        <w:rPr>
          <w:lang w:val="es-ES"/>
        </w:rPr>
        <w:t xml:space="preserve"> gemelo</w:t>
      </w:r>
      <w:r w:rsidR="00EB74CD" w:rsidRPr="000C602C">
        <w:rPr>
          <w:lang w:val="es-ES"/>
        </w:rPr>
        <w:t>s</w:t>
      </w:r>
      <w:r w:rsidR="007A0A57" w:rsidRPr="000C602C">
        <w:rPr>
          <w:lang w:val="es-ES"/>
        </w:rPr>
        <w:t xml:space="preserve"> digital</w:t>
      </w:r>
      <w:r w:rsidR="00EB74CD" w:rsidRPr="000C602C">
        <w:rPr>
          <w:lang w:val="es-ES"/>
        </w:rPr>
        <w:t>es</w:t>
      </w:r>
      <w:r w:rsidR="007A0A57" w:rsidRPr="000C602C">
        <w:rPr>
          <w:lang w:val="es-ES"/>
        </w:rPr>
        <w:t xml:space="preserve"> y la sostenibilidad medioambiental</w:t>
      </w:r>
      <w:bookmarkEnd w:id="22"/>
      <w:r w:rsidR="00EB74CD" w:rsidRPr="000C602C">
        <w:rPr>
          <w:lang w:val="es-ES"/>
        </w:rPr>
        <w:t>;</w:t>
      </w:r>
    </w:p>
    <w:p w14:paraId="130CC6ED" w14:textId="2BBE46C8" w:rsidR="004739E3" w:rsidRPr="000C602C" w:rsidRDefault="004739E3" w:rsidP="004739E3">
      <w:pPr>
        <w:pStyle w:val="enumlev1"/>
        <w:rPr>
          <w:lang w:val="es-ES"/>
        </w:rPr>
      </w:pPr>
      <w:bookmarkStart w:id="23" w:name="lt_pId139"/>
      <w:r w:rsidRPr="000C602C">
        <w:rPr>
          <w:lang w:val="es-ES"/>
        </w:rPr>
        <w:t>c)</w:t>
      </w:r>
      <w:bookmarkEnd w:id="23"/>
      <w:r w:rsidRPr="000C602C">
        <w:rPr>
          <w:lang w:val="es-ES"/>
        </w:rPr>
        <w:tab/>
      </w:r>
      <w:bookmarkStart w:id="24" w:name="lt_pId140"/>
      <w:r w:rsidR="00EB74CD" w:rsidRPr="000C602C">
        <w:rPr>
          <w:lang w:val="es-ES"/>
        </w:rPr>
        <w:t>llevar a cabo estudios</w:t>
      </w:r>
      <w:r w:rsidR="007A0A57" w:rsidRPr="000C602C">
        <w:rPr>
          <w:lang w:val="es-ES"/>
        </w:rPr>
        <w:t xml:space="preserve"> y recopilar información </w:t>
      </w:r>
      <w:r w:rsidR="00EB74CD" w:rsidRPr="000C602C">
        <w:rPr>
          <w:lang w:val="es-ES"/>
        </w:rPr>
        <w:t>a fin de</w:t>
      </w:r>
      <w:r w:rsidR="007A0A57" w:rsidRPr="000C602C">
        <w:rPr>
          <w:lang w:val="es-ES"/>
        </w:rPr>
        <w:t xml:space="preserve"> elaborar una hoja de ruta previa a la normalización</w:t>
      </w:r>
      <w:bookmarkEnd w:id="24"/>
      <w:r w:rsidR="00EB74CD" w:rsidRPr="000C602C">
        <w:rPr>
          <w:lang w:val="es-ES"/>
        </w:rPr>
        <w:t>;</w:t>
      </w:r>
    </w:p>
    <w:p w14:paraId="6C383E72" w14:textId="19F9BF9F" w:rsidR="004739E3" w:rsidRPr="000C602C" w:rsidRDefault="004739E3" w:rsidP="00EB74CD">
      <w:pPr>
        <w:pStyle w:val="enumlev1"/>
        <w:rPr>
          <w:lang w:val="es-ES"/>
        </w:rPr>
      </w:pPr>
      <w:bookmarkStart w:id="25" w:name="lt_pId141"/>
      <w:r w:rsidRPr="000C602C">
        <w:rPr>
          <w:lang w:val="es-ES"/>
        </w:rPr>
        <w:t>d)</w:t>
      </w:r>
      <w:bookmarkEnd w:id="25"/>
      <w:r w:rsidRPr="000C602C">
        <w:rPr>
          <w:lang w:val="es-ES"/>
        </w:rPr>
        <w:tab/>
      </w:r>
      <w:bookmarkStart w:id="26" w:name="lt_pId142"/>
      <w:r w:rsidR="00EB74CD" w:rsidRPr="000C602C">
        <w:rPr>
          <w:lang w:val="es-ES"/>
        </w:rPr>
        <w:t>c</w:t>
      </w:r>
      <w:r w:rsidR="007A0A57" w:rsidRPr="000C602C">
        <w:rPr>
          <w:lang w:val="es-ES"/>
        </w:rPr>
        <w:t>rear una comunidad de expertos y profesionales</w:t>
      </w:r>
      <w:r w:rsidR="00EB74CD" w:rsidRPr="000C602C">
        <w:rPr>
          <w:lang w:val="es-ES"/>
        </w:rPr>
        <w:t>, con el objetivo de</w:t>
      </w:r>
      <w:r w:rsidR="007A0A57" w:rsidRPr="000C602C">
        <w:rPr>
          <w:lang w:val="es-ES"/>
        </w:rPr>
        <w:t xml:space="preserve"> unificar conceptos y </w:t>
      </w:r>
      <w:r w:rsidR="00EB74CD" w:rsidRPr="000C602C">
        <w:rPr>
          <w:lang w:val="es-ES"/>
        </w:rPr>
        <w:t xml:space="preserve">desarrollar posiciones comunes, en beneficio </w:t>
      </w:r>
      <w:r w:rsidR="007A0A57" w:rsidRPr="000C602C">
        <w:rPr>
          <w:lang w:val="es-ES"/>
        </w:rPr>
        <w:t>no s</w:t>
      </w:r>
      <w:r w:rsidR="00EB74CD" w:rsidRPr="000C602C">
        <w:rPr>
          <w:lang w:val="es-ES"/>
        </w:rPr>
        <w:t>o</w:t>
      </w:r>
      <w:r w:rsidR="007A0A57" w:rsidRPr="000C602C">
        <w:rPr>
          <w:lang w:val="es-ES"/>
        </w:rPr>
        <w:t>lo</w:t>
      </w:r>
      <w:r w:rsidR="00EB74CD" w:rsidRPr="000C602C">
        <w:rPr>
          <w:lang w:val="es-ES"/>
        </w:rPr>
        <w:t xml:space="preserve"> de las actividades</w:t>
      </w:r>
      <w:r w:rsidR="007A0A57" w:rsidRPr="000C602C">
        <w:rPr>
          <w:lang w:val="es-ES"/>
        </w:rPr>
        <w:t xml:space="preserve"> de normalización de la UIT, sino también </w:t>
      </w:r>
      <w:r w:rsidR="00EB74CD" w:rsidRPr="000C602C">
        <w:rPr>
          <w:lang w:val="es-ES"/>
        </w:rPr>
        <w:t>de</w:t>
      </w:r>
      <w:r w:rsidR="007A0A57" w:rsidRPr="000C602C">
        <w:rPr>
          <w:lang w:val="es-ES"/>
        </w:rPr>
        <w:t xml:space="preserve"> la comunidad mundial</w:t>
      </w:r>
      <w:bookmarkEnd w:id="26"/>
      <w:r w:rsidR="00EB74CD" w:rsidRPr="000C602C">
        <w:rPr>
          <w:lang w:val="es-ES"/>
        </w:rPr>
        <w:t>;</w:t>
      </w:r>
    </w:p>
    <w:p w14:paraId="1489E566" w14:textId="5E6A91C5" w:rsidR="004739E3" w:rsidRPr="000C602C" w:rsidRDefault="00EE5709" w:rsidP="00EB74CD">
      <w:pPr>
        <w:pStyle w:val="enumlev1"/>
        <w:rPr>
          <w:lang w:val="es-ES"/>
        </w:rPr>
      </w:pPr>
      <w:bookmarkStart w:id="27" w:name="lt_pId143"/>
      <w:r w:rsidRPr="000C602C">
        <w:rPr>
          <w:lang w:val="es-ES"/>
        </w:rPr>
        <w:t>e)</w:t>
      </w:r>
      <w:bookmarkEnd w:id="27"/>
      <w:r w:rsidRPr="000C602C">
        <w:rPr>
          <w:lang w:val="es-ES"/>
        </w:rPr>
        <w:tab/>
      </w:r>
      <w:bookmarkStart w:id="28" w:name="lt_pId144"/>
      <w:r w:rsidR="00EB74CD" w:rsidRPr="000C602C">
        <w:rPr>
          <w:lang w:val="es-ES"/>
        </w:rPr>
        <w:t>determinar con qué</w:t>
      </w:r>
      <w:r w:rsidR="007A0A57" w:rsidRPr="000C602C">
        <w:rPr>
          <w:lang w:val="es-ES"/>
        </w:rPr>
        <w:t xml:space="preserve"> partes interesadas </w:t>
      </w:r>
      <w:r w:rsidR="00EB74CD" w:rsidRPr="000C602C">
        <w:rPr>
          <w:lang w:val="es-ES"/>
        </w:rPr>
        <w:t xml:space="preserve">podría </w:t>
      </w:r>
      <w:r w:rsidR="007A0A57" w:rsidRPr="000C602C">
        <w:rPr>
          <w:lang w:val="es-ES"/>
        </w:rPr>
        <w:t xml:space="preserve">colaborar </w:t>
      </w:r>
      <w:r w:rsidR="005F4607" w:rsidRPr="000C602C">
        <w:rPr>
          <w:lang w:val="es-ES"/>
        </w:rPr>
        <w:t>el UIT-T</w:t>
      </w:r>
      <w:r w:rsidR="005F4607">
        <w:rPr>
          <w:lang w:val="es-ES"/>
        </w:rPr>
        <w:t>,</w:t>
      </w:r>
      <w:r w:rsidR="007A0A57" w:rsidRPr="000C602C">
        <w:rPr>
          <w:lang w:val="es-ES"/>
        </w:rPr>
        <w:t xml:space="preserve"> establecer</w:t>
      </w:r>
      <w:r w:rsidR="00EB74CD" w:rsidRPr="000C602C">
        <w:rPr>
          <w:lang w:val="es-ES"/>
        </w:rPr>
        <w:t xml:space="preserve"> vínculos y </w:t>
      </w:r>
      <w:r w:rsidR="007A0A57" w:rsidRPr="000C602C">
        <w:rPr>
          <w:lang w:val="es-ES"/>
        </w:rPr>
        <w:t xml:space="preserve">relaciones con otras organizaciones </w:t>
      </w:r>
      <w:r w:rsidR="005F4607">
        <w:rPr>
          <w:lang w:val="es-ES"/>
        </w:rPr>
        <w:t>que obren en</w:t>
      </w:r>
      <w:r w:rsidR="00EB74CD" w:rsidRPr="000C602C">
        <w:rPr>
          <w:lang w:val="es-ES"/>
        </w:rPr>
        <w:t xml:space="preserve"> favor de</w:t>
      </w:r>
      <w:r w:rsidR="007A0A57" w:rsidRPr="000C602C">
        <w:rPr>
          <w:lang w:val="es-ES"/>
        </w:rPr>
        <w:t xml:space="preserve"> las actividades previas a la normalización</w:t>
      </w:r>
      <w:r w:rsidR="00EB74CD" w:rsidRPr="000C602C">
        <w:rPr>
          <w:lang w:val="es-ES"/>
        </w:rPr>
        <w:t>,</w:t>
      </w:r>
      <w:r w:rsidR="007A0A57" w:rsidRPr="000C602C">
        <w:rPr>
          <w:lang w:val="es-ES"/>
        </w:rPr>
        <w:t xml:space="preserve"> </w:t>
      </w:r>
      <w:r w:rsidR="005F4607">
        <w:rPr>
          <w:lang w:val="es-ES"/>
        </w:rPr>
        <w:t>y definir</w:t>
      </w:r>
      <w:r w:rsidR="007A0A57" w:rsidRPr="000C602C">
        <w:rPr>
          <w:lang w:val="es-ES"/>
        </w:rPr>
        <w:t xml:space="preserve"> posibles </w:t>
      </w:r>
      <w:r w:rsidR="00EB74CD" w:rsidRPr="000C602C">
        <w:rPr>
          <w:lang w:val="es-ES"/>
        </w:rPr>
        <w:t>iniciativas</w:t>
      </w:r>
      <w:r w:rsidR="007A0A57" w:rsidRPr="000C602C">
        <w:rPr>
          <w:lang w:val="es-ES"/>
        </w:rPr>
        <w:t xml:space="preserve"> colectivas y pasos específicos</w:t>
      </w:r>
      <w:bookmarkEnd w:id="28"/>
      <w:r w:rsidR="005F4607">
        <w:rPr>
          <w:lang w:val="es-ES"/>
        </w:rPr>
        <w:t xml:space="preserve"> de cara al futuro</w:t>
      </w:r>
      <w:r w:rsidR="00EB74CD" w:rsidRPr="000C602C">
        <w:rPr>
          <w:lang w:val="es-ES"/>
        </w:rPr>
        <w:t>;</w:t>
      </w:r>
    </w:p>
    <w:p w14:paraId="6C3E9F13" w14:textId="09EAD588" w:rsidR="004739E3" w:rsidRPr="000C602C" w:rsidRDefault="004739E3" w:rsidP="00EB74CD">
      <w:pPr>
        <w:pStyle w:val="enumlev1"/>
        <w:rPr>
          <w:lang w:val="es-ES"/>
        </w:rPr>
      </w:pPr>
      <w:bookmarkStart w:id="29" w:name="lt_pId145"/>
      <w:r w:rsidRPr="000C602C">
        <w:rPr>
          <w:lang w:val="es-ES"/>
        </w:rPr>
        <w:t>f)</w:t>
      </w:r>
      <w:bookmarkEnd w:id="29"/>
      <w:r w:rsidRPr="000C602C">
        <w:rPr>
          <w:lang w:val="es-ES"/>
        </w:rPr>
        <w:tab/>
      </w:r>
      <w:bookmarkStart w:id="30" w:name="lt_pId146"/>
      <w:r w:rsidR="00EB74CD" w:rsidRPr="000C602C">
        <w:rPr>
          <w:lang w:val="es-ES"/>
        </w:rPr>
        <w:t>fomentar</w:t>
      </w:r>
      <w:r w:rsidR="007A0A57" w:rsidRPr="000C602C">
        <w:rPr>
          <w:lang w:val="es-ES"/>
        </w:rPr>
        <w:t xml:space="preserve"> la colaboración internacional, compartir conocimientos y buenas prácticas, y explorar oportunidades y </w:t>
      </w:r>
      <w:r w:rsidR="00EB74CD" w:rsidRPr="000C602C">
        <w:rPr>
          <w:lang w:val="es-ES"/>
        </w:rPr>
        <w:t>desafíos</w:t>
      </w:r>
      <w:r w:rsidR="007A0A57" w:rsidRPr="000C602C">
        <w:rPr>
          <w:lang w:val="es-ES"/>
        </w:rPr>
        <w:t xml:space="preserve"> relacionados con la interoperabilidad</w:t>
      </w:r>
      <w:bookmarkEnd w:id="30"/>
      <w:r w:rsidR="00EB74CD" w:rsidRPr="000C602C">
        <w:rPr>
          <w:lang w:val="es-ES"/>
        </w:rPr>
        <w:t>; y</w:t>
      </w:r>
    </w:p>
    <w:p w14:paraId="061B0D84" w14:textId="096CF545" w:rsidR="004739E3" w:rsidRPr="000C602C" w:rsidRDefault="00EE5709" w:rsidP="00EB74CD">
      <w:pPr>
        <w:pStyle w:val="enumlev1"/>
        <w:rPr>
          <w:lang w:val="es-ES"/>
        </w:rPr>
      </w:pPr>
      <w:bookmarkStart w:id="31" w:name="lt_pId147"/>
      <w:r w:rsidRPr="000C602C">
        <w:rPr>
          <w:lang w:val="es-ES"/>
        </w:rPr>
        <w:t>g)</w:t>
      </w:r>
      <w:bookmarkEnd w:id="31"/>
      <w:r w:rsidRPr="000C602C">
        <w:rPr>
          <w:lang w:val="es-ES"/>
        </w:rPr>
        <w:tab/>
      </w:r>
      <w:bookmarkStart w:id="32" w:name="lt_pId148"/>
      <w:r w:rsidR="00EB74CD" w:rsidRPr="000C602C">
        <w:rPr>
          <w:lang w:val="es-ES"/>
        </w:rPr>
        <w:t>p</w:t>
      </w:r>
      <w:r w:rsidR="007A0A57" w:rsidRPr="000C602C">
        <w:rPr>
          <w:lang w:val="es-ES"/>
        </w:rPr>
        <w:t xml:space="preserve">roporcionar una plataforma </w:t>
      </w:r>
      <w:r w:rsidR="00EB74CD" w:rsidRPr="000C602C">
        <w:rPr>
          <w:lang w:val="es-ES"/>
        </w:rPr>
        <w:t xml:space="preserve">en la que </w:t>
      </w:r>
      <w:r w:rsidR="007A0A57" w:rsidRPr="000C602C">
        <w:rPr>
          <w:lang w:val="es-ES"/>
        </w:rPr>
        <w:t>compartir resultados y</w:t>
      </w:r>
      <w:r w:rsidR="00EB74CD" w:rsidRPr="000C602C">
        <w:rPr>
          <w:lang w:val="es-ES"/>
        </w:rPr>
        <w:t xml:space="preserve"> entablar un</w:t>
      </w:r>
      <w:r w:rsidR="007A0A57" w:rsidRPr="000C602C">
        <w:rPr>
          <w:lang w:val="es-ES"/>
        </w:rPr>
        <w:t xml:space="preserve"> diálogo sobre las </w:t>
      </w:r>
      <w:r w:rsidR="00EB74CD" w:rsidRPr="000C602C">
        <w:rPr>
          <w:lang w:val="es-ES"/>
        </w:rPr>
        <w:t>repercusiones</w:t>
      </w:r>
      <w:r w:rsidR="007A0A57" w:rsidRPr="000C602C">
        <w:rPr>
          <w:lang w:val="es-ES"/>
        </w:rPr>
        <w:t xml:space="preserve"> económicas, políticas y </w:t>
      </w:r>
      <w:r w:rsidR="00EB74CD" w:rsidRPr="000C602C">
        <w:rPr>
          <w:lang w:val="es-ES"/>
        </w:rPr>
        <w:t>reglamentarias</w:t>
      </w:r>
      <w:r w:rsidR="007A0A57" w:rsidRPr="000C602C">
        <w:rPr>
          <w:lang w:val="es-ES"/>
        </w:rPr>
        <w:t xml:space="preserve"> del metaverso </w:t>
      </w:r>
      <w:r w:rsidR="00EB74CD" w:rsidRPr="000C602C">
        <w:rPr>
          <w:lang w:val="es-ES"/>
        </w:rPr>
        <w:t>para el sector de</w:t>
      </w:r>
      <w:r w:rsidR="007A0A57" w:rsidRPr="000C602C">
        <w:rPr>
          <w:lang w:val="es-ES"/>
        </w:rPr>
        <w:t xml:space="preserve"> las telecomunicaciones/TIC.</w:t>
      </w:r>
      <w:bookmarkEnd w:id="32"/>
    </w:p>
    <w:p w14:paraId="2CC164CA" w14:textId="66F58635" w:rsidR="004739E3" w:rsidRPr="000C602C" w:rsidRDefault="004739E3" w:rsidP="004739E3">
      <w:pPr>
        <w:pStyle w:val="Heading1"/>
        <w:rPr>
          <w:lang w:val="es-ES"/>
        </w:rPr>
      </w:pPr>
      <w:r w:rsidRPr="000C602C">
        <w:rPr>
          <w:lang w:val="es-ES"/>
        </w:rPr>
        <w:t>3</w:t>
      </w:r>
      <w:r w:rsidRPr="000C602C">
        <w:rPr>
          <w:lang w:val="es-ES"/>
        </w:rPr>
        <w:tab/>
      </w:r>
      <w:r w:rsidR="007A0A57" w:rsidRPr="000C602C">
        <w:rPr>
          <w:lang w:val="es-ES"/>
        </w:rPr>
        <w:t>Tareas y productos específicos</w:t>
      </w:r>
    </w:p>
    <w:p w14:paraId="12446CA2" w14:textId="658F4BA6" w:rsidR="004739E3" w:rsidRPr="000C602C" w:rsidRDefault="00A81D0B" w:rsidP="008B5344">
      <w:pPr>
        <w:rPr>
          <w:lang w:val="es-ES"/>
        </w:rPr>
      </w:pPr>
      <w:bookmarkStart w:id="33" w:name="lt_pId151"/>
      <w:r w:rsidRPr="000C602C">
        <w:rPr>
          <w:lang w:val="es-ES"/>
        </w:rPr>
        <w:t xml:space="preserve">Cabe prever que el Grupo Temático presente sus productos al </w:t>
      </w:r>
      <w:r w:rsidR="007A0A57" w:rsidRPr="000C602C">
        <w:rPr>
          <w:lang w:val="es-ES"/>
        </w:rPr>
        <w:t>GANT a tiempo para su reunión de enero de 2024</w:t>
      </w:r>
      <w:r w:rsidRPr="000C602C">
        <w:rPr>
          <w:lang w:val="es-ES"/>
        </w:rPr>
        <w:t>,</w:t>
      </w:r>
      <w:r w:rsidR="007A0A57" w:rsidRPr="000C602C">
        <w:rPr>
          <w:lang w:val="es-ES"/>
        </w:rPr>
        <w:t xml:space="preserve"> </w:t>
      </w:r>
      <w:r w:rsidR="005F4607">
        <w:rPr>
          <w:lang w:val="es-ES"/>
        </w:rPr>
        <w:t>con el objetivo de</w:t>
      </w:r>
      <w:r w:rsidR="008B5344" w:rsidRPr="000C602C">
        <w:rPr>
          <w:lang w:val="es-ES"/>
        </w:rPr>
        <w:t xml:space="preserve"> que este los examine y adopte las medidas oportunas</w:t>
      </w:r>
      <w:r w:rsidR="007A0A57" w:rsidRPr="000C602C">
        <w:rPr>
          <w:lang w:val="es-ES"/>
        </w:rPr>
        <w:t>, según proceda (por ejemplo, distribución a las CE para su consideración al iniciar nuevos trabajos).</w:t>
      </w:r>
      <w:bookmarkEnd w:id="33"/>
    </w:p>
    <w:p w14:paraId="66082EC2" w14:textId="60298EEE" w:rsidR="004739E3" w:rsidRPr="000C602C" w:rsidRDefault="004739E3" w:rsidP="008B5344">
      <w:pPr>
        <w:pStyle w:val="enumlev1"/>
        <w:rPr>
          <w:lang w:val="es-ES"/>
        </w:rPr>
      </w:pPr>
      <w:bookmarkStart w:id="34" w:name="lt_pId152"/>
      <w:r w:rsidRPr="000C602C">
        <w:rPr>
          <w:lang w:val="es-ES"/>
        </w:rPr>
        <w:t>a)</w:t>
      </w:r>
      <w:bookmarkEnd w:id="34"/>
      <w:r w:rsidRPr="000C602C">
        <w:rPr>
          <w:lang w:val="es-ES"/>
        </w:rPr>
        <w:tab/>
      </w:r>
      <w:bookmarkStart w:id="35" w:name="lt_pId153"/>
      <w:r w:rsidR="008B5344" w:rsidRPr="000C602C">
        <w:rPr>
          <w:lang w:val="es-ES"/>
        </w:rPr>
        <w:t>Crear productos</w:t>
      </w:r>
      <w:r w:rsidR="007A0A57" w:rsidRPr="000C602C">
        <w:rPr>
          <w:lang w:val="es-ES"/>
        </w:rPr>
        <w:t xml:space="preserve"> relacionados con definiciones </w:t>
      </w:r>
      <w:r w:rsidR="008B5344" w:rsidRPr="000C602C">
        <w:rPr>
          <w:lang w:val="es-ES"/>
        </w:rPr>
        <w:t>funcionales</w:t>
      </w:r>
      <w:r w:rsidR="007A0A57" w:rsidRPr="000C602C">
        <w:rPr>
          <w:lang w:val="es-ES"/>
        </w:rPr>
        <w:t xml:space="preserve"> y </w:t>
      </w:r>
      <w:r w:rsidR="005F4607">
        <w:rPr>
          <w:lang w:val="es-ES"/>
        </w:rPr>
        <w:t>términos</w:t>
      </w:r>
      <w:r w:rsidR="007A0A57" w:rsidRPr="000C602C">
        <w:rPr>
          <w:lang w:val="es-ES"/>
        </w:rPr>
        <w:t>, casos de uso y requisitos.</w:t>
      </w:r>
      <w:bookmarkEnd w:id="35"/>
    </w:p>
    <w:p w14:paraId="62F6B33F" w14:textId="2B5D77F3" w:rsidR="004739E3" w:rsidRPr="000C602C" w:rsidRDefault="004739E3" w:rsidP="008B5344">
      <w:pPr>
        <w:pStyle w:val="enumlev1"/>
        <w:rPr>
          <w:lang w:val="es-ES"/>
        </w:rPr>
      </w:pPr>
      <w:bookmarkStart w:id="36" w:name="lt_pId154"/>
      <w:r w:rsidRPr="000C602C">
        <w:rPr>
          <w:lang w:val="es-ES"/>
        </w:rPr>
        <w:t>b)</w:t>
      </w:r>
      <w:bookmarkEnd w:id="36"/>
      <w:r w:rsidRPr="000C602C">
        <w:rPr>
          <w:lang w:val="es-ES"/>
        </w:rPr>
        <w:tab/>
      </w:r>
      <w:bookmarkStart w:id="37" w:name="lt_pId155"/>
      <w:r w:rsidR="008B5344" w:rsidRPr="000C602C">
        <w:rPr>
          <w:lang w:val="es-ES"/>
        </w:rPr>
        <w:t xml:space="preserve">Crear productos relacionados con </w:t>
      </w:r>
      <w:r w:rsidR="007A0A57" w:rsidRPr="000C602C">
        <w:rPr>
          <w:lang w:val="es-ES"/>
        </w:rPr>
        <w:t>directrices y recopilaci</w:t>
      </w:r>
      <w:r w:rsidR="008B5344" w:rsidRPr="000C602C">
        <w:rPr>
          <w:lang w:val="es-ES"/>
        </w:rPr>
        <w:t>ones</w:t>
      </w:r>
      <w:r w:rsidR="007A0A57" w:rsidRPr="000C602C">
        <w:rPr>
          <w:lang w:val="es-ES"/>
        </w:rPr>
        <w:t xml:space="preserve"> de </w:t>
      </w:r>
      <w:r w:rsidR="005F4607">
        <w:rPr>
          <w:lang w:val="es-ES"/>
        </w:rPr>
        <w:t>prácticas</w:t>
      </w:r>
      <w:r w:rsidR="007A0A57" w:rsidRPr="000C602C">
        <w:rPr>
          <w:lang w:val="es-ES"/>
        </w:rPr>
        <w:t xml:space="preserve"> </w:t>
      </w:r>
      <w:r w:rsidR="008B5344" w:rsidRPr="000C602C">
        <w:rPr>
          <w:lang w:val="es-ES"/>
        </w:rPr>
        <w:t>idóneas</w:t>
      </w:r>
      <w:r w:rsidR="007A0A57" w:rsidRPr="000C602C">
        <w:rPr>
          <w:lang w:val="es-ES"/>
        </w:rPr>
        <w:t>, incluido</w:t>
      </w:r>
      <w:r w:rsidR="008B5344" w:rsidRPr="000C602C">
        <w:rPr>
          <w:lang w:val="es-ES"/>
        </w:rPr>
        <w:t>s</w:t>
      </w:r>
      <w:r w:rsidR="007A0A57" w:rsidRPr="000C602C">
        <w:rPr>
          <w:lang w:val="es-ES"/>
        </w:rPr>
        <w:t xml:space="preserve"> un análisis de carencias y una hoja de ruta previa a la normalización. </w:t>
      </w:r>
      <w:bookmarkEnd w:id="37"/>
    </w:p>
    <w:p w14:paraId="2D4771DF" w14:textId="4761025D" w:rsidR="004739E3" w:rsidRPr="000C602C" w:rsidRDefault="004739E3" w:rsidP="008B5344">
      <w:pPr>
        <w:pStyle w:val="enumlev1"/>
        <w:rPr>
          <w:lang w:val="es-ES"/>
        </w:rPr>
      </w:pPr>
      <w:bookmarkStart w:id="38" w:name="lt_pId156"/>
      <w:r w:rsidRPr="000C602C">
        <w:rPr>
          <w:lang w:val="es-ES"/>
        </w:rPr>
        <w:t>c)</w:t>
      </w:r>
      <w:bookmarkEnd w:id="38"/>
      <w:r w:rsidRPr="000C602C">
        <w:rPr>
          <w:lang w:val="es-ES"/>
        </w:rPr>
        <w:tab/>
      </w:r>
      <w:bookmarkStart w:id="39" w:name="lt_pId157"/>
      <w:r w:rsidR="008B5344" w:rsidRPr="000C602C">
        <w:rPr>
          <w:lang w:val="es-ES"/>
        </w:rPr>
        <w:t xml:space="preserve">Crear productos relacionados con </w:t>
      </w:r>
      <w:r w:rsidR="007A0A57" w:rsidRPr="000C602C">
        <w:rPr>
          <w:lang w:val="es-ES"/>
        </w:rPr>
        <w:t xml:space="preserve">marcos técnicos </w:t>
      </w:r>
      <w:r w:rsidR="005F4607">
        <w:rPr>
          <w:lang w:val="es-ES"/>
        </w:rPr>
        <w:t>y</w:t>
      </w:r>
      <w:r w:rsidR="007A0A57" w:rsidRPr="000C602C">
        <w:rPr>
          <w:lang w:val="es-ES"/>
        </w:rPr>
        <w:t xml:space="preserve"> arquitectura</w:t>
      </w:r>
      <w:r w:rsidR="008B5344" w:rsidRPr="000C602C">
        <w:rPr>
          <w:lang w:val="es-ES"/>
        </w:rPr>
        <w:t>s</w:t>
      </w:r>
      <w:r w:rsidR="007A0A57" w:rsidRPr="000C602C">
        <w:rPr>
          <w:lang w:val="es-ES"/>
        </w:rPr>
        <w:t xml:space="preserve">, teniendo en cuenta </w:t>
      </w:r>
      <w:r w:rsidR="008B5344" w:rsidRPr="000C602C">
        <w:rPr>
          <w:lang w:val="es-ES"/>
        </w:rPr>
        <w:t xml:space="preserve">diversos </w:t>
      </w:r>
      <w:r w:rsidR="007A0A57" w:rsidRPr="000C602C">
        <w:rPr>
          <w:lang w:val="es-ES"/>
        </w:rPr>
        <w:t>requisitos y enfoques</w:t>
      </w:r>
      <w:r w:rsidR="008B5344" w:rsidRPr="000C602C">
        <w:rPr>
          <w:lang w:val="es-ES"/>
        </w:rPr>
        <w:t xml:space="preserve"> en materia</w:t>
      </w:r>
      <w:r w:rsidR="007A0A57" w:rsidRPr="000C602C">
        <w:rPr>
          <w:lang w:val="es-ES"/>
        </w:rPr>
        <w:t xml:space="preserve"> de seguridad, la protección de la </w:t>
      </w:r>
      <w:r w:rsidR="008B5344" w:rsidRPr="000C602C">
        <w:rPr>
          <w:lang w:val="es-ES"/>
        </w:rPr>
        <w:t>IIP</w:t>
      </w:r>
      <w:r w:rsidR="007A0A57" w:rsidRPr="000C602C">
        <w:rPr>
          <w:lang w:val="es-ES"/>
        </w:rPr>
        <w:t xml:space="preserve"> y los principios de diseño </w:t>
      </w:r>
      <w:r w:rsidR="008B5344" w:rsidRPr="000C602C">
        <w:rPr>
          <w:lang w:val="es-ES"/>
        </w:rPr>
        <w:t xml:space="preserve">necesarios </w:t>
      </w:r>
      <w:r w:rsidR="007A0A57" w:rsidRPr="000C602C">
        <w:rPr>
          <w:lang w:val="es-ES"/>
        </w:rPr>
        <w:t>para cumplir los requisitos de accesibilidad.</w:t>
      </w:r>
      <w:bookmarkEnd w:id="39"/>
    </w:p>
    <w:p w14:paraId="28E846C3" w14:textId="178CC721" w:rsidR="004739E3" w:rsidRPr="000C602C" w:rsidRDefault="004739E3" w:rsidP="008B5344">
      <w:pPr>
        <w:pStyle w:val="enumlev1"/>
        <w:rPr>
          <w:lang w:val="es-ES"/>
        </w:rPr>
      </w:pPr>
      <w:bookmarkStart w:id="40" w:name="lt_pId158"/>
      <w:r w:rsidRPr="000C602C">
        <w:rPr>
          <w:lang w:val="es-ES"/>
        </w:rPr>
        <w:t>d)</w:t>
      </w:r>
      <w:bookmarkEnd w:id="40"/>
      <w:r w:rsidRPr="000C602C">
        <w:rPr>
          <w:lang w:val="es-ES"/>
        </w:rPr>
        <w:tab/>
      </w:r>
      <w:bookmarkStart w:id="41" w:name="lt_pId159"/>
      <w:r w:rsidR="007A0A57" w:rsidRPr="000C602C">
        <w:rPr>
          <w:lang w:val="es-ES"/>
        </w:rPr>
        <w:t xml:space="preserve">Organizar </w:t>
      </w:r>
      <w:r w:rsidR="005F4607" w:rsidRPr="000C602C">
        <w:rPr>
          <w:lang w:val="es-ES"/>
        </w:rPr>
        <w:t xml:space="preserve">y participar en </w:t>
      </w:r>
      <w:r w:rsidR="007A0A57" w:rsidRPr="000C602C">
        <w:rPr>
          <w:lang w:val="es-ES"/>
        </w:rPr>
        <w:t xml:space="preserve">talleres </w:t>
      </w:r>
      <w:r w:rsidR="005F4607">
        <w:rPr>
          <w:lang w:val="es-ES"/>
        </w:rPr>
        <w:t>destinados al intercambio y la</w:t>
      </w:r>
      <w:r w:rsidR="007A0A57" w:rsidRPr="000C602C">
        <w:rPr>
          <w:lang w:val="es-ES"/>
        </w:rPr>
        <w:t xml:space="preserve"> recopila</w:t>
      </w:r>
      <w:r w:rsidR="005F4607">
        <w:rPr>
          <w:lang w:val="es-ES"/>
        </w:rPr>
        <w:t>ción de</w:t>
      </w:r>
      <w:r w:rsidR="007A0A57" w:rsidRPr="000C602C">
        <w:rPr>
          <w:lang w:val="es-ES"/>
        </w:rPr>
        <w:t xml:space="preserve"> conocimientos y experiencias de una amplia gama de expertos y partes interesadas</w:t>
      </w:r>
      <w:r w:rsidRPr="000C602C">
        <w:rPr>
          <w:lang w:val="es-ES"/>
        </w:rPr>
        <w:t>.</w:t>
      </w:r>
      <w:bookmarkEnd w:id="41"/>
    </w:p>
    <w:p w14:paraId="71EF7D01" w14:textId="6F9F8219" w:rsidR="004739E3" w:rsidRPr="000C602C" w:rsidRDefault="004739E3" w:rsidP="008B5344">
      <w:pPr>
        <w:pStyle w:val="enumlev1"/>
        <w:rPr>
          <w:lang w:val="es-ES"/>
        </w:rPr>
      </w:pPr>
      <w:bookmarkStart w:id="42" w:name="lt_pId160"/>
      <w:r w:rsidRPr="000C602C">
        <w:rPr>
          <w:lang w:val="es-ES"/>
        </w:rPr>
        <w:t>e)</w:t>
      </w:r>
      <w:bookmarkEnd w:id="42"/>
      <w:r w:rsidRPr="000C602C">
        <w:rPr>
          <w:lang w:val="es-ES"/>
        </w:rPr>
        <w:tab/>
      </w:r>
      <w:bookmarkStart w:id="43" w:name="lt_pId161"/>
      <w:r w:rsidR="007A0A57" w:rsidRPr="000C602C">
        <w:rPr>
          <w:lang w:val="es-ES"/>
        </w:rPr>
        <w:t xml:space="preserve">Una vez finalizado su ciclo de vida, presentar </w:t>
      </w:r>
      <w:r w:rsidR="008B5344" w:rsidRPr="000C602C">
        <w:rPr>
          <w:lang w:val="es-ES"/>
        </w:rPr>
        <w:t>un</w:t>
      </w:r>
      <w:r w:rsidR="007A0A57" w:rsidRPr="000C602C">
        <w:rPr>
          <w:lang w:val="es-ES"/>
        </w:rPr>
        <w:t xml:space="preserve"> informe final y un conjunto completo de productos al GANT</w:t>
      </w:r>
      <w:r w:rsidRPr="000C602C">
        <w:rPr>
          <w:lang w:val="es-ES"/>
        </w:rPr>
        <w:t>.</w:t>
      </w:r>
      <w:bookmarkEnd w:id="43"/>
    </w:p>
    <w:p w14:paraId="3D16A7BF" w14:textId="66C2F0D7" w:rsidR="004739E3" w:rsidRPr="000C602C" w:rsidRDefault="00EE5709" w:rsidP="00EE5709">
      <w:pPr>
        <w:pStyle w:val="Heading1"/>
        <w:rPr>
          <w:lang w:val="es-ES"/>
        </w:rPr>
      </w:pPr>
      <w:r w:rsidRPr="000C602C">
        <w:rPr>
          <w:lang w:val="es-ES"/>
        </w:rPr>
        <w:t>4</w:t>
      </w:r>
      <w:r w:rsidRPr="000C602C">
        <w:rPr>
          <w:lang w:val="es-ES"/>
        </w:rPr>
        <w:tab/>
        <w:t>Relaciones</w:t>
      </w:r>
    </w:p>
    <w:p w14:paraId="70B65CA9" w14:textId="4ACF030F" w:rsidR="004739E3" w:rsidRPr="000C602C" w:rsidRDefault="007A0A57" w:rsidP="00B96751">
      <w:pPr>
        <w:rPr>
          <w:lang w:val="es-ES"/>
        </w:rPr>
      </w:pPr>
      <w:bookmarkStart w:id="44" w:name="lt_pId164"/>
      <w:r w:rsidRPr="000C602C">
        <w:rPr>
          <w:lang w:val="es-ES"/>
        </w:rPr>
        <w:t xml:space="preserve">El Grupo Temático </w:t>
      </w:r>
      <w:r w:rsidR="00B96751" w:rsidRPr="000C602C">
        <w:rPr>
          <w:lang w:val="es-ES"/>
        </w:rPr>
        <w:t>coordinará sus reuniones con las de</w:t>
      </w:r>
      <w:r w:rsidRPr="000C602C">
        <w:rPr>
          <w:lang w:val="es-ES"/>
        </w:rPr>
        <w:t xml:space="preserve"> las Comisiones de Estudio </w:t>
      </w:r>
      <w:r w:rsidR="00B96751" w:rsidRPr="000C602C">
        <w:rPr>
          <w:lang w:val="es-ES"/>
        </w:rPr>
        <w:t>competentes</w:t>
      </w:r>
      <w:r w:rsidRPr="000C602C">
        <w:rPr>
          <w:lang w:val="es-ES"/>
        </w:rPr>
        <w:t xml:space="preserve"> del UIT-T</w:t>
      </w:r>
      <w:r w:rsidR="00B96751" w:rsidRPr="000C602C">
        <w:rPr>
          <w:lang w:val="es-ES"/>
        </w:rPr>
        <w:t>,</w:t>
      </w:r>
      <w:r w:rsidRPr="000C602C">
        <w:rPr>
          <w:lang w:val="es-ES"/>
        </w:rPr>
        <w:t xml:space="preserve"> cuando sea posible. También establecerá y mantendrá acuerdos de colaboración </w:t>
      </w:r>
      <w:r w:rsidR="00B96751" w:rsidRPr="000C602C">
        <w:rPr>
          <w:lang w:val="es-ES"/>
        </w:rPr>
        <w:t>para tareas específicas</w:t>
      </w:r>
      <w:r w:rsidRPr="000C602C">
        <w:rPr>
          <w:lang w:val="es-ES"/>
        </w:rPr>
        <w:t xml:space="preserve"> con otros socios.</w:t>
      </w:r>
      <w:bookmarkEnd w:id="44"/>
    </w:p>
    <w:p w14:paraId="6AA7C2EB" w14:textId="3595367B" w:rsidR="004739E3" w:rsidRPr="000C602C" w:rsidRDefault="00EE5709" w:rsidP="004739E3">
      <w:pPr>
        <w:rPr>
          <w:lang w:val="es-ES"/>
        </w:rPr>
      </w:pPr>
      <w:r w:rsidRPr="000C602C">
        <w:rPr>
          <w:lang w:val="es-ES"/>
        </w:rPr>
        <w:lastRenderedPageBreak/>
        <w:t>Este Grupo Temático colaborará con:</w:t>
      </w:r>
    </w:p>
    <w:p w14:paraId="16188E0E" w14:textId="35336669" w:rsidR="003F2BE8" w:rsidRPr="000C602C" w:rsidRDefault="003F2BE8" w:rsidP="003F2BE8">
      <w:pPr>
        <w:pStyle w:val="enumlev1"/>
        <w:rPr>
          <w:lang w:val="es-ES"/>
        </w:rPr>
      </w:pPr>
      <w:r w:rsidRPr="000C602C">
        <w:rPr>
          <w:lang w:val="es-ES"/>
        </w:rPr>
        <w:t>–</w:t>
      </w:r>
      <w:r w:rsidRPr="000C602C">
        <w:rPr>
          <w:lang w:val="es-ES"/>
        </w:rPr>
        <w:tab/>
        <w:t>CE 2 del UIT-T – Aspectos operacionales</w:t>
      </w:r>
    </w:p>
    <w:p w14:paraId="104684B3" w14:textId="0618CF5C" w:rsidR="003F2BE8" w:rsidRPr="000C602C" w:rsidRDefault="003F2BE8" w:rsidP="003F2BE8">
      <w:pPr>
        <w:pStyle w:val="enumlev1"/>
        <w:rPr>
          <w:lang w:val="es-ES"/>
        </w:rPr>
      </w:pPr>
      <w:r w:rsidRPr="000C602C">
        <w:rPr>
          <w:lang w:val="es-ES"/>
        </w:rPr>
        <w:t>–</w:t>
      </w:r>
      <w:r w:rsidRPr="000C602C">
        <w:rPr>
          <w:lang w:val="es-ES"/>
        </w:rPr>
        <w:tab/>
        <w:t>CE 3 del UIT-T – Temas relativos a economía y política</w:t>
      </w:r>
    </w:p>
    <w:p w14:paraId="2B0BC333" w14:textId="6C07DD8A" w:rsidR="003F2BE8" w:rsidRPr="000C602C" w:rsidRDefault="003F2BE8" w:rsidP="003F2BE8">
      <w:pPr>
        <w:pStyle w:val="enumlev1"/>
        <w:rPr>
          <w:lang w:val="es-ES"/>
        </w:rPr>
      </w:pPr>
      <w:r w:rsidRPr="000C602C">
        <w:rPr>
          <w:lang w:val="es-ES"/>
        </w:rPr>
        <w:t>–</w:t>
      </w:r>
      <w:r w:rsidRPr="000C602C">
        <w:rPr>
          <w:lang w:val="es-ES"/>
        </w:rPr>
        <w:tab/>
        <w:t>CE 5 del UIT-T – Medio ambiente, CEM y economía circular</w:t>
      </w:r>
    </w:p>
    <w:p w14:paraId="703AF972" w14:textId="528631F8" w:rsidR="003F2BE8" w:rsidRPr="000C602C" w:rsidRDefault="003F2BE8" w:rsidP="003F2BE8">
      <w:pPr>
        <w:pStyle w:val="enumlev1"/>
        <w:rPr>
          <w:lang w:val="es-ES"/>
        </w:rPr>
      </w:pPr>
      <w:r w:rsidRPr="000C602C">
        <w:rPr>
          <w:lang w:val="es-ES"/>
        </w:rPr>
        <w:t>–</w:t>
      </w:r>
      <w:r w:rsidRPr="000C602C">
        <w:rPr>
          <w:lang w:val="es-ES"/>
        </w:rPr>
        <w:tab/>
        <w:t>CE 9 del UIT-T – Cable y TV de banda ancha</w:t>
      </w:r>
    </w:p>
    <w:p w14:paraId="57C64A03" w14:textId="04CAF564" w:rsidR="003F2BE8" w:rsidRPr="000C602C" w:rsidRDefault="003F2BE8" w:rsidP="003F2BE8">
      <w:pPr>
        <w:pStyle w:val="enumlev1"/>
        <w:rPr>
          <w:lang w:val="es-ES"/>
        </w:rPr>
      </w:pPr>
      <w:r w:rsidRPr="000C602C">
        <w:rPr>
          <w:lang w:val="es-ES"/>
        </w:rPr>
        <w:t>–</w:t>
      </w:r>
      <w:r w:rsidRPr="000C602C">
        <w:rPr>
          <w:lang w:val="es-ES"/>
        </w:rPr>
        <w:tab/>
        <w:t>CE 11 del UIT-T – Protocolos, pruebas y lucha contra la falsificación</w:t>
      </w:r>
    </w:p>
    <w:p w14:paraId="6E48CA80" w14:textId="51F3DA87" w:rsidR="003F2BE8" w:rsidRPr="000C602C" w:rsidRDefault="003F2BE8" w:rsidP="003F2BE8">
      <w:pPr>
        <w:pStyle w:val="enumlev1"/>
        <w:rPr>
          <w:lang w:val="es-ES"/>
        </w:rPr>
      </w:pPr>
      <w:r w:rsidRPr="000C602C">
        <w:rPr>
          <w:lang w:val="es-ES"/>
        </w:rPr>
        <w:t>–</w:t>
      </w:r>
      <w:r w:rsidRPr="000C602C">
        <w:rPr>
          <w:lang w:val="es-ES"/>
        </w:rPr>
        <w:tab/>
        <w:t>CE 12 del UIT-T – Calidad de funcionamiento, calidad de servicio y calidad percibida</w:t>
      </w:r>
    </w:p>
    <w:p w14:paraId="44F57228" w14:textId="7934B359" w:rsidR="003F2BE8" w:rsidRPr="00C27691" w:rsidRDefault="003F2BE8" w:rsidP="003F2BE8">
      <w:pPr>
        <w:pStyle w:val="enumlev1"/>
        <w:rPr>
          <w:lang w:val="fr-FR"/>
        </w:rPr>
      </w:pPr>
      <w:r w:rsidRPr="00C27691">
        <w:rPr>
          <w:lang w:val="fr-FR"/>
        </w:rPr>
        <w:t>–</w:t>
      </w:r>
      <w:r w:rsidRPr="00C27691">
        <w:rPr>
          <w:lang w:val="fr-FR"/>
        </w:rPr>
        <w:tab/>
        <w:t>CE 13 del UIT-T – Redes futuras</w:t>
      </w:r>
    </w:p>
    <w:p w14:paraId="1CD9BDE0" w14:textId="35270D68" w:rsidR="003F2BE8" w:rsidRPr="000C602C" w:rsidRDefault="003F2BE8" w:rsidP="003F2BE8">
      <w:pPr>
        <w:pStyle w:val="enumlev1"/>
        <w:rPr>
          <w:lang w:val="es-ES"/>
        </w:rPr>
      </w:pPr>
      <w:r w:rsidRPr="000C602C">
        <w:rPr>
          <w:lang w:val="es-ES"/>
        </w:rPr>
        <w:t>–</w:t>
      </w:r>
      <w:r w:rsidRPr="000C602C">
        <w:rPr>
          <w:lang w:val="es-ES"/>
        </w:rPr>
        <w:tab/>
        <w:t>CE 16 del UIT-T – Multimedios y tecnologías digitales conexas</w:t>
      </w:r>
    </w:p>
    <w:p w14:paraId="42CF1EA9" w14:textId="74DA1F00" w:rsidR="003F2BE8" w:rsidRPr="000C602C" w:rsidRDefault="003F2BE8" w:rsidP="003F2BE8">
      <w:pPr>
        <w:pStyle w:val="enumlev1"/>
        <w:rPr>
          <w:lang w:val="es-ES"/>
        </w:rPr>
      </w:pPr>
      <w:r w:rsidRPr="000C602C">
        <w:rPr>
          <w:lang w:val="es-ES"/>
        </w:rPr>
        <w:t>–</w:t>
      </w:r>
      <w:r w:rsidRPr="000C602C">
        <w:rPr>
          <w:lang w:val="es-ES"/>
        </w:rPr>
        <w:tab/>
        <w:t>CE 17 del UIT-T – Seguridad</w:t>
      </w:r>
    </w:p>
    <w:p w14:paraId="6415E311" w14:textId="599B16CC" w:rsidR="003F2BE8" w:rsidRPr="000C602C" w:rsidRDefault="003F2BE8" w:rsidP="003F2BE8">
      <w:pPr>
        <w:pStyle w:val="enumlev1"/>
        <w:rPr>
          <w:lang w:val="es-ES"/>
        </w:rPr>
      </w:pPr>
      <w:r w:rsidRPr="000C602C">
        <w:rPr>
          <w:lang w:val="es-ES"/>
        </w:rPr>
        <w:t>–</w:t>
      </w:r>
      <w:r w:rsidRPr="000C602C">
        <w:rPr>
          <w:lang w:val="es-ES"/>
        </w:rPr>
        <w:tab/>
        <w:t>CE 20 del UIT-T – Internet de las cosas (IoT) y ciudades y comunidades inteligentes</w:t>
      </w:r>
    </w:p>
    <w:p w14:paraId="4F0E3B03" w14:textId="216FB364" w:rsidR="00AC72E4" w:rsidRPr="000C602C" w:rsidRDefault="00AC72E4" w:rsidP="00AC72E4">
      <w:pPr>
        <w:rPr>
          <w:lang w:val="es-ES"/>
        </w:rPr>
      </w:pPr>
      <w:r w:rsidRPr="000C602C">
        <w:rPr>
          <w:lang w:val="es-ES"/>
        </w:rPr>
        <w:t xml:space="preserve">Por otro lado, </w:t>
      </w:r>
      <w:r w:rsidR="000774FF" w:rsidRPr="000C602C">
        <w:rPr>
          <w:lang w:val="es-ES"/>
        </w:rPr>
        <w:t>el Grupo Temático</w:t>
      </w:r>
      <w:r w:rsidRPr="000C602C">
        <w:rPr>
          <w:lang w:val="es-ES"/>
        </w:rPr>
        <w:t xml:space="preserve"> colaborará (según proceda) con otros grupos y entidades pertinentes, de conformidad con la Recomendación UIT-T A.7. Entre esos grupos y entidades figuran gobiernos, organizaciones no gubernamentales (ONG), encargados de la formulación de políticas, organizaciones de normalización, foros y consorcios industriales, empresas, instituciones académicas, órganos de investigación y otras organizaciones pertinentes.</w:t>
      </w:r>
    </w:p>
    <w:p w14:paraId="17766A9E" w14:textId="46C90B27" w:rsidR="000774FF" w:rsidRPr="000C602C" w:rsidRDefault="000774FF" w:rsidP="00A70BC3">
      <w:pPr>
        <w:pStyle w:val="enumlev1"/>
        <w:rPr>
          <w:lang w:val="es-ES"/>
        </w:rPr>
      </w:pPr>
      <w:r w:rsidRPr="000C602C">
        <w:rPr>
          <w:lang w:val="es-ES"/>
        </w:rPr>
        <w:t>–</w:t>
      </w:r>
      <w:r w:rsidRPr="000C602C">
        <w:rPr>
          <w:lang w:val="es-ES"/>
        </w:rPr>
        <w:tab/>
        <w:t>CE 5 del UIT-R – Sistemas y redes de los servicios fijo, móvil, de radiodeterminación, de aficionados y de aficionados por satélite</w:t>
      </w:r>
    </w:p>
    <w:p w14:paraId="084C3529" w14:textId="7071D444" w:rsidR="00AC72E4" w:rsidRPr="000C602C" w:rsidRDefault="000774FF" w:rsidP="00A70BC3">
      <w:pPr>
        <w:pStyle w:val="enumlev1"/>
        <w:rPr>
          <w:lang w:val="es-ES"/>
        </w:rPr>
      </w:pPr>
      <w:r w:rsidRPr="000C602C">
        <w:rPr>
          <w:lang w:val="es-ES"/>
        </w:rPr>
        <w:t>–</w:t>
      </w:r>
      <w:r w:rsidRPr="000C602C">
        <w:rPr>
          <w:lang w:val="es-ES"/>
        </w:rPr>
        <w:tab/>
        <w:t xml:space="preserve">IEC TC57 – </w:t>
      </w:r>
      <w:r w:rsidR="002D0EA9" w:rsidRPr="000C602C">
        <w:rPr>
          <w:lang w:val="es-ES"/>
        </w:rPr>
        <w:t>Gestión de sistemas de alimentación e intercambio de información conexa</w:t>
      </w:r>
    </w:p>
    <w:p w14:paraId="5E728553" w14:textId="77777777" w:rsidR="002D0EA9" w:rsidRPr="000C602C" w:rsidRDefault="00A70BC3" w:rsidP="00A70BC3">
      <w:pPr>
        <w:pStyle w:val="enumlev1"/>
        <w:rPr>
          <w:lang w:val="es-ES"/>
        </w:rPr>
      </w:pPr>
      <w:r w:rsidRPr="000C602C">
        <w:rPr>
          <w:lang w:val="es-ES"/>
        </w:rPr>
        <w:t>–</w:t>
      </w:r>
      <w:r w:rsidRPr="000C602C">
        <w:rPr>
          <w:lang w:val="es-ES"/>
        </w:rPr>
        <w:tab/>
        <w:t xml:space="preserve">IEC TC65 – </w:t>
      </w:r>
      <w:r w:rsidR="002D0EA9" w:rsidRPr="000C602C">
        <w:rPr>
          <w:lang w:val="es-ES"/>
        </w:rPr>
        <w:t>Medición, control y automatización de procesos industriales</w:t>
      </w:r>
    </w:p>
    <w:p w14:paraId="02359F87" w14:textId="1CF86E25" w:rsidR="00A70BC3" w:rsidRPr="000C602C" w:rsidRDefault="00A70BC3" w:rsidP="00A70BC3">
      <w:pPr>
        <w:pStyle w:val="enumlev1"/>
        <w:rPr>
          <w:lang w:val="es-ES"/>
        </w:rPr>
      </w:pPr>
      <w:r w:rsidRPr="000C602C">
        <w:rPr>
          <w:lang w:val="es-ES"/>
        </w:rPr>
        <w:t>–</w:t>
      </w:r>
      <w:r w:rsidRPr="000C602C">
        <w:rPr>
          <w:lang w:val="es-ES"/>
        </w:rPr>
        <w:tab/>
        <w:t xml:space="preserve">IEC TC79 – </w:t>
      </w:r>
      <w:r w:rsidR="002D0EA9" w:rsidRPr="000C602C">
        <w:rPr>
          <w:lang w:val="es-ES"/>
        </w:rPr>
        <w:t>Sistemas de alarma y seguridad electrónica</w:t>
      </w:r>
    </w:p>
    <w:p w14:paraId="5E35A215" w14:textId="0CA309C2" w:rsidR="00A70BC3" w:rsidRPr="000C602C" w:rsidRDefault="00A70BC3" w:rsidP="00A70BC3">
      <w:pPr>
        <w:pStyle w:val="enumlev1"/>
        <w:rPr>
          <w:lang w:val="es-ES"/>
        </w:rPr>
      </w:pPr>
      <w:r w:rsidRPr="000C602C">
        <w:rPr>
          <w:lang w:val="es-ES"/>
        </w:rPr>
        <w:t>–</w:t>
      </w:r>
      <w:r w:rsidRPr="000C602C">
        <w:rPr>
          <w:lang w:val="es-ES"/>
        </w:rPr>
        <w:tab/>
        <w:t xml:space="preserve">IEC TC85 – </w:t>
      </w:r>
      <w:r w:rsidR="002D0EA9" w:rsidRPr="000C602C">
        <w:rPr>
          <w:lang w:val="es-ES"/>
        </w:rPr>
        <w:t>Equipos de medida de magnitudes eléctricas y electromagnéticas</w:t>
      </w:r>
    </w:p>
    <w:p w14:paraId="4A97E7A2" w14:textId="6B7DF612" w:rsidR="00A70BC3" w:rsidRPr="000C602C" w:rsidRDefault="00A70BC3" w:rsidP="00A70BC3">
      <w:pPr>
        <w:pStyle w:val="enumlev1"/>
        <w:rPr>
          <w:lang w:val="es-ES"/>
        </w:rPr>
      </w:pPr>
      <w:r w:rsidRPr="000C602C">
        <w:rPr>
          <w:lang w:val="es-ES"/>
        </w:rPr>
        <w:t>–</w:t>
      </w:r>
      <w:r w:rsidRPr="000C602C">
        <w:rPr>
          <w:lang w:val="es-ES"/>
        </w:rPr>
        <w:tab/>
        <w:t xml:space="preserve">IEC TC93 – </w:t>
      </w:r>
      <w:r w:rsidR="002D0EA9" w:rsidRPr="000C602C">
        <w:rPr>
          <w:lang w:val="es-ES"/>
        </w:rPr>
        <w:t>Automatización del diseño</w:t>
      </w:r>
    </w:p>
    <w:p w14:paraId="409E00D4" w14:textId="4ABE7298" w:rsidR="00A70BC3" w:rsidRPr="000C602C" w:rsidRDefault="00A70BC3" w:rsidP="00A70BC3">
      <w:pPr>
        <w:pStyle w:val="enumlev1"/>
        <w:rPr>
          <w:lang w:val="es-ES"/>
        </w:rPr>
      </w:pPr>
      <w:r w:rsidRPr="000C602C">
        <w:rPr>
          <w:lang w:val="es-ES"/>
        </w:rPr>
        <w:t>–</w:t>
      </w:r>
      <w:r w:rsidRPr="000C602C">
        <w:rPr>
          <w:lang w:val="es-ES"/>
        </w:rPr>
        <w:tab/>
        <w:t xml:space="preserve">IEC TC100 – </w:t>
      </w:r>
      <w:r w:rsidR="002D0EA9" w:rsidRPr="000C602C">
        <w:rPr>
          <w:lang w:val="es-ES"/>
        </w:rPr>
        <w:t>Sistemas y equipos de audio, vídeo y multimedia</w:t>
      </w:r>
    </w:p>
    <w:p w14:paraId="019A3534" w14:textId="56034736" w:rsidR="00A70BC3" w:rsidRPr="000C602C" w:rsidRDefault="00A70BC3" w:rsidP="00A70BC3">
      <w:pPr>
        <w:pStyle w:val="enumlev1"/>
        <w:rPr>
          <w:lang w:val="es-ES"/>
        </w:rPr>
      </w:pPr>
      <w:r w:rsidRPr="000C602C">
        <w:rPr>
          <w:lang w:val="es-ES"/>
        </w:rPr>
        <w:t>–</w:t>
      </w:r>
      <w:r w:rsidRPr="000C602C">
        <w:rPr>
          <w:lang w:val="es-ES"/>
        </w:rPr>
        <w:tab/>
        <w:t xml:space="preserve">IEC TC110 – </w:t>
      </w:r>
      <w:r w:rsidR="002D0EA9" w:rsidRPr="000C602C">
        <w:rPr>
          <w:lang w:val="es-ES"/>
        </w:rPr>
        <w:t>Pantallas electrónicas</w:t>
      </w:r>
    </w:p>
    <w:p w14:paraId="21A7BE4F" w14:textId="434A92D8" w:rsidR="00A70BC3" w:rsidRPr="000C602C" w:rsidRDefault="00A70BC3" w:rsidP="00A70BC3">
      <w:pPr>
        <w:pStyle w:val="enumlev1"/>
        <w:rPr>
          <w:lang w:val="es-ES"/>
        </w:rPr>
      </w:pPr>
      <w:r w:rsidRPr="000C602C">
        <w:rPr>
          <w:lang w:val="es-ES"/>
        </w:rPr>
        <w:t>–</w:t>
      </w:r>
      <w:r w:rsidRPr="000C602C">
        <w:rPr>
          <w:lang w:val="es-ES"/>
        </w:rPr>
        <w:tab/>
        <w:t xml:space="preserve">ISO/TC68/SC8 – </w:t>
      </w:r>
      <w:r w:rsidR="002D0EA9" w:rsidRPr="000C602C">
        <w:rPr>
          <w:lang w:val="es-ES"/>
        </w:rPr>
        <w:t>Datos de referencia para servicios financieros</w:t>
      </w:r>
    </w:p>
    <w:p w14:paraId="4FA89093" w14:textId="65DBBCC3" w:rsidR="00A70BC3" w:rsidRPr="000C602C" w:rsidRDefault="00A70BC3" w:rsidP="00A70BC3">
      <w:pPr>
        <w:pStyle w:val="enumlev1"/>
        <w:rPr>
          <w:lang w:val="es-ES"/>
        </w:rPr>
      </w:pPr>
      <w:r w:rsidRPr="000C602C">
        <w:rPr>
          <w:lang w:val="es-ES"/>
        </w:rPr>
        <w:t>–</w:t>
      </w:r>
      <w:r w:rsidRPr="000C602C">
        <w:rPr>
          <w:lang w:val="es-ES"/>
        </w:rPr>
        <w:tab/>
        <w:t xml:space="preserve">ISO/TC69 – </w:t>
      </w:r>
      <w:r w:rsidR="002D0EA9" w:rsidRPr="000C602C">
        <w:rPr>
          <w:lang w:val="es-ES"/>
        </w:rPr>
        <w:t>Aplicaciones de métodos estadísticos</w:t>
      </w:r>
    </w:p>
    <w:p w14:paraId="1D76F063" w14:textId="162F193B" w:rsidR="00A70BC3" w:rsidRPr="000C602C" w:rsidRDefault="00A70BC3" w:rsidP="00A70BC3">
      <w:pPr>
        <w:pStyle w:val="enumlev1"/>
        <w:rPr>
          <w:lang w:val="es-ES"/>
        </w:rPr>
      </w:pPr>
      <w:r w:rsidRPr="000C602C">
        <w:rPr>
          <w:lang w:val="es-ES"/>
        </w:rPr>
        <w:t>–</w:t>
      </w:r>
      <w:r w:rsidRPr="000C602C">
        <w:rPr>
          <w:lang w:val="es-ES"/>
        </w:rPr>
        <w:tab/>
        <w:t xml:space="preserve">ISO/TC133 – </w:t>
      </w:r>
      <w:r w:rsidR="002D0EA9" w:rsidRPr="000C602C">
        <w:rPr>
          <w:lang w:val="es-ES"/>
        </w:rPr>
        <w:t xml:space="preserve">Sistemas de tallaje de prendas de vestir </w:t>
      </w:r>
      <w:r w:rsidR="00E50A59" w:rsidRPr="00E50A59">
        <w:rPr>
          <w:lang w:val="es-ES"/>
        </w:rPr>
        <w:t>–</w:t>
      </w:r>
      <w:r w:rsidR="002D0EA9" w:rsidRPr="000C602C">
        <w:rPr>
          <w:lang w:val="es-ES"/>
        </w:rPr>
        <w:t xml:space="preserve"> Designación de tallas, métodos de medición de tallas y ajustes para dispositivos digitales</w:t>
      </w:r>
    </w:p>
    <w:p w14:paraId="63D15F53" w14:textId="5A4F8E30" w:rsidR="00A70BC3" w:rsidRPr="000C602C" w:rsidRDefault="00A70BC3" w:rsidP="00A70BC3">
      <w:pPr>
        <w:pStyle w:val="enumlev1"/>
        <w:rPr>
          <w:lang w:val="es-ES"/>
        </w:rPr>
      </w:pPr>
      <w:r w:rsidRPr="000C602C">
        <w:rPr>
          <w:lang w:val="es-ES"/>
        </w:rPr>
        <w:t>–</w:t>
      </w:r>
      <w:r w:rsidRPr="000C602C">
        <w:rPr>
          <w:lang w:val="es-ES"/>
        </w:rPr>
        <w:tab/>
        <w:t xml:space="preserve">ISO/TC184/SC4 – </w:t>
      </w:r>
      <w:r w:rsidR="002D0EA9" w:rsidRPr="000C602C">
        <w:rPr>
          <w:lang w:val="es-ES"/>
        </w:rPr>
        <w:t>Datos i</w:t>
      </w:r>
      <w:r w:rsidRPr="000C602C">
        <w:rPr>
          <w:lang w:val="es-ES"/>
        </w:rPr>
        <w:t>ndustrial</w:t>
      </w:r>
      <w:r w:rsidR="002D0EA9" w:rsidRPr="000C602C">
        <w:rPr>
          <w:lang w:val="es-ES"/>
        </w:rPr>
        <w:t>es</w:t>
      </w:r>
    </w:p>
    <w:p w14:paraId="16D5B82E" w14:textId="0A8EFFC2" w:rsidR="0040272A" w:rsidRPr="000C602C" w:rsidRDefault="0040272A" w:rsidP="00A70BC3">
      <w:pPr>
        <w:pStyle w:val="enumlev1"/>
        <w:rPr>
          <w:lang w:val="es-ES"/>
        </w:rPr>
      </w:pPr>
      <w:r w:rsidRPr="000C602C">
        <w:rPr>
          <w:lang w:val="es-ES"/>
        </w:rPr>
        <w:t>–</w:t>
      </w:r>
      <w:r w:rsidRPr="000C602C">
        <w:rPr>
          <w:lang w:val="es-ES"/>
        </w:rPr>
        <w:tab/>
        <w:t>ISO/TC307 – Tecnologías de cadena de bloques y libro mayor distribuido</w:t>
      </w:r>
    </w:p>
    <w:p w14:paraId="2AF65E8A" w14:textId="55529F0F" w:rsidR="0040272A" w:rsidRPr="000C602C" w:rsidRDefault="0040272A" w:rsidP="00A70BC3">
      <w:pPr>
        <w:pStyle w:val="enumlev1"/>
        <w:rPr>
          <w:lang w:val="es-ES"/>
        </w:rPr>
      </w:pPr>
      <w:r w:rsidRPr="000C602C">
        <w:rPr>
          <w:lang w:val="es-ES"/>
        </w:rPr>
        <w:t>–</w:t>
      </w:r>
      <w:r w:rsidRPr="000C602C">
        <w:rPr>
          <w:lang w:val="es-ES"/>
        </w:rPr>
        <w:tab/>
        <w:t>ISO/IEC JTC1</w:t>
      </w:r>
    </w:p>
    <w:p w14:paraId="5F890350" w14:textId="5C2AF41A" w:rsidR="00A70BC3" w:rsidRPr="000C602C" w:rsidRDefault="00A70BC3" w:rsidP="00A70BC3">
      <w:pPr>
        <w:pStyle w:val="enumlev1"/>
        <w:rPr>
          <w:lang w:val="es-ES"/>
        </w:rPr>
      </w:pPr>
      <w:r w:rsidRPr="000C602C">
        <w:rPr>
          <w:lang w:val="es-ES"/>
        </w:rPr>
        <w:t>–</w:t>
      </w:r>
      <w:r w:rsidRPr="000C602C">
        <w:rPr>
          <w:lang w:val="es-ES"/>
        </w:rPr>
        <w:tab/>
        <w:t>ISO/IEC JTC1/SC24/WG6 – Gráficos por computadora, procesamiento de imágenes y representación de datos medioambientales</w:t>
      </w:r>
    </w:p>
    <w:p w14:paraId="76E37590" w14:textId="55D5E6B4" w:rsidR="00A70BC3" w:rsidRPr="000C602C" w:rsidRDefault="00A70BC3" w:rsidP="00A70BC3">
      <w:pPr>
        <w:pStyle w:val="enumlev1"/>
        <w:rPr>
          <w:lang w:val="es-ES"/>
        </w:rPr>
      </w:pPr>
      <w:r w:rsidRPr="000C602C">
        <w:rPr>
          <w:lang w:val="es-ES"/>
        </w:rPr>
        <w:t>–</w:t>
      </w:r>
      <w:r w:rsidRPr="000C602C">
        <w:rPr>
          <w:lang w:val="es-ES"/>
        </w:rPr>
        <w:tab/>
        <w:t>ISO/IEC JTC1/SC27 – Seguridad de la información, ciberseguridad y protección de la privacidad</w:t>
      </w:r>
    </w:p>
    <w:p w14:paraId="00636AE1" w14:textId="2FC23C7F" w:rsidR="00A70BC3" w:rsidRPr="000C602C" w:rsidRDefault="00A70BC3" w:rsidP="00A70BC3">
      <w:pPr>
        <w:pStyle w:val="enumlev1"/>
        <w:rPr>
          <w:lang w:val="es-ES"/>
        </w:rPr>
      </w:pPr>
      <w:r w:rsidRPr="000C602C">
        <w:rPr>
          <w:lang w:val="es-ES"/>
        </w:rPr>
        <w:t>–</w:t>
      </w:r>
      <w:r w:rsidRPr="000C602C">
        <w:rPr>
          <w:lang w:val="es-ES"/>
        </w:rPr>
        <w:tab/>
        <w:t>ISO/IEC JTC1/SC29 – Codificación de audio, imágenes, multimedios e información de hipermedios</w:t>
      </w:r>
    </w:p>
    <w:p w14:paraId="4997B279" w14:textId="24CF3FE5" w:rsidR="00A70BC3" w:rsidRPr="000C602C" w:rsidRDefault="00A70BC3" w:rsidP="00A70BC3">
      <w:pPr>
        <w:pStyle w:val="enumlev1"/>
        <w:rPr>
          <w:lang w:val="es-ES"/>
        </w:rPr>
      </w:pPr>
      <w:r w:rsidRPr="000C602C">
        <w:rPr>
          <w:lang w:val="es-ES"/>
        </w:rPr>
        <w:t>–</w:t>
      </w:r>
      <w:r w:rsidRPr="000C602C">
        <w:rPr>
          <w:lang w:val="es-ES"/>
        </w:rPr>
        <w:tab/>
        <w:t>ISO/IEC JTC1/SC38 –</w:t>
      </w:r>
      <w:r w:rsidR="0040272A" w:rsidRPr="000C602C">
        <w:rPr>
          <w:lang w:val="es-ES"/>
        </w:rPr>
        <w:t xml:space="preserve"> Computación en la nube y plataformas distribuidas</w:t>
      </w:r>
    </w:p>
    <w:p w14:paraId="3DD2EAF7" w14:textId="4F3FD3A1" w:rsidR="0040272A" w:rsidRPr="000C602C" w:rsidRDefault="0040272A" w:rsidP="00A70BC3">
      <w:pPr>
        <w:pStyle w:val="enumlev1"/>
        <w:rPr>
          <w:lang w:val="es-ES"/>
        </w:rPr>
      </w:pPr>
      <w:r w:rsidRPr="000C602C">
        <w:rPr>
          <w:lang w:val="es-ES"/>
        </w:rPr>
        <w:t>–</w:t>
      </w:r>
      <w:r w:rsidRPr="000C602C">
        <w:rPr>
          <w:lang w:val="es-ES"/>
        </w:rPr>
        <w:tab/>
        <w:t xml:space="preserve">ISO/IEC JTC1/SC41 – </w:t>
      </w:r>
      <w:r w:rsidR="002D0EA9" w:rsidRPr="000C602C">
        <w:rPr>
          <w:lang w:val="es-ES"/>
        </w:rPr>
        <w:t>Internet de las cosas y gemelos digitales</w:t>
      </w:r>
    </w:p>
    <w:p w14:paraId="1195B974" w14:textId="4C2607B4" w:rsidR="0040272A" w:rsidRPr="000C602C" w:rsidRDefault="0040272A" w:rsidP="00A70BC3">
      <w:pPr>
        <w:pStyle w:val="enumlev1"/>
        <w:rPr>
          <w:lang w:val="es-ES"/>
        </w:rPr>
      </w:pPr>
      <w:r w:rsidRPr="000C602C">
        <w:rPr>
          <w:lang w:val="es-ES"/>
        </w:rPr>
        <w:t>–</w:t>
      </w:r>
      <w:r w:rsidRPr="000C602C">
        <w:rPr>
          <w:lang w:val="es-ES"/>
        </w:rPr>
        <w:tab/>
        <w:t>ISO/IEC JTC1/SC42 – Inteligencia artificial</w:t>
      </w:r>
    </w:p>
    <w:p w14:paraId="4CAF316C" w14:textId="693003E6" w:rsidR="0040272A" w:rsidRPr="000C602C" w:rsidRDefault="0040272A" w:rsidP="0040272A">
      <w:pPr>
        <w:pStyle w:val="enumlev1"/>
        <w:rPr>
          <w:lang w:val="es-ES"/>
        </w:rPr>
      </w:pPr>
      <w:bookmarkStart w:id="45" w:name="lt_pId199"/>
      <w:r w:rsidRPr="000C602C">
        <w:rPr>
          <w:lang w:val="es-ES"/>
        </w:rPr>
        <w:lastRenderedPageBreak/>
        <w:t>–</w:t>
      </w:r>
      <w:r w:rsidRPr="000C602C">
        <w:rPr>
          <w:lang w:val="es-ES"/>
        </w:rPr>
        <w:tab/>
        <w:t xml:space="preserve">ISO/IEC JTC1/SC43 – </w:t>
      </w:r>
      <w:bookmarkEnd w:id="45"/>
      <w:r w:rsidR="002D0EA9" w:rsidRPr="000C602C">
        <w:rPr>
          <w:lang w:val="es-ES"/>
        </w:rPr>
        <w:t>Interfaces cerebro-ordenador</w:t>
      </w:r>
    </w:p>
    <w:p w14:paraId="45DA6D24" w14:textId="20DF324A" w:rsidR="004739E3" w:rsidRPr="000C602C" w:rsidRDefault="004739E3" w:rsidP="004739E3">
      <w:pPr>
        <w:pStyle w:val="enumlev1"/>
        <w:rPr>
          <w:lang w:val="es-ES"/>
        </w:rPr>
      </w:pPr>
      <w:bookmarkStart w:id="46" w:name="lt_pId200"/>
      <w:r w:rsidRPr="000C602C">
        <w:rPr>
          <w:lang w:val="es-ES"/>
        </w:rPr>
        <w:t>–</w:t>
      </w:r>
      <w:r w:rsidRPr="000C602C">
        <w:rPr>
          <w:lang w:val="es-ES"/>
        </w:rPr>
        <w:tab/>
      </w:r>
      <w:bookmarkEnd w:id="46"/>
      <w:r w:rsidR="002D0EA9" w:rsidRPr="000C602C">
        <w:rPr>
          <w:lang w:val="es-ES"/>
        </w:rPr>
        <w:t>Grupo mixto de evaluación de la normalización (JSEG) de la ISO y la CEI sobre el metaverso</w:t>
      </w:r>
    </w:p>
    <w:p w14:paraId="6799C5EF" w14:textId="1981D61F" w:rsidR="004739E3" w:rsidRPr="000C602C" w:rsidRDefault="004739E3" w:rsidP="004739E3">
      <w:pPr>
        <w:pStyle w:val="enumlev1"/>
        <w:rPr>
          <w:lang w:val="es-ES"/>
        </w:rPr>
      </w:pPr>
      <w:bookmarkStart w:id="47" w:name="lt_pId201"/>
      <w:r w:rsidRPr="000C602C">
        <w:rPr>
          <w:lang w:val="es-ES"/>
        </w:rPr>
        <w:t>–</w:t>
      </w:r>
      <w:r w:rsidRPr="000C602C">
        <w:rPr>
          <w:lang w:val="es-ES"/>
        </w:rPr>
        <w:tab/>
      </w:r>
      <w:r w:rsidR="002D0EA9" w:rsidRPr="000C602C">
        <w:rPr>
          <w:lang w:val="es-ES"/>
        </w:rPr>
        <w:t xml:space="preserve">Comité de normas sobre el metaverso de la </w:t>
      </w:r>
      <w:r w:rsidRPr="000C602C">
        <w:rPr>
          <w:lang w:val="es-ES"/>
        </w:rPr>
        <w:t>IEEE-SA</w:t>
      </w:r>
      <w:bookmarkEnd w:id="47"/>
    </w:p>
    <w:p w14:paraId="114B4316" w14:textId="7B29A992" w:rsidR="004739E3" w:rsidRPr="000C602C" w:rsidRDefault="004739E3" w:rsidP="004739E3">
      <w:pPr>
        <w:pStyle w:val="enumlev1"/>
        <w:rPr>
          <w:lang w:val="es-ES"/>
        </w:rPr>
      </w:pPr>
      <w:bookmarkStart w:id="48" w:name="lt_pId202"/>
      <w:r w:rsidRPr="000C602C">
        <w:rPr>
          <w:lang w:val="es-ES"/>
        </w:rPr>
        <w:t>–</w:t>
      </w:r>
      <w:r w:rsidRPr="000C602C">
        <w:rPr>
          <w:lang w:val="es-ES"/>
        </w:rPr>
        <w:tab/>
      </w:r>
      <w:r w:rsidR="008654E5" w:rsidRPr="000C602C">
        <w:rPr>
          <w:lang w:val="es-ES"/>
        </w:rPr>
        <w:t xml:space="preserve">Grupo de Trabajo sobre el metaverso (MSG) del Comité de normas de la Junta de actividades normativas de </w:t>
      </w:r>
      <w:r w:rsidRPr="000C602C">
        <w:rPr>
          <w:lang w:val="es-ES"/>
        </w:rPr>
        <w:t>IEEE Computer Society</w:t>
      </w:r>
      <w:bookmarkEnd w:id="48"/>
    </w:p>
    <w:p w14:paraId="0F594DA1" w14:textId="44092452" w:rsidR="004739E3" w:rsidRPr="000C602C" w:rsidRDefault="004739E3" w:rsidP="008654E5">
      <w:pPr>
        <w:pStyle w:val="enumlev1"/>
        <w:rPr>
          <w:lang w:val="es-ES"/>
        </w:rPr>
      </w:pPr>
      <w:bookmarkStart w:id="49" w:name="lt_pId203"/>
      <w:r w:rsidRPr="000C602C">
        <w:rPr>
          <w:lang w:val="es-ES"/>
        </w:rPr>
        <w:t>–</w:t>
      </w:r>
      <w:r w:rsidRPr="000C602C">
        <w:rPr>
          <w:lang w:val="es-ES"/>
        </w:rPr>
        <w:tab/>
      </w:r>
      <w:r w:rsidR="008654E5" w:rsidRPr="000C602C">
        <w:rPr>
          <w:lang w:val="es-ES"/>
        </w:rPr>
        <w:t>Grupo comunitario dedicado a la interoperabilidad metaverso (abierto) del W3C</w:t>
      </w:r>
      <w:bookmarkEnd w:id="49"/>
    </w:p>
    <w:p w14:paraId="7003DA86" w14:textId="6263A3A5" w:rsidR="004739E3" w:rsidRPr="000C602C" w:rsidRDefault="004739E3" w:rsidP="004739E3">
      <w:pPr>
        <w:pStyle w:val="enumlev1"/>
        <w:rPr>
          <w:lang w:val="es-ES"/>
        </w:rPr>
      </w:pPr>
      <w:bookmarkStart w:id="50" w:name="lt_pId204"/>
      <w:r w:rsidRPr="000C602C">
        <w:rPr>
          <w:lang w:val="es-ES"/>
        </w:rPr>
        <w:t>–</w:t>
      </w:r>
      <w:r w:rsidRPr="000C602C">
        <w:rPr>
          <w:lang w:val="es-ES"/>
        </w:rPr>
        <w:tab/>
        <w:t>IETF</w:t>
      </w:r>
      <w:bookmarkEnd w:id="50"/>
    </w:p>
    <w:p w14:paraId="5EE339FE" w14:textId="3034BD78" w:rsidR="004739E3" w:rsidRPr="000C602C" w:rsidRDefault="004739E3" w:rsidP="004739E3">
      <w:pPr>
        <w:pStyle w:val="enumlev1"/>
        <w:rPr>
          <w:lang w:val="es-ES"/>
        </w:rPr>
      </w:pPr>
      <w:bookmarkStart w:id="51" w:name="lt_pId205"/>
      <w:r w:rsidRPr="000C602C">
        <w:rPr>
          <w:lang w:val="es-ES"/>
        </w:rPr>
        <w:t>–</w:t>
      </w:r>
      <w:r w:rsidRPr="000C602C">
        <w:rPr>
          <w:lang w:val="es-ES"/>
        </w:rPr>
        <w:tab/>
      </w:r>
      <w:r w:rsidR="008654E5" w:rsidRPr="000C602C">
        <w:rPr>
          <w:lang w:val="es-ES"/>
        </w:rPr>
        <w:t xml:space="preserve">Marco de realidad aumentada del Grupo de especificaciones industriales del </w:t>
      </w:r>
      <w:r w:rsidRPr="000C602C">
        <w:rPr>
          <w:lang w:val="es-ES"/>
        </w:rPr>
        <w:t>ETSI</w:t>
      </w:r>
      <w:bookmarkEnd w:id="51"/>
    </w:p>
    <w:p w14:paraId="4E34B418" w14:textId="7A5D137F" w:rsidR="004739E3" w:rsidRPr="000C602C" w:rsidRDefault="004739E3" w:rsidP="004739E3">
      <w:pPr>
        <w:pStyle w:val="enumlev1"/>
        <w:rPr>
          <w:lang w:val="es-ES"/>
        </w:rPr>
      </w:pPr>
      <w:bookmarkStart w:id="52" w:name="lt_pId206"/>
      <w:r w:rsidRPr="000C602C">
        <w:rPr>
          <w:lang w:val="es-ES"/>
        </w:rPr>
        <w:t>–</w:t>
      </w:r>
      <w:r w:rsidRPr="000C602C">
        <w:rPr>
          <w:lang w:val="es-ES"/>
        </w:rPr>
        <w:tab/>
        <w:t>3GPP SA</w:t>
      </w:r>
      <w:bookmarkEnd w:id="52"/>
    </w:p>
    <w:p w14:paraId="56EDC8FF" w14:textId="08352FFB" w:rsidR="004739E3" w:rsidRPr="000C602C" w:rsidRDefault="004739E3" w:rsidP="004739E3">
      <w:pPr>
        <w:pStyle w:val="enumlev1"/>
        <w:rPr>
          <w:lang w:val="es-ES"/>
        </w:rPr>
      </w:pPr>
      <w:bookmarkStart w:id="53" w:name="lt_pId207"/>
      <w:r w:rsidRPr="000C602C">
        <w:rPr>
          <w:lang w:val="es-ES"/>
        </w:rPr>
        <w:t>–</w:t>
      </w:r>
      <w:r w:rsidRPr="000C602C">
        <w:rPr>
          <w:lang w:val="es-ES"/>
        </w:rPr>
        <w:tab/>
      </w:r>
      <w:r w:rsidR="008654E5" w:rsidRPr="000C602C">
        <w:rPr>
          <w:lang w:val="es-ES"/>
        </w:rPr>
        <w:t xml:space="preserve">Foro de Normalización Metaverso </w:t>
      </w:r>
      <w:r w:rsidRPr="000C602C">
        <w:rPr>
          <w:lang w:val="es-ES"/>
        </w:rPr>
        <w:t>(MSF)</w:t>
      </w:r>
      <w:bookmarkEnd w:id="53"/>
    </w:p>
    <w:p w14:paraId="670D05FD" w14:textId="27E7A169" w:rsidR="0040272A" w:rsidRPr="000C602C" w:rsidRDefault="0040272A" w:rsidP="00B338D5">
      <w:pPr>
        <w:pStyle w:val="Heading1"/>
        <w:tabs>
          <w:tab w:val="clear" w:pos="2127"/>
          <w:tab w:val="clear" w:pos="2410"/>
          <w:tab w:val="clear" w:pos="2921"/>
          <w:tab w:val="clear" w:pos="3261"/>
          <w:tab w:val="center" w:pos="4819"/>
        </w:tabs>
        <w:rPr>
          <w:lang w:val="es-ES"/>
        </w:rPr>
      </w:pPr>
      <w:r w:rsidRPr="000C602C">
        <w:rPr>
          <w:lang w:val="es-ES"/>
        </w:rPr>
        <w:t>5</w:t>
      </w:r>
      <w:r w:rsidRPr="000C602C">
        <w:rPr>
          <w:lang w:val="es-ES"/>
        </w:rPr>
        <w:tab/>
        <w:t>Estructura</w:t>
      </w:r>
    </w:p>
    <w:p w14:paraId="79ABB6C3"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eastAsiaTheme="minorEastAsia" w:cstheme="minorHAnsi"/>
          <w:sz w:val="22"/>
          <w:szCs w:val="22"/>
          <w:lang w:val="es-ES"/>
        </w:rPr>
      </w:pPr>
      <w:r w:rsidRPr="000C602C">
        <w:rPr>
          <w:rFonts w:cstheme="minorHAnsi"/>
          <w:sz w:val="22"/>
          <w:szCs w:val="22"/>
          <w:lang w:val="es-ES"/>
        </w:rPr>
        <w:t>El Grupo Temático propuesto puede establecer subgrupos si es necesario.</w:t>
      </w:r>
    </w:p>
    <w:p w14:paraId="4B8F60B5" w14:textId="77777777" w:rsidR="0040272A" w:rsidRPr="000C602C" w:rsidRDefault="0040272A" w:rsidP="0040272A">
      <w:pPr>
        <w:pStyle w:val="Heading1"/>
        <w:rPr>
          <w:lang w:val="es-ES"/>
        </w:rPr>
      </w:pPr>
      <w:r w:rsidRPr="000C602C">
        <w:rPr>
          <w:lang w:val="es-ES"/>
        </w:rPr>
        <w:t>6</w:t>
      </w:r>
      <w:r w:rsidRPr="000C602C">
        <w:rPr>
          <w:lang w:val="es-ES"/>
        </w:rPr>
        <w:tab/>
        <w:t>Comisión de Estudio rectora</w:t>
      </w:r>
    </w:p>
    <w:p w14:paraId="567DE1FC" w14:textId="0DA2A749" w:rsidR="0040272A" w:rsidRPr="000C602C" w:rsidRDefault="00072445" w:rsidP="0040272A">
      <w:pPr>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 xml:space="preserve">El Grupo </w:t>
      </w:r>
      <w:r w:rsidR="0040272A" w:rsidRPr="000C602C">
        <w:rPr>
          <w:rFonts w:cstheme="minorHAnsi"/>
          <w:sz w:val="22"/>
          <w:szCs w:val="22"/>
          <w:lang w:val="es-ES"/>
        </w:rPr>
        <w:t>rector</w:t>
      </w:r>
      <w:r w:rsidRPr="000C602C">
        <w:rPr>
          <w:rFonts w:cstheme="minorHAnsi"/>
          <w:sz w:val="22"/>
          <w:szCs w:val="22"/>
          <w:lang w:val="es-ES"/>
        </w:rPr>
        <w:t xml:space="preserve"> </w:t>
      </w:r>
      <w:r w:rsidR="0040272A" w:rsidRPr="000C602C">
        <w:rPr>
          <w:rFonts w:cstheme="minorHAnsi"/>
          <w:sz w:val="22"/>
          <w:szCs w:val="22"/>
          <w:lang w:val="es-ES"/>
        </w:rPr>
        <w:t>de</w:t>
      </w:r>
      <w:r w:rsidR="005F4607">
        <w:rPr>
          <w:rFonts w:cstheme="minorHAnsi"/>
          <w:sz w:val="22"/>
          <w:szCs w:val="22"/>
          <w:lang w:val="es-ES"/>
        </w:rPr>
        <w:t xml:space="preserve"> este</w:t>
      </w:r>
      <w:r w:rsidR="0040272A" w:rsidRPr="000C602C">
        <w:rPr>
          <w:rFonts w:cstheme="minorHAnsi"/>
          <w:sz w:val="22"/>
          <w:szCs w:val="22"/>
          <w:lang w:val="es-ES"/>
        </w:rPr>
        <w:t xml:space="preserve"> Grupo Temático es </w:t>
      </w:r>
      <w:r w:rsidR="00B338D5" w:rsidRPr="000C602C">
        <w:rPr>
          <w:rFonts w:cstheme="minorHAnsi"/>
          <w:sz w:val="22"/>
          <w:szCs w:val="22"/>
          <w:lang w:val="es-ES"/>
        </w:rPr>
        <w:t>el GANT</w:t>
      </w:r>
      <w:r w:rsidR="0040272A" w:rsidRPr="000C602C">
        <w:rPr>
          <w:rFonts w:cstheme="minorHAnsi"/>
          <w:sz w:val="22"/>
          <w:szCs w:val="22"/>
          <w:lang w:val="es-ES"/>
        </w:rPr>
        <w:t>.</w:t>
      </w:r>
    </w:p>
    <w:p w14:paraId="36535F68" w14:textId="77777777" w:rsidR="0040272A" w:rsidRPr="000C602C" w:rsidRDefault="0040272A" w:rsidP="0040272A">
      <w:pPr>
        <w:pStyle w:val="Heading1"/>
        <w:rPr>
          <w:lang w:val="es-ES"/>
        </w:rPr>
      </w:pPr>
      <w:r w:rsidRPr="000C602C">
        <w:rPr>
          <w:lang w:val="es-ES"/>
        </w:rPr>
        <w:t>7</w:t>
      </w:r>
      <w:r w:rsidRPr="000C602C">
        <w:rPr>
          <w:lang w:val="es-ES"/>
        </w:rPr>
        <w:tab/>
        <w:t>Dirección</w:t>
      </w:r>
    </w:p>
    <w:p w14:paraId="377FF0F9"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eastAsiaTheme="minorEastAsia" w:cstheme="minorHAnsi"/>
          <w:sz w:val="22"/>
          <w:szCs w:val="22"/>
          <w:lang w:val="es-ES"/>
        </w:rPr>
      </w:pPr>
      <w:r w:rsidRPr="000C602C">
        <w:rPr>
          <w:rFonts w:cstheme="minorHAnsi"/>
          <w:sz w:val="22"/>
          <w:szCs w:val="22"/>
          <w:lang w:val="es-ES"/>
        </w:rPr>
        <w:t>Véase la cláusula 2.3 de la Recomendación UIT-T A.7.</w:t>
      </w:r>
    </w:p>
    <w:p w14:paraId="424C5247" w14:textId="77777777" w:rsidR="0040272A" w:rsidRPr="000C602C" w:rsidRDefault="0040272A" w:rsidP="0040272A">
      <w:pPr>
        <w:pStyle w:val="Heading1"/>
        <w:rPr>
          <w:lang w:val="es-ES"/>
        </w:rPr>
      </w:pPr>
      <w:r w:rsidRPr="000C602C">
        <w:rPr>
          <w:lang w:val="es-ES"/>
        </w:rPr>
        <w:t>8</w:t>
      </w:r>
      <w:r w:rsidRPr="000C602C">
        <w:rPr>
          <w:lang w:val="es-ES"/>
        </w:rPr>
        <w:tab/>
        <w:t>Participación</w:t>
      </w:r>
    </w:p>
    <w:p w14:paraId="04FD551F" w14:textId="33F84E2C" w:rsidR="0040272A" w:rsidRPr="000C602C" w:rsidRDefault="0040272A" w:rsidP="0040272A">
      <w:pPr>
        <w:tabs>
          <w:tab w:val="clear" w:pos="794"/>
          <w:tab w:val="clear" w:pos="1191"/>
          <w:tab w:val="clear" w:pos="1588"/>
          <w:tab w:val="clear" w:pos="1985"/>
        </w:tabs>
        <w:overflowPunct/>
        <w:autoSpaceDE/>
        <w:autoSpaceDN/>
        <w:adjustRightInd/>
        <w:textAlignment w:val="auto"/>
        <w:rPr>
          <w:rFonts w:eastAsiaTheme="minorEastAsia" w:cstheme="minorHAnsi"/>
          <w:sz w:val="22"/>
          <w:szCs w:val="22"/>
          <w:lang w:val="es-ES"/>
        </w:rPr>
      </w:pPr>
      <w:r w:rsidRPr="000C602C">
        <w:rPr>
          <w:rFonts w:cstheme="minorHAnsi"/>
          <w:sz w:val="22"/>
          <w:szCs w:val="22"/>
          <w:lang w:val="es-ES"/>
        </w:rPr>
        <w:t xml:space="preserve">Véase la cláusula 3 de la Recomendación UIT-T A.7. Se mantendrá a efectos de referencia una lista de participantes que se comunicará </w:t>
      </w:r>
      <w:r w:rsidR="00072445" w:rsidRPr="000C602C">
        <w:rPr>
          <w:rFonts w:cstheme="minorHAnsi"/>
          <w:sz w:val="22"/>
          <w:szCs w:val="22"/>
          <w:lang w:val="es-ES"/>
        </w:rPr>
        <w:t>al Grupo</w:t>
      </w:r>
      <w:r w:rsidRPr="000C602C">
        <w:rPr>
          <w:rFonts w:cstheme="minorHAnsi"/>
          <w:sz w:val="22"/>
          <w:szCs w:val="22"/>
          <w:lang w:val="es-ES"/>
        </w:rPr>
        <w:t xml:space="preserve"> rector. </w:t>
      </w:r>
    </w:p>
    <w:p w14:paraId="05B74C40" w14:textId="77777777" w:rsidR="0040272A" w:rsidRPr="000C602C" w:rsidRDefault="0040272A" w:rsidP="0040272A">
      <w:pPr>
        <w:pStyle w:val="Heading1"/>
        <w:rPr>
          <w:lang w:val="es-ES"/>
        </w:rPr>
      </w:pPr>
      <w:r w:rsidRPr="000C602C">
        <w:rPr>
          <w:lang w:val="es-ES"/>
        </w:rPr>
        <w:t>9</w:t>
      </w:r>
      <w:r w:rsidRPr="000C602C">
        <w:rPr>
          <w:lang w:val="es-ES"/>
        </w:rPr>
        <w:tab/>
        <w:t>Apoyo administrativo</w:t>
      </w:r>
    </w:p>
    <w:p w14:paraId="63F4D963"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Véase la cláusula 5 de la Recomendación UIT-T A.7.</w:t>
      </w:r>
    </w:p>
    <w:p w14:paraId="43449643" w14:textId="77777777" w:rsidR="0040272A" w:rsidRPr="000C602C" w:rsidRDefault="0040272A" w:rsidP="0040272A">
      <w:pPr>
        <w:pStyle w:val="Heading1"/>
        <w:rPr>
          <w:lang w:val="es-ES"/>
        </w:rPr>
      </w:pPr>
      <w:r w:rsidRPr="000C602C">
        <w:rPr>
          <w:lang w:val="es-ES"/>
        </w:rPr>
        <w:t>10</w:t>
      </w:r>
      <w:r w:rsidRPr="000C602C">
        <w:rPr>
          <w:lang w:val="es-ES"/>
        </w:rPr>
        <w:tab/>
        <w:t>Financiación general</w:t>
      </w:r>
    </w:p>
    <w:p w14:paraId="39456660"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eastAsiaTheme="minorEastAsia" w:cstheme="minorHAnsi"/>
          <w:sz w:val="22"/>
          <w:szCs w:val="22"/>
          <w:lang w:val="es-ES"/>
        </w:rPr>
      </w:pPr>
      <w:r w:rsidRPr="000C602C">
        <w:rPr>
          <w:rFonts w:cstheme="minorHAnsi"/>
          <w:sz w:val="22"/>
          <w:szCs w:val="22"/>
          <w:lang w:val="es-ES"/>
        </w:rPr>
        <w:t>Véanse las cláusulas 4 y 10.2 de la Recomendación UIT-T A.7.</w:t>
      </w:r>
    </w:p>
    <w:p w14:paraId="36754924" w14:textId="77777777" w:rsidR="0040272A" w:rsidRPr="000C602C" w:rsidRDefault="0040272A" w:rsidP="0040272A">
      <w:pPr>
        <w:pStyle w:val="Heading1"/>
        <w:rPr>
          <w:lang w:val="es-ES"/>
        </w:rPr>
      </w:pPr>
      <w:r w:rsidRPr="000C602C">
        <w:rPr>
          <w:lang w:val="es-ES"/>
        </w:rPr>
        <w:t>11</w:t>
      </w:r>
      <w:r w:rsidRPr="000C602C">
        <w:rPr>
          <w:lang w:val="es-ES"/>
        </w:rPr>
        <w:tab/>
        <w:t>Reuniones</w:t>
      </w:r>
    </w:p>
    <w:p w14:paraId="4C83C2DE"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El Grupo Temático celebrará reuniones periódicas. La dirección del Grupo Temático determinará la frecuencia y el lugar de las reuniones. El plan general de estas se anunciará una vez que se haya aprobado el mandato. El Grupo Temático utilizará herramientas de colaboración a distancia siempre que sea posible.</w:t>
      </w:r>
    </w:p>
    <w:p w14:paraId="75D7A1DA"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La fecha de las reuniones se anunciará por medios electrónicos (por ejemplo, mediante correo electrónico o páginas web) al menos con cuatro semanas de antelación.</w:t>
      </w:r>
    </w:p>
    <w:p w14:paraId="6C6914EA" w14:textId="77777777" w:rsidR="0040272A" w:rsidRPr="000C602C" w:rsidRDefault="0040272A" w:rsidP="0040272A">
      <w:pPr>
        <w:pStyle w:val="Heading1"/>
        <w:rPr>
          <w:lang w:val="es-ES"/>
        </w:rPr>
      </w:pPr>
      <w:r w:rsidRPr="000C602C">
        <w:rPr>
          <w:lang w:val="es-ES"/>
        </w:rPr>
        <w:t>12</w:t>
      </w:r>
      <w:r w:rsidRPr="000C602C">
        <w:rPr>
          <w:lang w:val="es-ES"/>
        </w:rPr>
        <w:tab/>
        <w:t>Contribuciones técnicas</w:t>
      </w:r>
    </w:p>
    <w:p w14:paraId="1654446E"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Véase la cláusula 8 de la Recomendación UIT-T A.7.</w:t>
      </w:r>
    </w:p>
    <w:p w14:paraId="39D1E755" w14:textId="77777777" w:rsidR="0040272A" w:rsidRPr="000C602C" w:rsidRDefault="0040272A" w:rsidP="0040272A">
      <w:pPr>
        <w:pStyle w:val="Heading1"/>
        <w:rPr>
          <w:lang w:val="es-ES"/>
        </w:rPr>
      </w:pPr>
      <w:r w:rsidRPr="000C602C">
        <w:rPr>
          <w:lang w:val="es-ES"/>
        </w:rPr>
        <w:lastRenderedPageBreak/>
        <w:t>13</w:t>
      </w:r>
      <w:r w:rsidRPr="000C602C">
        <w:rPr>
          <w:lang w:val="es-ES"/>
        </w:rPr>
        <w:tab/>
        <w:t>Idioma de trabajo</w:t>
      </w:r>
    </w:p>
    <w:p w14:paraId="44A48AA2"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El idioma de trabajo es el inglés.</w:t>
      </w:r>
    </w:p>
    <w:p w14:paraId="7767521F" w14:textId="77777777" w:rsidR="0040272A" w:rsidRPr="000C602C" w:rsidRDefault="0040272A" w:rsidP="0040272A">
      <w:pPr>
        <w:pStyle w:val="Heading1"/>
        <w:rPr>
          <w:lang w:val="es-ES"/>
        </w:rPr>
      </w:pPr>
      <w:r w:rsidRPr="000C602C">
        <w:rPr>
          <w:lang w:val="es-ES"/>
        </w:rPr>
        <w:t>14</w:t>
      </w:r>
      <w:r w:rsidRPr="000C602C">
        <w:rPr>
          <w:lang w:val="es-ES"/>
        </w:rPr>
        <w:tab/>
        <w:t>Aprobación de los productos finales</w:t>
      </w:r>
    </w:p>
    <w:p w14:paraId="51C67755"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Los productos finales se aprobarán por consenso.</w:t>
      </w:r>
    </w:p>
    <w:p w14:paraId="45DCCC53" w14:textId="77777777" w:rsidR="0040272A" w:rsidRPr="000C602C" w:rsidRDefault="0040272A" w:rsidP="0040272A">
      <w:pPr>
        <w:pStyle w:val="Heading1"/>
        <w:rPr>
          <w:lang w:val="es-ES"/>
        </w:rPr>
      </w:pPr>
      <w:r w:rsidRPr="000C602C">
        <w:rPr>
          <w:lang w:val="es-ES"/>
        </w:rPr>
        <w:t>15</w:t>
      </w:r>
      <w:r w:rsidRPr="000C602C">
        <w:rPr>
          <w:lang w:val="es-ES"/>
        </w:rPr>
        <w:tab/>
        <w:t>Directrices relativas a los trabajos</w:t>
      </w:r>
    </w:p>
    <w:p w14:paraId="42975AD4"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Los procedimientos de trabajo se ajustarán a los procedimientos de las reuniones de Relator. No se definen directrices de trabajo adicionales.</w:t>
      </w:r>
    </w:p>
    <w:p w14:paraId="43844637" w14:textId="77777777" w:rsidR="0040272A" w:rsidRPr="000C602C" w:rsidRDefault="0040272A" w:rsidP="0040272A">
      <w:pPr>
        <w:pStyle w:val="Heading1"/>
        <w:rPr>
          <w:lang w:val="es-ES"/>
        </w:rPr>
      </w:pPr>
      <w:r w:rsidRPr="000C602C">
        <w:rPr>
          <w:lang w:val="es-ES"/>
        </w:rPr>
        <w:t>16</w:t>
      </w:r>
      <w:r w:rsidRPr="000C602C">
        <w:rPr>
          <w:lang w:val="es-ES"/>
        </w:rPr>
        <w:tab/>
        <w:t>Informes sobre la marcha de los trabajos</w:t>
      </w:r>
    </w:p>
    <w:p w14:paraId="44868598" w14:textId="77777777" w:rsidR="0040272A" w:rsidRPr="000C602C" w:rsidRDefault="0040272A" w:rsidP="0040272A">
      <w:pPr>
        <w:tabs>
          <w:tab w:val="clear" w:pos="794"/>
          <w:tab w:val="clear" w:pos="1191"/>
          <w:tab w:val="clear" w:pos="1588"/>
          <w:tab w:val="clear" w:pos="1985"/>
        </w:tabs>
        <w:overflowPunct/>
        <w:autoSpaceDE/>
        <w:autoSpaceDN/>
        <w:adjustRightInd/>
        <w:textAlignment w:val="auto"/>
        <w:rPr>
          <w:rFonts w:eastAsiaTheme="minorEastAsia" w:cstheme="minorHAnsi"/>
          <w:sz w:val="22"/>
          <w:szCs w:val="22"/>
          <w:lang w:val="es-ES"/>
        </w:rPr>
      </w:pPr>
      <w:r w:rsidRPr="000C602C">
        <w:rPr>
          <w:rFonts w:cstheme="minorHAnsi"/>
          <w:sz w:val="22"/>
          <w:szCs w:val="22"/>
          <w:lang w:val="es-ES"/>
        </w:rPr>
        <w:t>Véase la cláusula 11 de la Recomendación UIT-T A.7.</w:t>
      </w:r>
    </w:p>
    <w:p w14:paraId="77BFFB59" w14:textId="1FAB7189" w:rsidR="0040272A" w:rsidRPr="000C602C" w:rsidRDefault="0040272A" w:rsidP="0040272A">
      <w:pPr>
        <w:pStyle w:val="Heading1"/>
        <w:rPr>
          <w:lang w:val="es-ES"/>
        </w:rPr>
      </w:pPr>
      <w:r w:rsidRPr="000C602C">
        <w:rPr>
          <w:lang w:val="es-ES"/>
        </w:rPr>
        <w:t>17</w:t>
      </w:r>
      <w:r w:rsidRPr="000C602C">
        <w:rPr>
          <w:lang w:val="es-ES"/>
        </w:rPr>
        <w:tab/>
        <w:t xml:space="preserve">Anuncio de </w:t>
      </w:r>
      <w:r w:rsidR="00072445" w:rsidRPr="000C602C">
        <w:rPr>
          <w:lang w:val="es-ES"/>
        </w:rPr>
        <w:t>la información del</w:t>
      </w:r>
      <w:r w:rsidRPr="000C602C">
        <w:rPr>
          <w:lang w:val="es-ES"/>
        </w:rPr>
        <w:t xml:space="preserve"> Grupo Temático</w:t>
      </w:r>
    </w:p>
    <w:p w14:paraId="1B1A6B16" w14:textId="6E3EB481" w:rsidR="0040272A" w:rsidRPr="000C602C" w:rsidRDefault="0040272A" w:rsidP="0040272A">
      <w:pPr>
        <w:keepNext/>
        <w:keepLines/>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 xml:space="preserve">La </w:t>
      </w:r>
      <w:r w:rsidR="00072445" w:rsidRPr="000C602C">
        <w:rPr>
          <w:rFonts w:cstheme="minorHAnsi"/>
          <w:sz w:val="22"/>
          <w:szCs w:val="22"/>
          <w:lang w:val="es-ES"/>
        </w:rPr>
        <w:t>información relativa a</w:t>
      </w:r>
      <w:r w:rsidRPr="000C602C">
        <w:rPr>
          <w:rFonts w:cstheme="minorHAnsi"/>
          <w:sz w:val="22"/>
          <w:szCs w:val="22"/>
          <w:lang w:val="es-ES"/>
        </w:rPr>
        <w:t>l Grupo Temático se anunciará a través de Circular</w:t>
      </w:r>
      <w:r w:rsidR="00A07516">
        <w:rPr>
          <w:rFonts w:cstheme="minorHAnsi"/>
          <w:sz w:val="22"/>
          <w:szCs w:val="22"/>
          <w:lang w:val="es-ES"/>
        </w:rPr>
        <w:t>es</w:t>
      </w:r>
      <w:r w:rsidRPr="000C602C">
        <w:rPr>
          <w:rFonts w:cstheme="minorHAnsi"/>
          <w:sz w:val="22"/>
          <w:szCs w:val="22"/>
          <w:lang w:val="es-ES"/>
        </w:rPr>
        <w:t xml:space="preserve"> TSB dirigida</w:t>
      </w:r>
      <w:r w:rsidR="00A07516">
        <w:rPr>
          <w:rFonts w:cstheme="minorHAnsi"/>
          <w:sz w:val="22"/>
          <w:szCs w:val="22"/>
          <w:lang w:val="es-ES"/>
        </w:rPr>
        <w:t>s</w:t>
      </w:r>
      <w:r w:rsidRPr="000C602C">
        <w:rPr>
          <w:rFonts w:cstheme="minorHAnsi"/>
          <w:sz w:val="22"/>
          <w:szCs w:val="22"/>
          <w:lang w:val="es-ES"/>
        </w:rPr>
        <w:t xml:space="preserve"> a todos los Miembros de la UIT, del Newslog del UIT-T, de comunicados de prensa y </w:t>
      </w:r>
      <w:r w:rsidR="00A07516">
        <w:rPr>
          <w:rFonts w:cstheme="minorHAnsi"/>
          <w:sz w:val="22"/>
          <w:szCs w:val="22"/>
          <w:lang w:val="es-ES"/>
        </w:rPr>
        <w:t>de</w:t>
      </w:r>
      <w:r w:rsidRPr="000C602C">
        <w:rPr>
          <w:rFonts w:cstheme="minorHAnsi"/>
          <w:sz w:val="22"/>
          <w:szCs w:val="22"/>
          <w:lang w:val="es-ES"/>
        </w:rPr>
        <w:t xml:space="preserve"> otros medios, incluida la comunicación con las demás organizaciones implicadas.</w:t>
      </w:r>
    </w:p>
    <w:p w14:paraId="5F8AF83E" w14:textId="77777777" w:rsidR="0040272A" w:rsidRPr="000C602C" w:rsidRDefault="0040272A" w:rsidP="0040272A">
      <w:pPr>
        <w:pStyle w:val="Heading1"/>
        <w:rPr>
          <w:lang w:val="es-ES"/>
        </w:rPr>
      </w:pPr>
      <w:r w:rsidRPr="000C602C">
        <w:rPr>
          <w:lang w:val="es-ES"/>
        </w:rPr>
        <w:t>18</w:t>
      </w:r>
      <w:r w:rsidRPr="000C602C">
        <w:rPr>
          <w:lang w:val="es-ES"/>
        </w:rPr>
        <w:tab/>
        <w:t>Etapas y duración del Grupo Temático</w:t>
      </w:r>
    </w:p>
    <w:p w14:paraId="716246C6" w14:textId="00881168" w:rsidR="0040272A" w:rsidRPr="000C602C" w:rsidRDefault="0040272A" w:rsidP="0040272A">
      <w:pPr>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La duración prevista de la labor del Grupo Temático es de un año a partir de su primera reunión, con posibilidad de prórroga.</w:t>
      </w:r>
    </w:p>
    <w:p w14:paraId="7F1066AB" w14:textId="2A5321DB" w:rsidR="0040272A" w:rsidRPr="000C602C" w:rsidRDefault="00072445" w:rsidP="00072445">
      <w:pPr>
        <w:tabs>
          <w:tab w:val="clear" w:pos="794"/>
          <w:tab w:val="clear" w:pos="1191"/>
          <w:tab w:val="clear" w:pos="1588"/>
          <w:tab w:val="clear" w:pos="1985"/>
        </w:tabs>
        <w:overflowPunct/>
        <w:autoSpaceDE/>
        <w:autoSpaceDN/>
        <w:adjustRightInd/>
        <w:textAlignment w:val="auto"/>
        <w:rPr>
          <w:rFonts w:cstheme="minorHAnsi"/>
          <w:sz w:val="22"/>
          <w:szCs w:val="22"/>
          <w:lang w:val="es-ES"/>
        </w:rPr>
      </w:pPr>
      <w:r w:rsidRPr="000C602C">
        <w:rPr>
          <w:rFonts w:cstheme="minorHAnsi"/>
          <w:sz w:val="22"/>
          <w:szCs w:val="22"/>
          <w:lang w:val="es-ES"/>
        </w:rPr>
        <w:t>Conforme a lo estipulado en la Recomendación UIT-T A.7, toda prórroga posterior a la fecha antes mencionada estará sujeta a la decisión del GANT.</w:t>
      </w:r>
    </w:p>
    <w:p w14:paraId="62421B7B" w14:textId="77777777" w:rsidR="0040272A" w:rsidRPr="000C602C" w:rsidRDefault="0040272A" w:rsidP="0040272A">
      <w:pPr>
        <w:pStyle w:val="Heading1"/>
        <w:rPr>
          <w:lang w:val="es-ES"/>
        </w:rPr>
      </w:pPr>
      <w:r w:rsidRPr="000C602C">
        <w:rPr>
          <w:lang w:val="es-ES"/>
        </w:rPr>
        <w:t>19</w:t>
      </w:r>
      <w:r w:rsidRPr="000C602C">
        <w:rPr>
          <w:lang w:val="es-ES"/>
        </w:rPr>
        <w:tab/>
        <w:t>Política de patentes</w:t>
      </w:r>
    </w:p>
    <w:p w14:paraId="5066A84B" w14:textId="7C72DE69" w:rsidR="004739E3" w:rsidRPr="000C602C" w:rsidRDefault="0040272A" w:rsidP="0040272A">
      <w:pPr>
        <w:tabs>
          <w:tab w:val="clear" w:pos="794"/>
          <w:tab w:val="clear" w:pos="1191"/>
          <w:tab w:val="clear" w:pos="1588"/>
          <w:tab w:val="clear" w:pos="1985"/>
        </w:tabs>
        <w:overflowPunct/>
        <w:autoSpaceDE/>
        <w:autoSpaceDN/>
        <w:adjustRightInd/>
        <w:textAlignment w:val="auto"/>
        <w:rPr>
          <w:rFonts w:eastAsiaTheme="minorEastAsia" w:cstheme="minorHAnsi"/>
          <w:sz w:val="22"/>
          <w:szCs w:val="22"/>
          <w:lang w:val="es-ES"/>
        </w:rPr>
      </w:pPr>
      <w:r w:rsidRPr="000C602C">
        <w:rPr>
          <w:rFonts w:cstheme="minorHAnsi"/>
          <w:sz w:val="22"/>
          <w:szCs w:val="22"/>
          <w:lang w:val="es-ES"/>
        </w:rPr>
        <w:t>Véase la cláusula 9 de la Recomendación UIT-T A.7.</w:t>
      </w:r>
    </w:p>
    <w:p w14:paraId="2D5F5CF9" w14:textId="77777777" w:rsidR="004739E3" w:rsidRPr="000C602C" w:rsidRDefault="004739E3" w:rsidP="00411C49">
      <w:pPr>
        <w:pStyle w:val="Reasons"/>
        <w:rPr>
          <w:lang w:val="es-ES"/>
        </w:rPr>
      </w:pPr>
    </w:p>
    <w:p w14:paraId="3E7E7EFE" w14:textId="77777777" w:rsidR="004739E3" w:rsidRPr="000C602C" w:rsidRDefault="004739E3">
      <w:pPr>
        <w:jc w:val="center"/>
        <w:rPr>
          <w:lang w:val="es-ES"/>
        </w:rPr>
      </w:pPr>
      <w:r w:rsidRPr="000C602C">
        <w:rPr>
          <w:lang w:val="es-ES"/>
        </w:rPr>
        <w:t>______________</w:t>
      </w:r>
    </w:p>
    <w:sectPr w:rsidR="004739E3" w:rsidRPr="000C602C" w:rsidSect="00B87E9E">
      <w:head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F8E1" w14:textId="77777777" w:rsidR="00C002B3" w:rsidRDefault="00C002B3">
      <w:r>
        <w:separator/>
      </w:r>
    </w:p>
  </w:endnote>
  <w:endnote w:type="continuationSeparator" w:id="0">
    <w:p w14:paraId="2FF3CA1D" w14:textId="77777777" w:rsidR="00C002B3" w:rsidRDefault="00C0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90FC" w14:textId="69C866FB"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4739E3">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03DB" w14:textId="77777777" w:rsidR="00C002B3" w:rsidRDefault="00C002B3">
      <w:r>
        <w:t>____________________</w:t>
      </w:r>
    </w:p>
  </w:footnote>
  <w:footnote w:type="continuationSeparator" w:id="0">
    <w:p w14:paraId="7B8DE56C" w14:textId="77777777" w:rsidR="00C002B3" w:rsidRDefault="00C002B3">
      <w:r>
        <w:continuationSeparator/>
      </w:r>
    </w:p>
  </w:footnote>
  <w:footnote w:id="1">
    <w:p w14:paraId="35C6A367" w14:textId="77777777" w:rsidR="00450DEB" w:rsidRPr="00EE5709" w:rsidRDefault="00450DEB" w:rsidP="00450DEB">
      <w:pPr>
        <w:pStyle w:val="FootnoteText"/>
        <w:rPr>
          <w:lang w:val="es-ES"/>
        </w:rPr>
      </w:pPr>
      <w:r>
        <w:rPr>
          <w:rStyle w:val="FootnoteReference"/>
        </w:rPr>
        <w:footnoteRef/>
      </w:r>
      <w:r>
        <w:tab/>
      </w:r>
      <w:hyperlink r:id="rId1" w:history="1">
        <w:r w:rsidRPr="00526234">
          <w:rPr>
            <w:rStyle w:val="Hyperlink"/>
          </w:rPr>
          <w:t>https://www.bloomberg.com/professional/blog/metaverse-may-be-800-billion-market-next-tech-platform/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D207" w14:textId="5D4062B5"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A17A894" w14:textId="267297E2" w:rsidR="00B338D5" w:rsidRPr="00303D62" w:rsidRDefault="00B338D5">
    <w:pPr>
      <w:pStyle w:val="Header"/>
      <w:rPr>
        <w:sz w:val="18"/>
        <w:szCs w:val="18"/>
      </w:rPr>
    </w:pPr>
    <w:r>
      <w:rPr>
        <w:rStyle w:val="PageNumber"/>
        <w:sz w:val="18"/>
        <w:szCs w:val="18"/>
      </w:rPr>
      <w:t>Circular TSB 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99D"/>
    <w:multiLevelType w:val="hybridMultilevel"/>
    <w:tmpl w:val="FF20F686"/>
    <w:lvl w:ilvl="0" w:tplc="EECED38E">
      <w:start w:val="1"/>
      <w:numFmt w:val="bullet"/>
      <w:lvlText w:val="–"/>
      <w:lvlJc w:val="left"/>
      <w:pPr>
        <w:ind w:left="720" w:hanging="363"/>
      </w:pPr>
      <w:rPr>
        <w:rFonts w:ascii="Times New Roman" w:hAnsi="Times New Roman" w:cs="Times New Roman" w:hint="default"/>
      </w:rPr>
    </w:lvl>
    <w:lvl w:ilvl="1" w:tplc="66D438FE" w:tentative="1">
      <w:start w:val="1"/>
      <w:numFmt w:val="bullet"/>
      <w:lvlText w:val="o"/>
      <w:lvlJc w:val="left"/>
      <w:pPr>
        <w:ind w:left="1440" w:hanging="360"/>
      </w:pPr>
      <w:rPr>
        <w:rFonts w:ascii="Courier New" w:hAnsi="Courier New" w:cs="Courier New" w:hint="default"/>
      </w:rPr>
    </w:lvl>
    <w:lvl w:ilvl="2" w:tplc="D8A26A2C" w:tentative="1">
      <w:start w:val="1"/>
      <w:numFmt w:val="bullet"/>
      <w:lvlText w:val=""/>
      <w:lvlJc w:val="left"/>
      <w:pPr>
        <w:ind w:left="2160" w:hanging="360"/>
      </w:pPr>
      <w:rPr>
        <w:rFonts w:ascii="Wingdings" w:hAnsi="Wingdings" w:hint="default"/>
      </w:rPr>
    </w:lvl>
    <w:lvl w:ilvl="3" w:tplc="74D211E4" w:tentative="1">
      <w:start w:val="1"/>
      <w:numFmt w:val="bullet"/>
      <w:lvlText w:val=""/>
      <w:lvlJc w:val="left"/>
      <w:pPr>
        <w:ind w:left="2880" w:hanging="360"/>
      </w:pPr>
      <w:rPr>
        <w:rFonts w:ascii="Symbol" w:hAnsi="Symbol" w:hint="default"/>
      </w:rPr>
    </w:lvl>
    <w:lvl w:ilvl="4" w:tplc="B874DAF8" w:tentative="1">
      <w:start w:val="1"/>
      <w:numFmt w:val="bullet"/>
      <w:lvlText w:val="o"/>
      <w:lvlJc w:val="left"/>
      <w:pPr>
        <w:ind w:left="3600" w:hanging="360"/>
      </w:pPr>
      <w:rPr>
        <w:rFonts w:ascii="Courier New" w:hAnsi="Courier New" w:cs="Courier New" w:hint="default"/>
      </w:rPr>
    </w:lvl>
    <w:lvl w:ilvl="5" w:tplc="FB3E39EC" w:tentative="1">
      <w:start w:val="1"/>
      <w:numFmt w:val="bullet"/>
      <w:lvlText w:val=""/>
      <w:lvlJc w:val="left"/>
      <w:pPr>
        <w:ind w:left="4320" w:hanging="360"/>
      </w:pPr>
      <w:rPr>
        <w:rFonts w:ascii="Wingdings" w:hAnsi="Wingdings" w:hint="default"/>
      </w:rPr>
    </w:lvl>
    <w:lvl w:ilvl="6" w:tplc="5D7A73E4" w:tentative="1">
      <w:start w:val="1"/>
      <w:numFmt w:val="bullet"/>
      <w:lvlText w:val=""/>
      <w:lvlJc w:val="left"/>
      <w:pPr>
        <w:ind w:left="5040" w:hanging="360"/>
      </w:pPr>
      <w:rPr>
        <w:rFonts w:ascii="Symbol" w:hAnsi="Symbol" w:hint="default"/>
      </w:rPr>
    </w:lvl>
    <w:lvl w:ilvl="7" w:tplc="772AE99E" w:tentative="1">
      <w:start w:val="1"/>
      <w:numFmt w:val="bullet"/>
      <w:lvlText w:val="o"/>
      <w:lvlJc w:val="left"/>
      <w:pPr>
        <w:ind w:left="5760" w:hanging="360"/>
      </w:pPr>
      <w:rPr>
        <w:rFonts w:ascii="Courier New" w:hAnsi="Courier New" w:cs="Courier New" w:hint="default"/>
      </w:rPr>
    </w:lvl>
    <w:lvl w:ilvl="8" w:tplc="129A0900"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4E200A3"/>
    <w:multiLevelType w:val="hybridMultilevel"/>
    <w:tmpl w:val="CCE286F0"/>
    <w:lvl w:ilvl="0" w:tplc="81FACEC8">
      <w:start w:val="10"/>
      <w:numFmt w:val="bullet"/>
      <w:lvlText w:val="-"/>
      <w:lvlJc w:val="left"/>
      <w:pPr>
        <w:ind w:left="720" w:hanging="360"/>
      </w:pPr>
      <w:rPr>
        <w:rFonts w:ascii="Calibri" w:eastAsia="Times New Roman" w:hAnsi="Calibri" w:cs="Calibri" w:hint="default"/>
      </w:rPr>
    </w:lvl>
    <w:lvl w:ilvl="1" w:tplc="69F2EEB4" w:tentative="1">
      <w:start w:val="1"/>
      <w:numFmt w:val="bullet"/>
      <w:lvlText w:val="o"/>
      <w:lvlJc w:val="left"/>
      <w:pPr>
        <w:ind w:left="1440" w:hanging="360"/>
      </w:pPr>
      <w:rPr>
        <w:rFonts w:ascii="Courier New" w:hAnsi="Courier New" w:cs="Courier New" w:hint="default"/>
      </w:rPr>
    </w:lvl>
    <w:lvl w:ilvl="2" w:tplc="16F28DC2" w:tentative="1">
      <w:start w:val="1"/>
      <w:numFmt w:val="bullet"/>
      <w:lvlText w:val=""/>
      <w:lvlJc w:val="left"/>
      <w:pPr>
        <w:ind w:left="2160" w:hanging="360"/>
      </w:pPr>
      <w:rPr>
        <w:rFonts w:ascii="Wingdings" w:hAnsi="Wingdings" w:hint="default"/>
      </w:rPr>
    </w:lvl>
    <w:lvl w:ilvl="3" w:tplc="B8D080A6" w:tentative="1">
      <w:start w:val="1"/>
      <w:numFmt w:val="bullet"/>
      <w:lvlText w:val=""/>
      <w:lvlJc w:val="left"/>
      <w:pPr>
        <w:ind w:left="2880" w:hanging="360"/>
      </w:pPr>
      <w:rPr>
        <w:rFonts w:ascii="Symbol" w:hAnsi="Symbol" w:hint="default"/>
      </w:rPr>
    </w:lvl>
    <w:lvl w:ilvl="4" w:tplc="D7EC2192" w:tentative="1">
      <w:start w:val="1"/>
      <w:numFmt w:val="bullet"/>
      <w:lvlText w:val="o"/>
      <w:lvlJc w:val="left"/>
      <w:pPr>
        <w:ind w:left="3600" w:hanging="360"/>
      </w:pPr>
      <w:rPr>
        <w:rFonts w:ascii="Courier New" w:hAnsi="Courier New" w:cs="Courier New" w:hint="default"/>
      </w:rPr>
    </w:lvl>
    <w:lvl w:ilvl="5" w:tplc="24426A2C" w:tentative="1">
      <w:start w:val="1"/>
      <w:numFmt w:val="bullet"/>
      <w:lvlText w:val=""/>
      <w:lvlJc w:val="left"/>
      <w:pPr>
        <w:ind w:left="4320" w:hanging="360"/>
      </w:pPr>
      <w:rPr>
        <w:rFonts w:ascii="Wingdings" w:hAnsi="Wingdings" w:hint="default"/>
      </w:rPr>
    </w:lvl>
    <w:lvl w:ilvl="6" w:tplc="78F25BDE" w:tentative="1">
      <w:start w:val="1"/>
      <w:numFmt w:val="bullet"/>
      <w:lvlText w:val=""/>
      <w:lvlJc w:val="left"/>
      <w:pPr>
        <w:ind w:left="5040" w:hanging="360"/>
      </w:pPr>
      <w:rPr>
        <w:rFonts w:ascii="Symbol" w:hAnsi="Symbol" w:hint="default"/>
      </w:rPr>
    </w:lvl>
    <w:lvl w:ilvl="7" w:tplc="C2FA696A" w:tentative="1">
      <w:start w:val="1"/>
      <w:numFmt w:val="bullet"/>
      <w:lvlText w:val="o"/>
      <w:lvlJc w:val="left"/>
      <w:pPr>
        <w:ind w:left="5760" w:hanging="360"/>
      </w:pPr>
      <w:rPr>
        <w:rFonts w:ascii="Courier New" w:hAnsi="Courier New" w:cs="Courier New" w:hint="default"/>
      </w:rPr>
    </w:lvl>
    <w:lvl w:ilvl="8" w:tplc="736A0C34"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670445798">
    <w:abstractNumId w:val="1"/>
  </w:num>
  <w:num w:numId="2" w16cid:durableId="426391081">
    <w:abstractNumId w:val="5"/>
  </w:num>
  <w:num w:numId="3" w16cid:durableId="281112812">
    <w:abstractNumId w:val="4"/>
  </w:num>
  <w:num w:numId="4" w16cid:durableId="1704089449">
    <w:abstractNumId w:val="2"/>
  </w:num>
  <w:num w:numId="5" w16cid:durableId="1937785005">
    <w:abstractNumId w:val="0"/>
  </w:num>
  <w:num w:numId="6" w16cid:durableId="192232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MjYwNDM0NDA3MjNX0lEKTi0uzszPAykwqgUA9FhO6iwAAAA="/>
  </w:docVars>
  <w:rsids>
    <w:rsidRoot w:val="00C002B3"/>
    <w:rsid w:val="00002529"/>
    <w:rsid w:val="00072445"/>
    <w:rsid w:val="000774FF"/>
    <w:rsid w:val="00085662"/>
    <w:rsid w:val="000C382F"/>
    <w:rsid w:val="000C602C"/>
    <w:rsid w:val="00101E2C"/>
    <w:rsid w:val="001173CC"/>
    <w:rsid w:val="00134906"/>
    <w:rsid w:val="0014464D"/>
    <w:rsid w:val="00160C0E"/>
    <w:rsid w:val="001A54CC"/>
    <w:rsid w:val="002236BD"/>
    <w:rsid w:val="002545F8"/>
    <w:rsid w:val="00257FB4"/>
    <w:rsid w:val="002C6BDF"/>
    <w:rsid w:val="002D0EA9"/>
    <w:rsid w:val="002E496E"/>
    <w:rsid w:val="00303D62"/>
    <w:rsid w:val="00335367"/>
    <w:rsid w:val="00370C2D"/>
    <w:rsid w:val="003D1E8D"/>
    <w:rsid w:val="003D673B"/>
    <w:rsid w:val="003F2855"/>
    <w:rsid w:val="003F2BE8"/>
    <w:rsid w:val="00401C20"/>
    <w:rsid w:val="0040272A"/>
    <w:rsid w:val="00413E6A"/>
    <w:rsid w:val="00415122"/>
    <w:rsid w:val="00416E90"/>
    <w:rsid w:val="00450DEB"/>
    <w:rsid w:val="004658C9"/>
    <w:rsid w:val="004739E3"/>
    <w:rsid w:val="004A7957"/>
    <w:rsid w:val="004C4144"/>
    <w:rsid w:val="0055719E"/>
    <w:rsid w:val="005F4607"/>
    <w:rsid w:val="00683C51"/>
    <w:rsid w:val="006969B4"/>
    <w:rsid w:val="006E022D"/>
    <w:rsid w:val="006E4F7B"/>
    <w:rsid w:val="0073183C"/>
    <w:rsid w:val="00781E2A"/>
    <w:rsid w:val="007933A2"/>
    <w:rsid w:val="00797AF4"/>
    <w:rsid w:val="007A0A57"/>
    <w:rsid w:val="007A6760"/>
    <w:rsid w:val="007B6316"/>
    <w:rsid w:val="00814503"/>
    <w:rsid w:val="008258C2"/>
    <w:rsid w:val="008505BD"/>
    <w:rsid w:val="00850C78"/>
    <w:rsid w:val="008654E5"/>
    <w:rsid w:val="00876165"/>
    <w:rsid w:val="00884D12"/>
    <w:rsid w:val="00894D57"/>
    <w:rsid w:val="008B5344"/>
    <w:rsid w:val="008C17AD"/>
    <w:rsid w:val="008D02CD"/>
    <w:rsid w:val="0091370C"/>
    <w:rsid w:val="0095172A"/>
    <w:rsid w:val="0096001F"/>
    <w:rsid w:val="009A0BA0"/>
    <w:rsid w:val="00A07516"/>
    <w:rsid w:val="00A54E47"/>
    <w:rsid w:val="00A70BC3"/>
    <w:rsid w:val="00A81D0B"/>
    <w:rsid w:val="00AB6E3A"/>
    <w:rsid w:val="00AC72E4"/>
    <w:rsid w:val="00AE7093"/>
    <w:rsid w:val="00B20E17"/>
    <w:rsid w:val="00B338D5"/>
    <w:rsid w:val="00B422BC"/>
    <w:rsid w:val="00B43F77"/>
    <w:rsid w:val="00B55A3E"/>
    <w:rsid w:val="00B87E9E"/>
    <w:rsid w:val="00B95F0A"/>
    <w:rsid w:val="00B96180"/>
    <w:rsid w:val="00B96751"/>
    <w:rsid w:val="00C002B3"/>
    <w:rsid w:val="00C116FE"/>
    <w:rsid w:val="00C17AC0"/>
    <w:rsid w:val="00C27691"/>
    <w:rsid w:val="00C34772"/>
    <w:rsid w:val="00C5465A"/>
    <w:rsid w:val="00C870FD"/>
    <w:rsid w:val="00D0791A"/>
    <w:rsid w:val="00D54642"/>
    <w:rsid w:val="00D55830"/>
    <w:rsid w:val="00D834E7"/>
    <w:rsid w:val="00DD77C9"/>
    <w:rsid w:val="00DF3538"/>
    <w:rsid w:val="00DF6379"/>
    <w:rsid w:val="00E06A3D"/>
    <w:rsid w:val="00E46862"/>
    <w:rsid w:val="00E50A59"/>
    <w:rsid w:val="00E674EE"/>
    <w:rsid w:val="00E839B0"/>
    <w:rsid w:val="00E92C09"/>
    <w:rsid w:val="00EB74CD"/>
    <w:rsid w:val="00EE5709"/>
    <w:rsid w:val="00F14380"/>
    <w:rsid w:val="00F6461F"/>
    <w:rsid w:val="00FC416A"/>
    <w:rsid w:val="00FD2B2D"/>
    <w:rsid w:val="00FD5B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1E3EA"/>
  <w15:docId w15:val="{6E0B2C29-0C3A-476D-8D40-9C211E01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하이퍼링크2"/>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4739E3"/>
    <w:rPr>
      <w:color w:val="605E5C"/>
      <w:shd w:val="clear" w:color="auto" w:fill="E1DFDD"/>
    </w:rPr>
  </w:style>
  <w:style w:type="paragraph" w:customStyle="1" w:styleId="Reasons">
    <w:name w:val="Reasons"/>
    <w:basedOn w:val="Normal"/>
    <w:qFormat/>
    <w:rsid w:val="004739E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styleId="TableGrid">
    <w:name w:val="Table Grid"/>
    <w:basedOn w:val="TableNormal"/>
    <w:rsid w:val="0010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272A"/>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35403">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sc/Pages/1st-forum-metaverse.aspx" TargetMode="External"/><Relationship Id="rId18" Type="http://schemas.openxmlformats.org/officeDocument/2006/relationships/hyperlink" Target="https://www.itu.int/en/ITU-T/focusgroups/mv/Pages/default.aspx" TargetMode="External"/><Relationship Id="rId3" Type="http://schemas.openxmlformats.org/officeDocument/2006/relationships/styles" Target="styles.xml"/><Relationship Id="rId21" Type="http://schemas.openxmlformats.org/officeDocument/2006/relationships/hyperlink" Target="http://www.itu.int/go/fgmv" TargetMode="External"/><Relationship Id="rId7" Type="http://schemas.openxmlformats.org/officeDocument/2006/relationships/endnotes" Target="endnotes.xml"/><Relationship Id="rId12" Type="http://schemas.openxmlformats.org/officeDocument/2006/relationships/hyperlink" Target="http://www.itu.int/rec/T-REC-A.7/es" TargetMode="External"/><Relationship Id="rId17" Type="http://schemas.openxmlformats.org/officeDocument/2006/relationships/hyperlink" Target="http://www.itu.int/go/fgm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focusgroups/mv/Pages/default.aspx" TargetMode="External"/><Relationship Id="rId20" Type="http://schemas.openxmlformats.org/officeDocument/2006/relationships/hyperlink" Target="mailto:tsbfgmv@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mv/Pages/reg.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focusgroups/mv/Pages/default.aspx" TargetMode="External"/><Relationship Id="rId23" Type="http://schemas.openxmlformats.org/officeDocument/2006/relationships/footer" Target="footer1.xml"/><Relationship Id="rId10" Type="http://schemas.openxmlformats.org/officeDocument/2006/relationships/hyperlink" Target="https://www.itu.int/en/ITU-T/focusgroups/mv/Pages/default.aspx" TargetMode="External"/><Relationship Id="rId19" Type="http://schemas.openxmlformats.org/officeDocument/2006/relationships/hyperlink" Target="https://www.itu.int/en/ITU-T/focusgroups/mv/Pages/default.aspx" TargetMode="Externa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mailto:tsbfgmv@itu.in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oomberg.com/professional/blog/metaverse-may-be-800-billion-market-next-tech-pla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TotalTime>
  <Pages>8</Pages>
  <Words>2491</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17042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Maguire, Mairéad</cp:lastModifiedBy>
  <cp:revision>2</cp:revision>
  <cp:lastPrinted>2011-04-15T08:24:00Z</cp:lastPrinted>
  <dcterms:created xsi:type="dcterms:W3CDTF">2023-01-26T10:27:00Z</dcterms:created>
  <dcterms:modified xsi:type="dcterms:W3CDTF">2023-01-26T10:27:00Z</dcterms:modified>
</cp:coreProperties>
</file>