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1A765B" w14:paraId="590D6AE4" w14:textId="77777777" w:rsidTr="00036F4F">
        <w:trPr>
          <w:gridAfter w:val="1"/>
          <w:wAfter w:w="8" w:type="dxa"/>
          <w:cantSplit/>
        </w:trPr>
        <w:tc>
          <w:tcPr>
            <w:tcW w:w="1418" w:type="dxa"/>
            <w:gridSpan w:val="3"/>
            <w:vAlign w:val="center"/>
          </w:tcPr>
          <w:p w14:paraId="25F6532C" w14:textId="77777777" w:rsidR="00036F4F" w:rsidRPr="001A765B" w:rsidRDefault="00036F4F" w:rsidP="002C09B1">
            <w:pPr>
              <w:tabs>
                <w:tab w:val="right" w:pos="8732"/>
              </w:tabs>
              <w:spacing w:before="0"/>
              <w:rPr>
                <w:b/>
                <w:bCs/>
                <w:iCs/>
                <w:color w:val="FFFFFF"/>
                <w:sz w:val="30"/>
                <w:szCs w:val="30"/>
              </w:rPr>
            </w:pPr>
            <w:r w:rsidRPr="001A765B">
              <w:rPr>
                <w:noProof/>
                <w:lang w:eastAsia="zh-CN"/>
              </w:rPr>
              <w:drawing>
                <wp:inline distT="0" distB="0" distL="0" distR="0" wp14:anchorId="2B328C0C" wp14:editId="4D336A1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75E173A8" w14:textId="77777777" w:rsidR="00036F4F" w:rsidRPr="001A765B" w:rsidRDefault="00036F4F" w:rsidP="002C09B1">
            <w:pPr>
              <w:spacing w:before="0"/>
              <w:rPr>
                <w:rFonts w:cs="Times New Roman Bold"/>
                <w:b/>
                <w:bCs/>
                <w:iCs/>
                <w:smallCaps/>
                <w:sz w:val="34"/>
                <w:szCs w:val="34"/>
              </w:rPr>
            </w:pPr>
            <w:r w:rsidRPr="001A765B">
              <w:rPr>
                <w:rFonts w:cs="Times New Roman Bold"/>
                <w:b/>
                <w:bCs/>
                <w:iCs/>
                <w:smallCaps/>
                <w:sz w:val="34"/>
                <w:szCs w:val="34"/>
              </w:rPr>
              <w:t>Union internationale des télécommunications</w:t>
            </w:r>
          </w:p>
          <w:p w14:paraId="651EE878" w14:textId="77777777" w:rsidR="00036F4F" w:rsidRPr="001A765B" w:rsidRDefault="00036F4F" w:rsidP="002C09B1">
            <w:pPr>
              <w:tabs>
                <w:tab w:val="right" w:pos="8732"/>
              </w:tabs>
              <w:spacing w:before="0"/>
              <w:rPr>
                <w:b/>
                <w:bCs/>
                <w:iCs/>
                <w:color w:val="FFFFFF"/>
                <w:sz w:val="30"/>
                <w:szCs w:val="30"/>
              </w:rPr>
            </w:pPr>
            <w:r w:rsidRPr="001A765B">
              <w:rPr>
                <w:rFonts w:cs="Times New Roman Bold"/>
                <w:b/>
                <w:bCs/>
                <w:iCs/>
                <w:smallCaps/>
                <w:sz w:val="28"/>
                <w:szCs w:val="28"/>
              </w:rPr>
              <w:t>B</w:t>
            </w:r>
            <w:r w:rsidRPr="001A765B">
              <w:rPr>
                <w:b/>
                <w:bCs/>
                <w:iCs/>
                <w:smallCaps/>
                <w:sz w:val="28"/>
                <w:szCs w:val="28"/>
              </w:rPr>
              <w:t>ureau de la Normalisation des Télécommunications</w:t>
            </w:r>
          </w:p>
        </w:tc>
        <w:tc>
          <w:tcPr>
            <w:tcW w:w="2126" w:type="dxa"/>
            <w:vAlign w:val="center"/>
          </w:tcPr>
          <w:p w14:paraId="6DC927EC" w14:textId="77777777" w:rsidR="00036F4F" w:rsidRPr="001A765B" w:rsidRDefault="00036F4F" w:rsidP="002C09B1">
            <w:pPr>
              <w:spacing w:before="0"/>
              <w:jc w:val="right"/>
              <w:rPr>
                <w:color w:val="FFFFFF"/>
                <w:sz w:val="26"/>
                <w:szCs w:val="26"/>
              </w:rPr>
            </w:pPr>
          </w:p>
        </w:tc>
      </w:tr>
      <w:tr w:rsidR="00036F4F" w:rsidRPr="001A765B" w14:paraId="0126AFD2" w14:textId="77777777" w:rsidTr="00A5645A">
        <w:trPr>
          <w:gridBefore w:val="1"/>
          <w:wBefore w:w="8" w:type="dxa"/>
          <w:cantSplit/>
        </w:trPr>
        <w:tc>
          <w:tcPr>
            <w:tcW w:w="1977" w:type="dxa"/>
            <w:gridSpan w:val="3"/>
          </w:tcPr>
          <w:p w14:paraId="72CA84DE" w14:textId="77777777" w:rsidR="00036F4F" w:rsidRPr="001A765B" w:rsidRDefault="00036F4F" w:rsidP="002C09B1">
            <w:pPr>
              <w:tabs>
                <w:tab w:val="left" w:pos="4111"/>
              </w:tabs>
              <w:spacing w:before="10"/>
              <w:ind w:left="57"/>
            </w:pPr>
          </w:p>
        </w:tc>
        <w:tc>
          <w:tcPr>
            <w:tcW w:w="2900" w:type="dxa"/>
          </w:tcPr>
          <w:p w14:paraId="5E5822E5" w14:textId="77777777" w:rsidR="00036F4F" w:rsidRPr="001A765B" w:rsidRDefault="00036F4F" w:rsidP="002C09B1">
            <w:pPr>
              <w:tabs>
                <w:tab w:val="left" w:pos="4111"/>
              </w:tabs>
              <w:spacing w:before="10"/>
              <w:ind w:left="57"/>
              <w:rPr>
                <w:b/>
              </w:rPr>
            </w:pPr>
          </w:p>
        </w:tc>
        <w:tc>
          <w:tcPr>
            <w:tcW w:w="5046" w:type="dxa"/>
            <w:gridSpan w:val="3"/>
          </w:tcPr>
          <w:p w14:paraId="763F9AE8" w14:textId="42CC6178" w:rsidR="00036F4F" w:rsidRPr="001A765B" w:rsidRDefault="00036F4F" w:rsidP="002C09B1">
            <w:pPr>
              <w:tabs>
                <w:tab w:val="clear" w:pos="794"/>
                <w:tab w:val="clear" w:pos="1191"/>
                <w:tab w:val="clear" w:pos="1588"/>
                <w:tab w:val="clear" w:pos="1985"/>
                <w:tab w:val="left" w:pos="284"/>
              </w:tabs>
              <w:spacing w:after="120"/>
              <w:ind w:left="284" w:hanging="227"/>
            </w:pPr>
            <w:r w:rsidRPr="001A765B">
              <w:t>Genève, le</w:t>
            </w:r>
            <w:r w:rsidR="00CB6B7F" w:rsidRPr="001A765B">
              <w:t xml:space="preserve"> 19 janvier 2023</w:t>
            </w:r>
          </w:p>
        </w:tc>
      </w:tr>
      <w:tr w:rsidR="00036F4F" w:rsidRPr="001A765B" w14:paraId="52448330" w14:textId="77777777" w:rsidTr="00133C7C">
        <w:trPr>
          <w:gridBefore w:val="1"/>
          <w:wBefore w:w="8" w:type="dxa"/>
          <w:cantSplit/>
          <w:trHeight w:val="340"/>
        </w:trPr>
        <w:tc>
          <w:tcPr>
            <w:tcW w:w="1126" w:type="dxa"/>
          </w:tcPr>
          <w:p w14:paraId="0E024FB6" w14:textId="786D867D" w:rsidR="00036F4F" w:rsidRPr="001A765B" w:rsidRDefault="00036F4F" w:rsidP="00133C7C">
            <w:pPr>
              <w:tabs>
                <w:tab w:val="left" w:pos="4111"/>
              </w:tabs>
              <w:spacing w:before="10"/>
              <w:ind w:left="57"/>
              <w:rPr>
                <w:b/>
                <w:bCs/>
              </w:rPr>
            </w:pPr>
            <w:r w:rsidRPr="001A765B">
              <w:rPr>
                <w:b/>
                <w:bCs/>
              </w:rPr>
              <w:t>Réf.:</w:t>
            </w:r>
          </w:p>
        </w:tc>
        <w:tc>
          <w:tcPr>
            <w:tcW w:w="3751" w:type="dxa"/>
            <w:gridSpan w:val="3"/>
          </w:tcPr>
          <w:p w14:paraId="09B8A93A" w14:textId="262D0129" w:rsidR="00036F4F" w:rsidRPr="001A765B" w:rsidRDefault="00036F4F" w:rsidP="002C09B1">
            <w:pPr>
              <w:tabs>
                <w:tab w:val="left" w:pos="4111"/>
              </w:tabs>
              <w:spacing w:before="10"/>
              <w:ind w:left="57"/>
              <w:rPr>
                <w:b/>
              </w:rPr>
            </w:pPr>
            <w:r w:rsidRPr="001A765B">
              <w:rPr>
                <w:b/>
              </w:rPr>
              <w:t>Circulaire TS</w:t>
            </w:r>
            <w:r w:rsidR="001D0146" w:rsidRPr="001A765B">
              <w:rPr>
                <w:b/>
              </w:rPr>
              <w:t>B 69</w:t>
            </w:r>
          </w:p>
          <w:p w14:paraId="0C40BAB7" w14:textId="318DE2B9" w:rsidR="00036F4F" w:rsidRPr="001A765B" w:rsidRDefault="001D0146" w:rsidP="002C09B1">
            <w:pPr>
              <w:tabs>
                <w:tab w:val="left" w:pos="4111"/>
              </w:tabs>
              <w:spacing w:before="10"/>
              <w:ind w:left="57"/>
              <w:rPr>
                <w:b/>
                <w:bCs/>
              </w:rPr>
            </w:pPr>
            <w:r w:rsidRPr="001A765B">
              <w:rPr>
                <w:b/>
                <w:bCs/>
              </w:rPr>
              <w:t>FG-MV/CB</w:t>
            </w:r>
          </w:p>
        </w:tc>
        <w:tc>
          <w:tcPr>
            <w:tcW w:w="5046" w:type="dxa"/>
            <w:gridSpan w:val="3"/>
            <w:vMerge w:val="restart"/>
          </w:tcPr>
          <w:p w14:paraId="1ADE40F9" w14:textId="77777777" w:rsidR="00816859" w:rsidRPr="001A765B" w:rsidRDefault="00816859" w:rsidP="00816859">
            <w:pPr>
              <w:tabs>
                <w:tab w:val="clear" w:pos="794"/>
                <w:tab w:val="clear" w:pos="1191"/>
                <w:tab w:val="clear" w:pos="1588"/>
                <w:tab w:val="clear" w:pos="1985"/>
                <w:tab w:val="left" w:pos="284"/>
              </w:tabs>
              <w:spacing w:before="0"/>
              <w:ind w:left="284" w:hanging="227"/>
            </w:pPr>
            <w:bookmarkStart w:id="0" w:name="Addressee_F"/>
            <w:bookmarkEnd w:id="0"/>
            <w:r w:rsidRPr="001A765B">
              <w:t>Aux:</w:t>
            </w:r>
          </w:p>
          <w:p w14:paraId="5B6F4654" w14:textId="684D8D56" w:rsidR="00816859" w:rsidRPr="001A765B" w:rsidRDefault="00816859" w:rsidP="00816859">
            <w:pPr>
              <w:tabs>
                <w:tab w:val="clear" w:pos="794"/>
                <w:tab w:val="clear" w:pos="1191"/>
                <w:tab w:val="clear" w:pos="1588"/>
                <w:tab w:val="clear" w:pos="1985"/>
              </w:tabs>
              <w:spacing w:before="0"/>
              <w:ind w:left="497" w:hanging="440"/>
            </w:pPr>
            <w:r w:rsidRPr="001A765B">
              <w:t>–</w:t>
            </w:r>
            <w:r w:rsidRPr="001A765B">
              <w:tab/>
              <w:t>Administrations des États Membres de l</w:t>
            </w:r>
            <w:r w:rsidR="00133C7C" w:rsidRPr="001A765B">
              <w:t>'</w:t>
            </w:r>
            <w:r w:rsidRPr="001A765B">
              <w:t>Union;</w:t>
            </w:r>
          </w:p>
          <w:p w14:paraId="56E9F55B" w14:textId="77777777" w:rsidR="00816859" w:rsidRPr="001A765B" w:rsidRDefault="00816859" w:rsidP="00816859">
            <w:pPr>
              <w:tabs>
                <w:tab w:val="clear" w:pos="794"/>
                <w:tab w:val="clear" w:pos="1191"/>
                <w:tab w:val="clear" w:pos="1588"/>
                <w:tab w:val="clear" w:pos="1985"/>
              </w:tabs>
              <w:spacing w:before="0"/>
              <w:ind w:left="497" w:hanging="440"/>
            </w:pPr>
            <w:r w:rsidRPr="001A765B">
              <w:t>–</w:t>
            </w:r>
            <w:r w:rsidRPr="001A765B">
              <w:tab/>
              <w:t>Membres du Secteur UIT-T;</w:t>
            </w:r>
          </w:p>
          <w:p w14:paraId="68769306" w14:textId="21E9B8EF" w:rsidR="00816859" w:rsidRPr="001A765B" w:rsidRDefault="00816859" w:rsidP="00816859">
            <w:pPr>
              <w:tabs>
                <w:tab w:val="clear" w:pos="794"/>
                <w:tab w:val="clear" w:pos="1191"/>
                <w:tab w:val="clear" w:pos="1588"/>
                <w:tab w:val="clear" w:pos="1985"/>
              </w:tabs>
              <w:spacing w:before="0"/>
              <w:ind w:left="497" w:hanging="440"/>
            </w:pPr>
            <w:r w:rsidRPr="001A765B">
              <w:t>–</w:t>
            </w:r>
            <w:r w:rsidRPr="001A765B">
              <w:tab/>
              <w:t>Associés de l</w:t>
            </w:r>
            <w:r w:rsidR="00133C7C" w:rsidRPr="001A765B">
              <w:t>'</w:t>
            </w:r>
            <w:r w:rsidRPr="001A765B">
              <w:t>UIT-T;</w:t>
            </w:r>
          </w:p>
          <w:p w14:paraId="1A7D4172" w14:textId="28A650BD" w:rsidR="00036F4F" w:rsidRPr="001A765B" w:rsidRDefault="00816859" w:rsidP="00816859">
            <w:pPr>
              <w:tabs>
                <w:tab w:val="clear" w:pos="794"/>
                <w:tab w:val="clear" w:pos="1191"/>
                <w:tab w:val="clear" w:pos="1588"/>
                <w:tab w:val="clear" w:pos="1985"/>
                <w:tab w:val="left" w:pos="501"/>
              </w:tabs>
              <w:spacing w:before="0"/>
              <w:ind w:left="501" w:hanging="444"/>
            </w:pPr>
            <w:r w:rsidRPr="001A765B">
              <w:t>–</w:t>
            </w:r>
            <w:r w:rsidRPr="001A765B">
              <w:tab/>
              <w:t>Établissements universitaires participant aux travaux de l</w:t>
            </w:r>
            <w:r w:rsidR="00133C7C" w:rsidRPr="001A765B">
              <w:t>'</w:t>
            </w:r>
            <w:r w:rsidRPr="001A765B">
              <w:t>UIT</w:t>
            </w:r>
          </w:p>
        </w:tc>
      </w:tr>
      <w:tr w:rsidR="00036F4F" w:rsidRPr="001A765B" w14:paraId="7D532B1D" w14:textId="77777777" w:rsidTr="00133C7C">
        <w:trPr>
          <w:gridBefore w:val="1"/>
          <w:wBefore w:w="8" w:type="dxa"/>
          <w:cantSplit/>
        </w:trPr>
        <w:tc>
          <w:tcPr>
            <w:tcW w:w="1126" w:type="dxa"/>
          </w:tcPr>
          <w:p w14:paraId="29699AEF" w14:textId="77777777" w:rsidR="00036F4F" w:rsidRPr="001A765B" w:rsidRDefault="00036F4F" w:rsidP="002C09B1">
            <w:pPr>
              <w:tabs>
                <w:tab w:val="left" w:pos="4111"/>
              </w:tabs>
              <w:spacing w:before="10"/>
              <w:ind w:left="57"/>
              <w:rPr>
                <w:b/>
                <w:bCs/>
                <w:sz w:val="20"/>
              </w:rPr>
            </w:pPr>
            <w:r w:rsidRPr="001A765B">
              <w:rPr>
                <w:b/>
                <w:bCs/>
              </w:rPr>
              <w:t>Tél.:</w:t>
            </w:r>
          </w:p>
        </w:tc>
        <w:tc>
          <w:tcPr>
            <w:tcW w:w="3751" w:type="dxa"/>
            <w:gridSpan w:val="3"/>
          </w:tcPr>
          <w:p w14:paraId="53699C23" w14:textId="3509D66F" w:rsidR="00036F4F" w:rsidRPr="001A765B" w:rsidRDefault="00036F4F" w:rsidP="002C09B1">
            <w:pPr>
              <w:tabs>
                <w:tab w:val="left" w:pos="4111"/>
              </w:tabs>
              <w:spacing w:before="0"/>
              <w:ind w:left="57"/>
            </w:pPr>
            <w:r w:rsidRPr="001A765B">
              <w:t>+41 22 730</w:t>
            </w:r>
            <w:r w:rsidR="001D0146" w:rsidRPr="001A765B">
              <w:t xml:space="preserve"> 6301</w:t>
            </w:r>
          </w:p>
        </w:tc>
        <w:tc>
          <w:tcPr>
            <w:tcW w:w="5046" w:type="dxa"/>
            <w:gridSpan w:val="3"/>
            <w:vMerge/>
          </w:tcPr>
          <w:p w14:paraId="1597D856" w14:textId="77777777" w:rsidR="00036F4F" w:rsidRPr="001A765B" w:rsidRDefault="00036F4F" w:rsidP="002C09B1">
            <w:pPr>
              <w:tabs>
                <w:tab w:val="left" w:pos="4111"/>
              </w:tabs>
              <w:spacing w:before="0"/>
              <w:rPr>
                <w:b/>
              </w:rPr>
            </w:pPr>
          </w:p>
        </w:tc>
      </w:tr>
      <w:tr w:rsidR="00036F4F" w:rsidRPr="001A765B" w14:paraId="0D777D88" w14:textId="77777777" w:rsidTr="00133C7C">
        <w:trPr>
          <w:gridBefore w:val="1"/>
          <w:wBefore w:w="8" w:type="dxa"/>
          <w:cantSplit/>
        </w:trPr>
        <w:tc>
          <w:tcPr>
            <w:tcW w:w="1126" w:type="dxa"/>
          </w:tcPr>
          <w:p w14:paraId="7AA9E97F" w14:textId="1060E813" w:rsidR="00036F4F" w:rsidRPr="001A765B" w:rsidRDefault="00133C7C" w:rsidP="002C09B1">
            <w:pPr>
              <w:tabs>
                <w:tab w:val="left" w:pos="4111"/>
              </w:tabs>
              <w:spacing w:before="10"/>
              <w:ind w:left="57"/>
              <w:rPr>
                <w:b/>
                <w:bCs/>
                <w:sz w:val="20"/>
              </w:rPr>
            </w:pPr>
            <w:r w:rsidRPr="001A765B">
              <w:rPr>
                <w:b/>
                <w:bCs/>
              </w:rPr>
              <w:t>Télécopie</w:t>
            </w:r>
            <w:r w:rsidR="00036F4F" w:rsidRPr="001A765B">
              <w:rPr>
                <w:b/>
                <w:bCs/>
              </w:rPr>
              <w:t>:</w:t>
            </w:r>
          </w:p>
        </w:tc>
        <w:tc>
          <w:tcPr>
            <w:tcW w:w="3751" w:type="dxa"/>
            <w:gridSpan w:val="3"/>
          </w:tcPr>
          <w:p w14:paraId="636FB7FA" w14:textId="77777777" w:rsidR="00036F4F" w:rsidRPr="001A765B" w:rsidRDefault="00036F4F" w:rsidP="002C09B1">
            <w:pPr>
              <w:tabs>
                <w:tab w:val="left" w:pos="4111"/>
              </w:tabs>
              <w:spacing w:before="0"/>
              <w:ind w:left="57"/>
            </w:pPr>
            <w:r w:rsidRPr="001A765B">
              <w:t>+41 22 730 5853</w:t>
            </w:r>
          </w:p>
        </w:tc>
        <w:tc>
          <w:tcPr>
            <w:tcW w:w="5046" w:type="dxa"/>
            <w:gridSpan w:val="3"/>
            <w:vMerge/>
          </w:tcPr>
          <w:p w14:paraId="4FF1E1FD" w14:textId="77777777" w:rsidR="00036F4F" w:rsidRPr="001A765B" w:rsidRDefault="00036F4F" w:rsidP="002C09B1">
            <w:pPr>
              <w:tabs>
                <w:tab w:val="left" w:pos="4111"/>
              </w:tabs>
              <w:spacing w:before="0"/>
              <w:rPr>
                <w:b/>
              </w:rPr>
            </w:pPr>
          </w:p>
        </w:tc>
      </w:tr>
      <w:tr w:rsidR="00517A03" w:rsidRPr="001A765B" w14:paraId="6952267A" w14:textId="77777777" w:rsidTr="00133C7C">
        <w:trPr>
          <w:gridBefore w:val="1"/>
          <w:wBefore w:w="8" w:type="dxa"/>
          <w:cantSplit/>
        </w:trPr>
        <w:tc>
          <w:tcPr>
            <w:tcW w:w="1126" w:type="dxa"/>
          </w:tcPr>
          <w:p w14:paraId="3C177CFC" w14:textId="4B20270A" w:rsidR="00517A03" w:rsidRPr="001A765B" w:rsidRDefault="00133C7C" w:rsidP="002C09B1">
            <w:pPr>
              <w:tabs>
                <w:tab w:val="left" w:pos="4111"/>
              </w:tabs>
              <w:spacing w:before="10"/>
              <w:ind w:left="57"/>
              <w:rPr>
                <w:b/>
                <w:bCs/>
                <w:sz w:val="20"/>
              </w:rPr>
            </w:pPr>
            <w:r w:rsidRPr="001A765B">
              <w:rPr>
                <w:b/>
                <w:bCs/>
              </w:rPr>
              <w:t>Courriel</w:t>
            </w:r>
            <w:r w:rsidR="00036F4F" w:rsidRPr="001A765B">
              <w:rPr>
                <w:b/>
                <w:bCs/>
              </w:rPr>
              <w:t>:</w:t>
            </w:r>
          </w:p>
        </w:tc>
        <w:tc>
          <w:tcPr>
            <w:tcW w:w="3751" w:type="dxa"/>
            <w:gridSpan w:val="3"/>
          </w:tcPr>
          <w:p w14:paraId="6C229A53" w14:textId="3BC80698" w:rsidR="00517A03" w:rsidRPr="001A765B" w:rsidRDefault="00FF5A10" w:rsidP="002C09B1">
            <w:pPr>
              <w:tabs>
                <w:tab w:val="left" w:pos="4111"/>
              </w:tabs>
              <w:spacing w:before="0"/>
              <w:ind w:left="57"/>
            </w:pPr>
            <w:hyperlink r:id="rId9" w:history="1">
              <w:r w:rsidR="001D0146" w:rsidRPr="001A765B">
                <w:rPr>
                  <w:rStyle w:val="Hyperlink"/>
                </w:rPr>
                <w:t>tsbfgmv@itu.int</w:t>
              </w:r>
            </w:hyperlink>
          </w:p>
        </w:tc>
        <w:tc>
          <w:tcPr>
            <w:tcW w:w="5046" w:type="dxa"/>
            <w:gridSpan w:val="3"/>
          </w:tcPr>
          <w:p w14:paraId="068746A3" w14:textId="560D4BBB" w:rsidR="00517A03" w:rsidRPr="001A765B" w:rsidRDefault="00517A03" w:rsidP="002C09B1">
            <w:pPr>
              <w:tabs>
                <w:tab w:val="left" w:pos="643"/>
                <w:tab w:val="left" w:pos="4111"/>
              </w:tabs>
              <w:spacing w:before="0"/>
              <w:ind w:left="76"/>
            </w:pPr>
            <w:r w:rsidRPr="001A765B">
              <w:rPr>
                <w:b/>
              </w:rPr>
              <w:t>Copie</w:t>
            </w:r>
            <w:r w:rsidR="00816859" w:rsidRPr="001A765B">
              <w:rPr>
                <w:b/>
              </w:rPr>
              <w:t xml:space="preserve"> aux</w:t>
            </w:r>
            <w:r w:rsidRPr="001A765B">
              <w:t>:</w:t>
            </w:r>
          </w:p>
          <w:p w14:paraId="24B568AB" w14:textId="770E6584" w:rsidR="00816859" w:rsidRPr="001A765B" w:rsidRDefault="001D0146" w:rsidP="00816859">
            <w:pPr>
              <w:tabs>
                <w:tab w:val="clear" w:pos="794"/>
                <w:tab w:val="clear" w:pos="1191"/>
                <w:tab w:val="left" w:pos="497"/>
                <w:tab w:val="left" w:pos="4111"/>
              </w:tabs>
              <w:spacing w:before="0"/>
              <w:ind w:left="503" w:hanging="503"/>
              <w:rPr>
                <w:bCs/>
              </w:rPr>
            </w:pPr>
            <w:r w:rsidRPr="001A765B">
              <w:t>–</w:t>
            </w:r>
            <w:r w:rsidRPr="001A765B">
              <w:tab/>
            </w:r>
            <w:r w:rsidR="00816859" w:rsidRPr="001A765B">
              <w:rPr>
                <w:bCs/>
              </w:rPr>
              <w:t>Présidents et Vice-Présidents des Commissions d</w:t>
            </w:r>
            <w:r w:rsidR="00133C7C" w:rsidRPr="001A765B">
              <w:rPr>
                <w:bCs/>
              </w:rPr>
              <w:t>'</w:t>
            </w:r>
            <w:r w:rsidR="00816859" w:rsidRPr="001A765B">
              <w:rPr>
                <w:bCs/>
              </w:rPr>
              <w:t>études;</w:t>
            </w:r>
          </w:p>
          <w:p w14:paraId="5E7D348C" w14:textId="77777777" w:rsidR="00816859" w:rsidRPr="001A765B" w:rsidRDefault="00816859" w:rsidP="00816859">
            <w:pPr>
              <w:tabs>
                <w:tab w:val="clear" w:pos="794"/>
                <w:tab w:val="clear" w:pos="1191"/>
                <w:tab w:val="left" w:pos="497"/>
                <w:tab w:val="left" w:pos="4111"/>
              </w:tabs>
              <w:spacing w:before="0"/>
              <w:ind w:left="503" w:hanging="503"/>
              <w:rPr>
                <w:bCs/>
              </w:rPr>
            </w:pPr>
            <w:r w:rsidRPr="001A765B">
              <w:t>–</w:t>
            </w:r>
            <w:r w:rsidRPr="001A765B">
              <w:rPr>
                <w:bCs/>
              </w:rPr>
              <w:tab/>
              <w:t>Directeur du Bureau de développement des télécommunications;</w:t>
            </w:r>
          </w:p>
          <w:p w14:paraId="50A51CE4" w14:textId="0455C331" w:rsidR="00517A03" w:rsidRPr="001A765B" w:rsidRDefault="00816859" w:rsidP="00816859">
            <w:pPr>
              <w:tabs>
                <w:tab w:val="clear" w:pos="794"/>
                <w:tab w:val="left" w:pos="501"/>
                <w:tab w:val="left" w:pos="643"/>
                <w:tab w:val="left" w:pos="4111"/>
              </w:tabs>
              <w:spacing w:before="0"/>
              <w:ind w:left="501" w:hanging="425"/>
            </w:pPr>
            <w:r w:rsidRPr="001A765B">
              <w:t>–</w:t>
            </w:r>
            <w:r w:rsidRPr="001A765B">
              <w:rPr>
                <w:bCs/>
              </w:rPr>
              <w:tab/>
              <w:t>Directeur du Bureau des radiocommunications</w:t>
            </w:r>
          </w:p>
        </w:tc>
      </w:tr>
      <w:tr w:rsidR="00517A03" w:rsidRPr="001A765B" w14:paraId="7B342B5C" w14:textId="77777777" w:rsidTr="00133C7C">
        <w:trPr>
          <w:gridBefore w:val="1"/>
          <w:gridAfter w:val="1"/>
          <w:wBefore w:w="8" w:type="dxa"/>
          <w:wAfter w:w="8" w:type="dxa"/>
          <w:cantSplit/>
          <w:trHeight w:val="680"/>
        </w:trPr>
        <w:tc>
          <w:tcPr>
            <w:tcW w:w="1126" w:type="dxa"/>
          </w:tcPr>
          <w:p w14:paraId="0F9AF362" w14:textId="77777777" w:rsidR="00517A03" w:rsidRPr="001A765B" w:rsidRDefault="00517A03" w:rsidP="007D76AB">
            <w:pPr>
              <w:tabs>
                <w:tab w:val="left" w:pos="4111"/>
              </w:tabs>
              <w:ind w:left="57"/>
              <w:rPr>
                <w:b/>
                <w:bCs/>
                <w:szCs w:val="22"/>
              </w:rPr>
            </w:pPr>
            <w:r w:rsidRPr="001A765B">
              <w:rPr>
                <w:b/>
                <w:bCs/>
                <w:szCs w:val="22"/>
              </w:rPr>
              <w:t>Objet:</w:t>
            </w:r>
          </w:p>
        </w:tc>
        <w:tc>
          <w:tcPr>
            <w:tcW w:w="8789" w:type="dxa"/>
            <w:gridSpan w:val="5"/>
          </w:tcPr>
          <w:p w14:paraId="4677C101" w14:textId="49C9026F" w:rsidR="00517A03" w:rsidRPr="001A765B" w:rsidRDefault="006814A6" w:rsidP="007D76AB">
            <w:pPr>
              <w:tabs>
                <w:tab w:val="left" w:pos="4111"/>
              </w:tabs>
              <w:ind w:left="57"/>
              <w:rPr>
                <w:b/>
                <w:bCs/>
                <w:szCs w:val="22"/>
              </w:rPr>
            </w:pPr>
            <w:r w:rsidRPr="001A765B">
              <w:rPr>
                <w:b/>
                <w:bCs/>
                <w:szCs w:val="22"/>
              </w:rPr>
              <w:t>Création du nouveau Groupe spécialisé de l</w:t>
            </w:r>
            <w:r w:rsidR="00133C7C" w:rsidRPr="001A765B">
              <w:rPr>
                <w:b/>
                <w:bCs/>
                <w:szCs w:val="22"/>
              </w:rPr>
              <w:t>'</w:t>
            </w:r>
            <w:r w:rsidRPr="001A765B">
              <w:rPr>
                <w:b/>
                <w:bCs/>
                <w:szCs w:val="22"/>
              </w:rPr>
              <w:t>UIT-T sur le métavers (FG-MV) et première</w:t>
            </w:r>
            <w:r w:rsidR="00133C7C" w:rsidRPr="001A765B">
              <w:rPr>
                <w:b/>
                <w:bCs/>
                <w:szCs w:val="22"/>
              </w:rPr>
              <w:t> </w:t>
            </w:r>
            <w:r w:rsidRPr="001A765B">
              <w:rPr>
                <w:b/>
                <w:bCs/>
                <w:szCs w:val="22"/>
              </w:rPr>
              <w:t>réunion du Groupe</w:t>
            </w:r>
            <w:r w:rsidR="001D0146" w:rsidRPr="001A765B">
              <w:rPr>
                <w:b/>
                <w:bCs/>
                <w:szCs w:val="22"/>
              </w:rPr>
              <w:t xml:space="preserve"> à Riyad (Arabie saoudite), 8</w:t>
            </w:r>
            <w:r w:rsidRPr="001A765B">
              <w:rPr>
                <w:b/>
                <w:bCs/>
                <w:szCs w:val="22"/>
              </w:rPr>
              <w:t>-</w:t>
            </w:r>
            <w:r w:rsidR="001D0146" w:rsidRPr="001A765B">
              <w:rPr>
                <w:b/>
                <w:bCs/>
                <w:szCs w:val="22"/>
              </w:rPr>
              <w:t>9 mars 2023</w:t>
            </w:r>
          </w:p>
        </w:tc>
      </w:tr>
    </w:tbl>
    <w:p w14:paraId="1B706D1F" w14:textId="77777777" w:rsidR="00517A03" w:rsidRPr="001A765B" w:rsidRDefault="00517A03" w:rsidP="007D76AB">
      <w:pPr>
        <w:pStyle w:val="Normalaftertitle"/>
      </w:pPr>
      <w:bookmarkStart w:id="1" w:name="StartTyping_F"/>
      <w:bookmarkEnd w:id="1"/>
      <w:r w:rsidRPr="001A765B">
        <w:t>Madame, Monsieur,</w:t>
      </w:r>
    </w:p>
    <w:p w14:paraId="43170C1D" w14:textId="4F11668C" w:rsidR="00036F4F" w:rsidRPr="001A765B" w:rsidRDefault="001D0146" w:rsidP="002C09B1">
      <w:pPr>
        <w:rPr>
          <w:bCs/>
        </w:rPr>
      </w:pPr>
      <w:r w:rsidRPr="001A765B">
        <w:rPr>
          <w:bCs/>
        </w:rPr>
        <w:t>1</w:t>
      </w:r>
      <w:r w:rsidRPr="001A765B">
        <w:rPr>
          <w:bCs/>
        </w:rPr>
        <w:tab/>
        <w:t>Suite à l</w:t>
      </w:r>
      <w:r w:rsidR="00133C7C" w:rsidRPr="001A765B">
        <w:rPr>
          <w:bCs/>
        </w:rPr>
        <w:t>'</w:t>
      </w:r>
      <w:r w:rsidRPr="001A765B">
        <w:rPr>
          <w:bCs/>
        </w:rPr>
        <w:t>accord donné par le G</w:t>
      </w:r>
      <w:r w:rsidR="006814A6" w:rsidRPr="001A765B">
        <w:rPr>
          <w:bCs/>
        </w:rPr>
        <w:t>roupe consultatif de la normalisation des télécommunications (G</w:t>
      </w:r>
      <w:r w:rsidRPr="001A765B">
        <w:rPr>
          <w:bCs/>
        </w:rPr>
        <w:t>CNT</w:t>
      </w:r>
      <w:r w:rsidR="006814A6" w:rsidRPr="001A765B">
        <w:rPr>
          <w:bCs/>
        </w:rPr>
        <w:t>)</w:t>
      </w:r>
      <w:r w:rsidRPr="001A765B">
        <w:rPr>
          <w:bCs/>
        </w:rPr>
        <w:t xml:space="preserve"> de l</w:t>
      </w:r>
      <w:r w:rsidR="00133C7C" w:rsidRPr="001A765B">
        <w:rPr>
          <w:bCs/>
        </w:rPr>
        <w:t>'</w:t>
      </w:r>
      <w:r w:rsidRPr="001A765B">
        <w:rPr>
          <w:bCs/>
        </w:rPr>
        <w:t>UIT-T à la réunion qu</w:t>
      </w:r>
      <w:r w:rsidR="00133C7C" w:rsidRPr="001A765B">
        <w:rPr>
          <w:bCs/>
        </w:rPr>
        <w:t>'</w:t>
      </w:r>
      <w:r w:rsidRPr="001A765B">
        <w:rPr>
          <w:bCs/>
        </w:rPr>
        <w:t xml:space="preserve">il a tenue à Genève du </w:t>
      </w:r>
      <w:r w:rsidR="006814A6" w:rsidRPr="001A765B">
        <w:rPr>
          <w:bCs/>
        </w:rPr>
        <w:t>12 au 16</w:t>
      </w:r>
      <w:r w:rsidR="00133C7C" w:rsidRPr="001A765B">
        <w:rPr>
          <w:bCs/>
        </w:rPr>
        <w:t> </w:t>
      </w:r>
      <w:r w:rsidR="006814A6" w:rsidRPr="001A765B">
        <w:rPr>
          <w:bCs/>
        </w:rPr>
        <w:t>décembre</w:t>
      </w:r>
      <w:r w:rsidR="00133C7C" w:rsidRPr="001A765B">
        <w:rPr>
          <w:bCs/>
        </w:rPr>
        <w:t> </w:t>
      </w:r>
      <w:r w:rsidR="006814A6" w:rsidRPr="001A765B">
        <w:rPr>
          <w:bCs/>
        </w:rPr>
        <w:t>2022</w:t>
      </w:r>
      <w:r w:rsidRPr="001A765B">
        <w:rPr>
          <w:bCs/>
        </w:rPr>
        <w:t>, j</w:t>
      </w:r>
      <w:r w:rsidR="00133C7C" w:rsidRPr="001A765B">
        <w:rPr>
          <w:bCs/>
        </w:rPr>
        <w:t>'</w:t>
      </w:r>
      <w:r w:rsidRPr="001A765B">
        <w:rPr>
          <w:bCs/>
        </w:rPr>
        <w:t>ai l</w:t>
      </w:r>
      <w:r w:rsidR="00133C7C" w:rsidRPr="001A765B">
        <w:rPr>
          <w:bCs/>
        </w:rPr>
        <w:t>'</w:t>
      </w:r>
      <w:r w:rsidRPr="001A765B">
        <w:rPr>
          <w:bCs/>
        </w:rPr>
        <w:t>honneur de vous annoncer la création du</w:t>
      </w:r>
      <w:r w:rsidR="006814A6" w:rsidRPr="001A765B">
        <w:rPr>
          <w:bCs/>
        </w:rPr>
        <w:t xml:space="preserve"> nouveau</w:t>
      </w:r>
      <w:r w:rsidRPr="001A765B">
        <w:rPr>
          <w:bCs/>
        </w:rPr>
        <w:t xml:space="preserve"> </w:t>
      </w:r>
      <w:hyperlink r:id="rId10" w:history="1">
        <w:r w:rsidRPr="001A765B">
          <w:rPr>
            <w:rStyle w:val="Hyperlink"/>
            <w:bCs/>
          </w:rPr>
          <w:t>Groupe spécialisé de l</w:t>
        </w:r>
        <w:r w:rsidR="00133C7C" w:rsidRPr="001A765B">
          <w:rPr>
            <w:rStyle w:val="Hyperlink"/>
            <w:bCs/>
          </w:rPr>
          <w:t>'</w:t>
        </w:r>
        <w:r w:rsidRPr="001A765B">
          <w:rPr>
            <w:rStyle w:val="Hyperlink"/>
            <w:bCs/>
          </w:rPr>
          <w:t xml:space="preserve">UIT-T sur </w:t>
        </w:r>
        <w:r w:rsidR="006814A6" w:rsidRPr="001A765B">
          <w:rPr>
            <w:rStyle w:val="Hyperlink"/>
            <w:bCs/>
          </w:rPr>
          <w:t>le métavers (FG-MV)</w:t>
        </w:r>
      </w:hyperlink>
      <w:r w:rsidRPr="001A765B">
        <w:rPr>
          <w:bCs/>
        </w:rPr>
        <w:t>.</w:t>
      </w:r>
    </w:p>
    <w:p w14:paraId="663883CF" w14:textId="3791E336" w:rsidR="00036F4F" w:rsidRPr="001A765B" w:rsidRDefault="001D0146" w:rsidP="009C630F">
      <w:pPr>
        <w:rPr>
          <w:bCs/>
        </w:rPr>
      </w:pPr>
      <w:r w:rsidRPr="001A765B">
        <w:rPr>
          <w:bCs/>
        </w:rPr>
        <w:t>2</w:t>
      </w:r>
      <w:r w:rsidRPr="001A765B">
        <w:rPr>
          <w:bCs/>
        </w:rPr>
        <w:tab/>
      </w:r>
      <w:r w:rsidR="009C630F" w:rsidRPr="001A765B">
        <w:rPr>
          <w:bCs/>
        </w:rPr>
        <w:t>Placé sous la présidence du M. Shin-Gak Kang (ETRI, Rép. de Corée), le Groupe FG-MV analysera les exigences techniques du métavers afin d</w:t>
      </w:r>
      <w:r w:rsidR="00133C7C" w:rsidRPr="001A765B">
        <w:rPr>
          <w:bCs/>
        </w:rPr>
        <w:t>'</w:t>
      </w:r>
      <w:r w:rsidR="009C630F" w:rsidRPr="001A765B">
        <w:rPr>
          <w:bCs/>
        </w:rPr>
        <w:t>identifier les technologies de base fondamentales dans des domaines allant du multimédia et l</w:t>
      </w:r>
      <w:r w:rsidR="00133C7C" w:rsidRPr="001A765B">
        <w:rPr>
          <w:bCs/>
        </w:rPr>
        <w:t>'</w:t>
      </w:r>
      <w:r w:rsidR="009C630F" w:rsidRPr="001A765B">
        <w:rPr>
          <w:bCs/>
        </w:rPr>
        <w:t>optimisation de réseau aux monnaies numériques, en passant par l</w:t>
      </w:r>
      <w:r w:rsidR="00133C7C" w:rsidRPr="001A765B">
        <w:rPr>
          <w:bCs/>
        </w:rPr>
        <w:t>'</w:t>
      </w:r>
      <w:r w:rsidR="009C630F" w:rsidRPr="001A765B">
        <w:rPr>
          <w:bCs/>
        </w:rPr>
        <w:t>Internet des objets, les jumeaux numériques et la durabilité environnementale. L</w:t>
      </w:r>
      <w:r w:rsidR="00133C7C" w:rsidRPr="001A765B">
        <w:rPr>
          <w:bCs/>
        </w:rPr>
        <w:t>'</w:t>
      </w:r>
      <w:r w:rsidR="009C630F" w:rsidRPr="001A765B">
        <w:rPr>
          <w:bCs/>
        </w:rPr>
        <w:t>équipe de direction du Groupe FG-MV comprend en outre les Vice-Présidents M. Andrey Nunes (Brésil), M. Hideo Imanaka (NICT, Japon), M. Per Fröjdh (Ericsson, Suède), M.</w:t>
      </w:r>
      <w:r w:rsidR="00133C7C" w:rsidRPr="001A765B">
        <w:rPr>
          <w:bCs/>
        </w:rPr>
        <w:t> </w:t>
      </w:r>
      <w:r w:rsidR="009C630F" w:rsidRPr="001A765B">
        <w:rPr>
          <w:bCs/>
        </w:rPr>
        <w:t>Shane He (Nokia, Finlande), M. Vincent Affleck (Royaume-Uni) et M. Yuntao Wang (Chine).</w:t>
      </w:r>
    </w:p>
    <w:p w14:paraId="33F01A91" w14:textId="5695C841" w:rsidR="001D0146" w:rsidRPr="001A765B" w:rsidRDefault="001D0146" w:rsidP="002C09B1">
      <w:pPr>
        <w:rPr>
          <w:bCs/>
        </w:rPr>
      </w:pPr>
      <w:r w:rsidRPr="001A765B">
        <w:rPr>
          <w:bCs/>
        </w:rPr>
        <w:t>3</w:t>
      </w:r>
      <w:r w:rsidRPr="001A765B">
        <w:rPr>
          <w:bCs/>
        </w:rPr>
        <w:tab/>
        <w:t>La participation aux travaux du Groupe FG-</w:t>
      </w:r>
      <w:r w:rsidR="009C630F" w:rsidRPr="001A765B">
        <w:rPr>
          <w:bCs/>
        </w:rPr>
        <w:t>MV</w:t>
      </w:r>
      <w:r w:rsidRPr="001A765B">
        <w:rPr>
          <w:bCs/>
        </w:rPr>
        <w:t xml:space="preserve"> est gratuite et ouverte aux experts à titre individuel et aux organisations œuvrant dans tous les secteurs et les domaines concernés</w:t>
      </w:r>
      <w:r w:rsidR="009C630F" w:rsidRPr="001A765B">
        <w:rPr>
          <w:bCs/>
        </w:rPr>
        <w:t>.</w:t>
      </w:r>
      <w:r w:rsidRPr="001A765B">
        <w:rPr>
          <w:bCs/>
        </w:rPr>
        <w:t xml:space="preserve"> Les personnes qui souhaitent suivre ces travaux ou y participer sont invitées à s</w:t>
      </w:r>
      <w:r w:rsidR="00133C7C" w:rsidRPr="001A765B">
        <w:rPr>
          <w:bCs/>
        </w:rPr>
        <w:t>'</w:t>
      </w:r>
      <w:r w:rsidRPr="001A765B">
        <w:rPr>
          <w:bCs/>
        </w:rPr>
        <w:t>inscrire sur une liste de diffusion dédiée. Des précisions sur les modalités d</w:t>
      </w:r>
      <w:r w:rsidR="00133C7C" w:rsidRPr="001A765B">
        <w:rPr>
          <w:bCs/>
        </w:rPr>
        <w:t>'</w:t>
      </w:r>
      <w:r w:rsidRPr="001A765B">
        <w:rPr>
          <w:bCs/>
        </w:rPr>
        <w:t>inscription sont disponibles à l</w:t>
      </w:r>
      <w:r w:rsidR="00133C7C" w:rsidRPr="001A765B">
        <w:rPr>
          <w:bCs/>
        </w:rPr>
        <w:t>'</w:t>
      </w:r>
      <w:r w:rsidRPr="001A765B">
        <w:rPr>
          <w:bCs/>
        </w:rPr>
        <w:t>adresse</w:t>
      </w:r>
      <w:r w:rsidR="009C630F" w:rsidRPr="001A765B">
        <w:rPr>
          <w:bCs/>
        </w:rPr>
        <w:t xml:space="preserve"> </w:t>
      </w:r>
      <w:hyperlink r:id="rId11" w:history="1">
        <w:r w:rsidR="009C630F" w:rsidRPr="001A765B">
          <w:rPr>
            <w:rStyle w:val="Hyperlink"/>
            <w:bCs/>
          </w:rPr>
          <w:t>https://www.itu.int/en/ITU-T/focusgroups/mv/Pages/reg.aspx</w:t>
        </w:r>
      </w:hyperlink>
      <w:r w:rsidRPr="001A765B">
        <w:rPr>
          <w:bCs/>
        </w:rPr>
        <w:t>.</w:t>
      </w:r>
    </w:p>
    <w:p w14:paraId="06A1672F" w14:textId="5B4FC84B" w:rsidR="001D0146" w:rsidRPr="001A765B" w:rsidRDefault="001D0146" w:rsidP="002C09B1">
      <w:pPr>
        <w:rPr>
          <w:bCs/>
        </w:rPr>
      </w:pPr>
      <w:r w:rsidRPr="001A765B">
        <w:rPr>
          <w:bCs/>
        </w:rPr>
        <w:t>4</w:t>
      </w:r>
      <w:r w:rsidRPr="001A765B">
        <w:rPr>
          <w:bCs/>
        </w:rPr>
        <w:tab/>
        <w:t xml:space="preserve">Le Groupe spécialisé exercera ses activités conformément aux procédures exposées dans la </w:t>
      </w:r>
      <w:hyperlink r:id="rId12" w:history="1">
        <w:r w:rsidRPr="001A765B">
          <w:rPr>
            <w:rStyle w:val="Hyperlink"/>
            <w:bCs/>
          </w:rPr>
          <w:t>Recommandation UIT-T A.7</w:t>
        </w:r>
      </w:hyperlink>
      <w:r w:rsidRPr="001A765B">
        <w:rPr>
          <w:bCs/>
        </w:rPr>
        <w:t xml:space="preserve"> et dans le cadre du mandat approuvé reproduit à l</w:t>
      </w:r>
      <w:r w:rsidR="00133C7C" w:rsidRPr="001A765B">
        <w:rPr>
          <w:bCs/>
        </w:rPr>
        <w:t>'</w:t>
      </w:r>
      <w:r w:rsidRPr="001A765B">
        <w:rPr>
          <w:b/>
        </w:rPr>
        <w:t>Annexe 1</w:t>
      </w:r>
      <w:r w:rsidRPr="001A765B">
        <w:rPr>
          <w:bCs/>
        </w:rPr>
        <w:t>. La durée du mandat du Groupe spécialisé est d</w:t>
      </w:r>
      <w:r w:rsidR="00133C7C" w:rsidRPr="001A765B">
        <w:rPr>
          <w:bCs/>
        </w:rPr>
        <w:t>'</w:t>
      </w:r>
      <w:r w:rsidRPr="001A765B">
        <w:rPr>
          <w:bCs/>
        </w:rPr>
        <w:t>un an à compter de la première réunion du Groupe, avec possibilité de prolongation.</w:t>
      </w:r>
    </w:p>
    <w:p w14:paraId="176C0AB5" w14:textId="70CAB701" w:rsidR="001D0146" w:rsidRPr="001A765B" w:rsidRDefault="001D0146" w:rsidP="00A61DBB">
      <w:pPr>
        <w:rPr>
          <w:bCs/>
        </w:rPr>
      </w:pPr>
      <w:r w:rsidRPr="001A765B">
        <w:rPr>
          <w:bCs/>
        </w:rPr>
        <w:t>5</w:t>
      </w:r>
      <w:r w:rsidRPr="001A765B">
        <w:rPr>
          <w:bCs/>
        </w:rPr>
        <w:tab/>
      </w:r>
      <w:r w:rsidR="009C630F" w:rsidRPr="001A765B">
        <w:rPr>
          <w:bCs/>
        </w:rPr>
        <w:t>La première réunion du Groupe FG-MV aura lieu à Riyad, les 8 et 9 mars, à l</w:t>
      </w:r>
      <w:r w:rsidR="00133C7C" w:rsidRPr="001A765B">
        <w:rPr>
          <w:bCs/>
        </w:rPr>
        <w:t>'</w:t>
      </w:r>
      <w:r w:rsidR="009C630F" w:rsidRPr="001A765B">
        <w:rPr>
          <w:bCs/>
        </w:rPr>
        <w:t>aimable invitation de l</w:t>
      </w:r>
      <w:r w:rsidR="00133C7C" w:rsidRPr="001A765B">
        <w:rPr>
          <w:bCs/>
        </w:rPr>
        <w:t>'</w:t>
      </w:r>
      <w:r w:rsidR="009C630F" w:rsidRPr="001A765B">
        <w:rPr>
          <w:bCs/>
        </w:rPr>
        <w:t>Autorité nationale de cybersécurité</w:t>
      </w:r>
      <w:r w:rsidR="00A61DBB" w:rsidRPr="001A765B">
        <w:rPr>
          <w:bCs/>
        </w:rPr>
        <w:t xml:space="preserve"> (NCA) du Royaume d</w:t>
      </w:r>
      <w:r w:rsidR="00133C7C" w:rsidRPr="001A765B">
        <w:rPr>
          <w:bCs/>
        </w:rPr>
        <w:t>'</w:t>
      </w:r>
      <w:r w:rsidR="00A61DBB" w:rsidRPr="001A765B">
        <w:rPr>
          <w:bCs/>
        </w:rPr>
        <w:t>Arabie saoudite.</w:t>
      </w:r>
    </w:p>
    <w:p w14:paraId="3FB94CA7" w14:textId="77777777" w:rsidR="00133C7C" w:rsidRPr="001A765B" w:rsidRDefault="00133C7C">
      <w:pPr>
        <w:tabs>
          <w:tab w:val="clear" w:pos="794"/>
          <w:tab w:val="clear" w:pos="1191"/>
          <w:tab w:val="clear" w:pos="1588"/>
          <w:tab w:val="clear" w:pos="1985"/>
        </w:tabs>
        <w:overflowPunct/>
        <w:autoSpaceDE/>
        <w:autoSpaceDN/>
        <w:adjustRightInd/>
        <w:spacing w:before="0"/>
        <w:textAlignment w:val="auto"/>
        <w:rPr>
          <w:bCs/>
        </w:rPr>
      </w:pPr>
      <w:r w:rsidRPr="001A765B">
        <w:rPr>
          <w:bCs/>
        </w:rPr>
        <w:br w:type="page"/>
      </w:r>
    </w:p>
    <w:p w14:paraId="7F432808" w14:textId="72C66262" w:rsidR="001D0146" w:rsidRPr="001A765B" w:rsidRDefault="00912E84" w:rsidP="002C09B1">
      <w:pPr>
        <w:rPr>
          <w:bCs/>
        </w:rPr>
      </w:pPr>
      <w:r w:rsidRPr="001A765B">
        <w:rPr>
          <w:bCs/>
        </w:rPr>
        <w:lastRenderedPageBreak/>
        <w:t>Les objectifs de la première réunion sont les suivants:</w:t>
      </w:r>
    </w:p>
    <w:p w14:paraId="675F8AD4" w14:textId="276E7F92" w:rsidR="00912E84" w:rsidRPr="001A765B" w:rsidRDefault="00912E84" w:rsidP="002C09B1">
      <w:pPr>
        <w:pStyle w:val="enumlev1"/>
      </w:pPr>
      <w:r w:rsidRPr="001A765B">
        <w:t>•</w:t>
      </w:r>
      <w:r w:rsidRPr="001A765B">
        <w:tab/>
      </w:r>
      <w:r w:rsidR="00350A22" w:rsidRPr="001A765B">
        <w:t>c</w:t>
      </w:r>
      <w:r w:rsidRPr="001A765B">
        <w:t>réation de</w:t>
      </w:r>
      <w:r w:rsidR="00A61DBB" w:rsidRPr="001A765B">
        <w:t>s</w:t>
      </w:r>
      <w:r w:rsidRPr="001A765B">
        <w:t xml:space="preserve"> groupes de travail (GT) </w:t>
      </w:r>
      <w:r w:rsidR="00A61DBB" w:rsidRPr="001A765B">
        <w:t>et désignation de leurs présidents</w:t>
      </w:r>
      <w:r w:rsidR="00350A22" w:rsidRPr="001A765B">
        <w:t>;</w:t>
      </w:r>
    </w:p>
    <w:p w14:paraId="2BE1AA4F" w14:textId="0DD6C0AB" w:rsidR="00912E84" w:rsidRPr="001A765B" w:rsidRDefault="00912E84" w:rsidP="002C09B1">
      <w:pPr>
        <w:pStyle w:val="enumlev1"/>
      </w:pPr>
      <w:r w:rsidRPr="001A765B">
        <w:t>•</w:t>
      </w:r>
      <w:r w:rsidRPr="001A765B">
        <w:tab/>
      </w:r>
      <w:r w:rsidR="00350A22" w:rsidRPr="001A765B">
        <w:t>a</w:t>
      </w:r>
      <w:r w:rsidRPr="001A765B">
        <w:t>pprobation d</w:t>
      </w:r>
      <w:r w:rsidR="00133C7C" w:rsidRPr="001A765B">
        <w:t>'</w:t>
      </w:r>
      <w:r w:rsidRPr="001A765B">
        <w:t>une feuille de route du Groupe FG-</w:t>
      </w:r>
      <w:r w:rsidR="00A61DBB" w:rsidRPr="001A765B">
        <w:t>MV</w:t>
      </w:r>
      <w:r w:rsidRPr="001A765B">
        <w:t>, comportant les produits finals attendus, le calendrier et les éditeurs, ainsi que l</w:t>
      </w:r>
      <w:r w:rsidR="00133C7C" w:rsidRPr="001A765B">
        <w:t>'</w:t>
      </w:r>
      <w:r w:rsidRPr="001A765B">
        <w:t xml:space="preserve">attribution des responsabilités aux différents </w:t>
      </w:r>
      <w:r w:rsidR="00A61DBB" w:rsidRPr="001A765B">
        <w:t>GT</w:t>
      </w:r>
      <w:r w:rsidR="00350A22" w:rsidRPr="001A765B">
        <w:t>;</w:t>
      </w:r>
    </w:p>
    <w:p w14:paraId="3329E0CE" w14:textId="4441D818" w:rsidR="00912E84" w:rsidRPr="001A765B" w:rsidRDefault="00912E84" w:rsidP="002C09B1">
      <w:pPr>
        <w:pStyle w:val="enumlev1"/>
      </w:pPr>
      <w:r w:rsidRPr="001A765B">
        <w:t>•</w:t>
      </w:r>
      <w:r w:rsidRPr="001A765B">
        <w:tab/>
      </w:r>
      <w:r w:rsidR="00350A22" w:rsidRPr="001A765B">
        <w:t>a</w:t>
      </w:r>
      <w:r w:rsidRPr="001A765B">
        <w:t>pprobation des méthodes de travail du Groupe FG-</w:t>
      </w:r>
      <w:r w:rsidR="00A61DBB" w:rsidRPr="001A765B">
        <w:t>MV</w:t>
      </w:r>
      <w:r w:rsidRPr="001A765B">
        <w:t>, sur la base de la Recommandation</w:t>
      </w:r>
      <w:r w:rsidR="00133C7C" w:rsidRPr="001A765B">
        <w:t> </w:t>
      </w:r>
      <w:r w:rsidRPr="001A765B">
        <w:t>UIT-T A.7</w:t>
      </w:r>
      <w:r w:rsidR="00350A22" w:rsidRPr="001A765B">
        <w:t>;</w:t>
      </w:r>
    </w:p>
    <w:p w14:paraId="7FA72E69" w14:textId="074CB015" w:rsidR="00912E84" w:rsidRPr="001A765B" w:rsidRDefault="00912E84" w:rsidP="002C09B1">
      <w:pPr>
        <w:pStyle w:val="enumlev1"/>
      </w:pPr>
      <w:r w:rsidRPr="001A765B">
        <w:t>•</w:t>
      </w:r>
      <w:r w:rsidRPr="001A765B">
        <w:tab/>
      </w:r>
      <w:r w:rsidR="00350A22" w:rsidRPr="001A765B">
        <w:t>a</w:t>
      </w:r>
      <w:r w:rsidRPr="001A765B">
        <w:t>pprobation du programme des futures réunions du Groupe FG-</w:t>
      </w:r>
      <w:r w:rsidR="00A61DBB" w:rsidRPr="001A765B">
        <w:t>MV</w:t>
      </w:r>
      <w:r w:rsidRPr="001A765B">
        <w:t xml:space="preserve">, </w:t>
      </w:r>
      <w:r w:rsidR="00A61DBB" w:rsidRPr="001A765B">
        <w:t>indiquant</w:t>
      </w:r>
      <w:r w:rsidRPr="001A765B">
        <w:t xml:space="preserve"> la fréquence des réunions</w:t>
      </w:r>
      <w:r w:rsidR="00350A22" w:rsidRPr="001A765B">
        <w:t>;</w:t>
      </w:r>
    </w:p>
    <w:p w14:paraId="0F7CB73F" w14:textId="75766839" w:rsidR="00912E84" w:rsidRPr="001A765B" w:rsidRDefault="00912E84" w:rsidP="002C09B1">
      <w:pPr>
        <w:pStyle w:val="enumlev1"/>
      </w:pPr>
      <w:r w:rsidRPr="001A765B">
        <w:t>•</w:t>
      </w:r>
      <w:r w:rsidRPr="001A765B">
        <w:tab/>
      </w:r>
      <w:r w:rsidR="00350A22" w:rsidRPr="001A765B">
        <w:t>e</w:t>
      </w:r>
      <w:r w:rsidR="00A61DBB" w:rsidRPr="001A765B">
        <w:t>xamen et présentation des contributions écrites, y compris les cas d</w:t>
      </w:r>
      <w:r w:rsidR="00133C7C" w:rsidRPr="001A765B">
        <w:t>'</w:t>
      </w:r>
      <w:r w:rsidR="00A61DBB" w:rsidRPr="001A765B">
        <w:t>utilisation</w:t>
      </w:r>
      <w:r w:rsidRPr="001A765B">
        <w:t>.</w:t>
      </w:r>
    </w:p>
    <w:p w14:paraId="649AA112" w14:textId="310FB69C" w:rsidR="001D0146" w:rsidRPr="001A765B" w:rsidRDefault="00596FE2" w:rsidP="008B7539">
      <w:pPr>
        <w:rPr>
          <w:bCs/>
        </w:rPr>
      </w:pPr>
      <w:r w:rsidRPr="001A765B">
        <w:rPr>
          <w:bCs/>
        </w:rPr>
        <w:t>Cette première réunion sera précédée</w:t>
      </w:r>
      <w:r w:rsidR="00F44BCD" w:rsidRPr="001A765B">
        <w:rPr>
          <w:bCs/>
        </w:rPr>
        <w:t xml:space="preserve"> du </w:t>
      </w:r>
      <w:hyperlink r:id="rId13" w:history="1">
        <w:r w:rsidR="00F44BCD" w:rsidRPr="001A765B">
          <w:rPr>
            <w:rStyle w:val="Hyperlink"/>
            <w:bCs/>
          </w:rPr>
          <w:t>premier Forum UIT sur la découverte du métavers</w:t>
        </w:r>
      </w:hyperlink>
      <w:r w:rsidR="00F44BCD" w:rsidRPr="001A765B">
        <w:rPr>
          <w:bCs/>
        </w:rPr>
        <w:t>, qui se tiendra le 7 mars 2023, au même endroit.</w:t>
      </w:r>
    </w:p>
    <w:p w14:paraId="156BC875" w14:textId="575A06E7" w:rsidR="00912E84" w:rsidRPr="001A765B" w:rsidRDefault="00912E84" w:rsidP="002C09B1">
      <w:pPr>
        <w:rPr>
          <w:bCs/>
        </w:rPr>
      </w:pPr>
      <w:r w:rsidRPr="001A765B">
        <w:rPr>
          <w:bCs/>
        </w:rPr>
        <w:t>6</w:t>
      </w:r>
      <w:r w:rsidRPr="001A765B">
        <w:rPr>
          <w:bCs/>
        </w:rPr>
        <w:tab/>
        <w:t xml:space="preserve">Les contributions écrites </w:t>
      </w:r>
      <w:r w:rsidR="00043F10" w:rsidRPr="001A765B">
        <w:rPr>
          <w:bCs/>
        </w:rPr>
        <w:t>propres à permettre au</w:t>
      </w:r>
      <w:r w:rsidRPr="001A765B">
        <w:rPr>
          <w:bCs/>
        </w:rPr>
        <w:t xml:space="preserve"> </w:t>
      </w:r>
      <w:r w:rsidR="008B7539" w:rsidRPr="001A765B">
        <w:rPr>
          <w:bCs/>
        </w:rPr>
        <w:t>G</w:t>
      </w:r>
      <w:r w:rsidRPr="001A765B">
        <w:rPr>
          <w:bCs/>
        </w:rPr>
        <w:t xml:space="preserve">roupe spécialisé </w:t>
      </w:r>
      <w:r w:rsidR="00043F10" w:rsidRPr="001A765B">
        <w:rPr>
          <w:bCs/>
        </w:rPr>
        <w:t xml:space="preserve">de mener à bien ses travaux </w:t>
      </w:r>
      <w:r w:rsidRPr="001A765B">
        <w:rPr>
          <w:bCs/>
        </w:rPr>
        <w:t xml:space="preserve">et </w:t>
      </w:r>
      <w:r w:rsidR="00043F10" w:rsidRPr="001A765B">
        <w:rPr>
          <w:bCs/>
        </w:rPr>
        <w:t>conformes au mandat défini dans l</w:t>
      </w:r>
      <w:r w:rsidR="00133C7C" w:rsidRPr="001A765B">
        <w:rPr>
          <w:bCs/>
        </w:rPr>
        <w:t>'</w:t>
      </w:r>
      <w:r w:rsidR="00043F10" w:rsidRPr="001A765B">
        <w:rPr>
          <w:b/>
          <w:bCs/>
        </w:rPr>
        <w:t>Annexe 1</w:t>
      </w:r>
      <w:r w:rsidR="00043F10" w:rsidRPr="001A765B">
        <w:rPr>
          <w:bCs/>
        </w:rPr>
        <w:t xml:space="preserve"> </w:t>
      </w:r>
      <w:r w:rsidRPr="001A765B">
        <w:rPr>
          <w:bCs/>
        </w:rPr>
        <w:t>sont vivement</w:t>
      </w:r>
      <w:r w:rsidR="00043F10" w:rsidRPr="001A765B">
        <w:rPr>
          <w:bCs/>
        </w:rPr>
        <w:t xml:space="preserve"> encouragées en vue d</w:t>
      </w:r>
      <w:r w:rsidR="00133C7C" w:rsidRPr="001A765B">
        <w:rPr>
          <w:bCs/>
        </w:rPr>
        <w:t>'</w:t>
      </w:r>
      <w:r w:rsidR="00043F10" w:rsidRPr="001A765B">
        <w:rPr>
          <w:bCs/>
        </w:rPr>
        <w:t>atteindre les</w:t>
      </w:r>
      <w:r w:rsidRPr="001A765B">
        <w:rPr>
          <w:bCs/>
        </w:rPr>
        <w:t xml:space="preserve"> objectifs présentés ci-dessus et </w:t>
      </w:r>
      <w:r w:rsidR="00043F10" w:rsidRPr="001A765B">
        <w:rPr>
          <w:bCs/>
        </w:rPr>
        <w:t>d</w:t>
      </w:r>
      <w:r w:rsidR="00133C7C" w:rsidRPr="001A765B">
        <w:rPr>
          <w:bCs/>
        </w:rPr>
        <w:t>'</w:t>
      </w:r>
      <w:r w:rsidR="00043F10" w:rsidRPr="001A765B">
        <w:rPr>
          <w:bCs/>
        </w:rPr>
        <w:t>établir un</w:t>
      </w:r>
      <w:r w:rsidRPr="001A765B">
        <w:rPr>
          <w:bCs/>
        </w:rPr>
        <w:t xml:space="preserve"> premier calendrier d</w:t>
      </w:r>
      <w:r w:rsidR="00133C7C" w:rsidRPr="001A765B">
        <w:rPr>
          <w:bCs/>
        </w:rPr>
        <w:t>'</w:t>
      </w:r>
      <w:r w:rsidRPr="001A765B">
        <w:rPr>
          <w:bCs/>
        </w:rPr>
        <w:t xml:space="preserve">élaboration des produits. </w:t>
      </w:r>
      <w:r w:rsidR="00043F10" w:rsidRPr="001A765B">
        <w:rPr>
          <w:bCs/>
        </w:rPr>
        <w:t>C</w:t>
      </w:r>
      <w:r w:rsidRPr="001A765B">
        <w:rPr>
          <w:bCs/>
        </w:rPr>
        <w:t>es contributions écrites doivent être soumises au secrétariat du TSB (</w:t>
      </w:r>
      <w:hyperlink r:id="rId14" w:history="1">
        <w:r w:rsidR="00043F10" w:rsidRPr="001A765B">
          <w:rPr>
            <w:rStyle w:val="Hyperlink"/>
            <w:bCs/>
          </w:rPr>
          <w:t>tsbfgmv@itu.int</w:t>
        </w:r>
      </w:hyperlink>
      <w:r w:rsidRPr="001A765B">
        <w:rPr>
          <w:rStyle w:val="Hyperlink"/>
          <w:color w:val="auto"/>
          <w:u w:val="none"/>
        </w:rPr>
        <w:t xml:space="preserve">) sous forme électronique </w:t>
      </w:r>
      <w:r w:rsidR="00043F10" w:rsidRPr="001A765B">
        <w:rPr>
          <w:rStyle w:val="Hyperlink"/>
          <w:color w:val="auto"/>
          <w:u w:val="none"/>
        </w:rPr>
        <w:t>à l</w:t>
      </w:r>
      <w:r w:rsidR="00133C7C" w:rsidRPr="001A765B">
        <w:rPr>
          <w:rStyle w:val="Hyperlink"/>
          <w:color w:val="auto"/>
          <w:u w:val="none"/>
        </w:rPr>
        <w:t>'</w:t>
      </w:r>
      <w:r w:rsidR="00043F10" w:rsidRPr="001A765B">
        <w:rPr>
          <w:rStyle w:val="Hyperlink"/>
          <w:color w:val="auto"/>
          <w:u w:val="none"/>
        </w:rPr>
        <w:t>aide des</w:t>
      </w:r>
      <w:r w:rsidRPr="001A765B">
        <w:rPr>
          <w:rStyle w:val="Hyperlink"/>
          <w:color w:val="auto"/>
          <w:u w:val="none"/>
        </w:rPr>
        <w:t xml:space="preserve"> gabarits disponibles sur la </w:t>
      </w:r>
      <w:hyperlink r:id="rId15" w:history="1">
        <w:r w:rsidRPr="001A765B">
          <w:rPr>
            <w:rStyle w:val="Hyperlink"/>
          </w:rPr>
          <w:t>page d</w:t>
        </w:r>
        <w:r w:rsidR="00133C7C" w:rsidRPr="001A765B">
          <w:rPr>
            <w:rStyle w:val="Hyperlink"/>
          </w:rPr>
          <w:t>'</w:t>
        </w:r>
        <w:r w:rsidRPr="001A765B">
          <w:rPr>
            <w:rStyle w:val="Hyperlink"/>
          </w:rPr>
          <w:t>accueil du Groupe FG-</w:t>
        </w:r>
        <w:r w:rsidR="00043F10" w:rsidRPr="001A765B">
          <w:rPr>
            <w:rStyle w:val="Hyperlink"/>
          </w:rPr>
          <w:t>MV</w:t>
        </w:r>
      </w:hyperlink>
      <w:r w:rsidRPr="001A765B">
        <w:rPr>
          <w:rStyle w:val="Hyperlink"/>
          <w:color w:val="auto"/>
          <w:u w:val="none"/>
        </w:rPr>
        <w:t>.</w:t>
      </w:r>
      <w:r w:rsidRPr="001A765B">
        <w:rPr>
          <w:bCs/>
        </w:rPr>
        <w:t xml:space="preserve"> </w:t>
      </w:r>
      <w:r w:rsidRPr="001A765B">
        <w:rPr>
          <w:b/>
          <w:bCs/>
        </w:rPr>
        <w:t>La</w:t>
      </w:r>
      <w:r w:rsidR="00133C7C" w:rsidRPr="001A765B">
        <w:rPr>
          <w:b/>
          <w:bCs/>
        </w:rPr>
        <w:t> </w:t>
      </w:r>
      <w:r w:rsidRPr="001A765B">
        <w:rPr>
          <w:b/>
          <w:bCs/>
        </w:rPr>
        <w:t xml:space="preserve">date limite de soumission des contributions à la première réunion est le </w:t>
      </w:r>
      <w:r w:rsidR="00043F10" w:rsidRPr="001A765B">
        <w:rPr>
          <w:b/>
          <w:bCs/>
        </w:rPr>
        <w:t>24 février 2023</w:t>
      </w:r>
      <w:r w:rsidRPr="001A765B">
        <w:rPr>
          <w:b/>
          <w:bCs/>
        </w:rPr>
        <w:t>.</w:t>
      </w:r>
    </w:p>
    <w:p w14:paraId="754FF368" w14:textId="7ADD6EA3" w:rsidR="00912E84" w:rsidRPr="001A765B" w:rsidRDefault="00912E84" w:rsidP="002C09B1">
      <w:pPr>
        <w:rPr>
          <w:bCs/>
        </w:rPr>
      </w:pPr>
      <w:r w:rsidRPr="001A765B">
        <w:rPr>
          <w:bCs/>
        </w:rPr>
        <w:t>7</w:t>
      </w:r>
      <w:r w:rsidRPr="001A765B">
        <w:rPr>
          <w:bCs/>
        </w:rPr>
        <w:tab/>
      </w:r>
      <w:r w:rsidRPr="001A765B">
        <w:rPr>
          <w:szCs w:val="24"/>
        </w:rPr>
        <w:t>Le projet d</w:t>
      </w:r>
      <w:r w:rsidR="00133C7C" w:rsidRPr="001A765B">
        <w:rPr>
          <w:szCs w:val="24"/>
        </w:rPr>
        <w:t>'</w:t>
      </w:r>
      <w:r w:rsidRPr="001A765B">
        <w:rPr>
          <w:szCs w:val="24"/>
        </w:rPr>
        <w:t>ordre du jour de la réunion, les documents et d</w:t>
      </w:r>
      <w:r w:rsidR="00133C7C" w:rsidRPr="001A765B">
        <w:rPr>
          <w:szCs w:val="24"/>
        </w:rPr>
        <w:t>'</w:t>
      </w:r>
      <w:r w:rsidRPr="001A765B">
        <w:rPr>
          <w:szCs w:val="24"/>
        </w:rPr>
        <w:t xml:space="preserve">autres informations pratiques seront disponibles sur la </w:t>
      </w:r>
      <w:hyperlink r:id="rId16" w:history="1">
        <w:r w:rsidRPr="001A765B">
          <w:rPr>
            <w:rStyle w:val="Hyperlink"/>
            <w:szCs w:val="24"/>
          </w:rPr>
          <w:t>page d</w:t>
        </w:r>
        <w:r w:rsidR="00133C7C" w:rsidRPr="001A765B">
          <w:rPr>
            <w:rStyle w:val="Hyperlink"/>
            <w:szCs w:val="24"/>
          </w:rPr>
          <w:t>'</w:t>
        </w:r>
        <w:r w:rsidRPr="001A765B">
          <w:rPr>
            <w:rStyle w:val="Hyperlink"/>
            <w:szCs w:val="24"/>
          </w:rPr>
          <w:t>accueil du Groupe FG-</w:t>
        </w:r>
        <w:r w:rsidR="00043F10" w:rsidRPr="001A765B">
          <w:rPr>
            <w:rStyle w:val="Hyperlink"/>
            <w:szCs w:val="24"/>
          </w:rPr>
          <w:t>MV</w:t>
        </w:r>
      </w:hyperlink>
      <w:r w:rsidRPr="001A765B">
        <w:rPr>
          <w:szCs w:val="24"/>
        </w:rPr>
        <w:t xml:space="preserve"> avant la réunion. Les débats se dérouleront en anglais uniquement. Des informations sur les modalités de participation à distance seront disponibles sur la page web du Groupe spécialisé (</w:t>
      </w:r>
      <w:hyperlink r:id="rId17" w:history="1">
        <w:r w:rsidR="004C77F8" w:rsidRPr="001A765B">
          <w:rPr>
            <w:rStyle w:val="Hyperlink"/>
            <w:szCs w:val="24"/>
          </w:rPr>
          <w:t>www.itu.int/go/fgmv</w:t>
        </w:r>
      </w:hyperlink>
      <w:r w:rsidRPr="001A765B">
        <w:rPr>
          <w:szCs w:val="24"/>
        </w:rPr>
        <w:t>).</w:t>
      </w:r>
    </w:p>
    <w:p w14:paraId="208E7381" w14:textId="458D1D50" w:rsidR="00912E84" w:rsidRPr="001A765B" w:rsidRDefault="00912E84" w:rsidP="002C09B1">
      <w:r w:rsidRPr="001A765B">
        <w:rPr>
          <w:bCs/>
        </w:rPr>
        <w:t>8</w:t>
      </w:r>
      <w:r w:rsidRPr="001A765B">
        <w:rPr>
          <w:bCs/>
        </w:rPr>
        <w:tab/>
      </w:r>
      <w:r w:rsidRPr="001A765B">
        <w:t>Pour permettre à l</w:t>
      </w:r>
      <w:r w:rsidR="00133C7C" w:rsidRPr="001A765B">
        <w:t>'</w:t>
      </w:r>
      <w:r w:rsidRPr="001A765B">
        <w:t xml:space="preserve">UIT de prévoir </w:t>
      </w:r>
      <w:r w:rsidR="004C77F8" w:rsidRPr="001A765B">
        <w:t>les dispositions</w:t>
      </w:r>
      <w:r w:rsidRPr="001A765B">
        <w:t xml:space="preserve"> nécessaire</w:t>
      </w:r>
      <w:r w:rsidR="004C77F8" w:rsidRPr="001A765B">
        <w:t>s</w:t>
      </w:r>
      <w:r w:rsidRPr="001A765B">
        <w:t>, les participants sont invités à s</w:t>
      </w:r>
      <w:r w:rsidR="00133C7C" w:rsidRPr="001A765B">
        <w:t>'</w:t>
      </w:r>
      <w:r w:rsidRPr="001A765B">
        <w:t xml:space="preserve">inscrire en ligne via la </w:t>
      </w:r>
      <w:hyperlink r:id="rId18" w:history="1">
        <w:r w:rsidR="00F16077" w:rsidRPr="001A765B">
          <w:rPr>
            <w:rStyle w:val="Hyperlink"/>
          </w:rPr>
          <w:t>page d'accueil du Groupe FG-MV</w:t>
        </w:r>
      </w:hyperlink>
      <w:r w:rsidRPr="001A765B">
        <w:t xml:space="preserve"> dès que possible. Le nombre de places est limité et les inscriptions seront traitées dans l</w:t>
      </w:r>
      <w:r w:rsidR="00133C7C" w:rsidRPr="001A765B">
        <w:t>'</w:t>
      </w:r>
      <w:r w:rsidRPr="001A765B">
        <w:t>ordre des demandes. L</w:t>
      </w:r>
      <w:r w:rsidR="00133C7C" w:rsidRPr="001A765B">
        <w:t>'</w:t>
      </w:r>
      <w:r w:rsidRPr="001A765B">
        <w:t>inscription est obligatoire à la fois pour la participation à distance et pour la participation sur place. Veuillez noter que l</w:t>
      </w:r>
      <w:r w:rsidR="00133C7C" w:rsidRPr="001A765B">
        <w:t>'</w:t>
      </w:r>
      <w:r w:rsidRPr="001A765B">
        <w:t>inscription préalable des participants aux manifestations se fait exclusivement en ligne.</w:t>
      </w:r>
    </w:p>
    <w:p w14:paraId="18EBBBB8" w14:textId="1869F5B8" w:rsidR="00912E84" w:rsidRPr="001A765B" w:rsidRDefault="00912E84" w:rsidP="002C09B1">
      <w:pPr>
        <w:rPr>
          <w:szCs w:val="24"/>
        </w:rPr>
      </w:pPr>
      <w:r w:rsidRPr="001A765B">
        <w:rPr>
          <w:bCs/>
        </w:rPr>
        <w:t>9</w:t>
      </w:r>
      <w:r w:rsidRPr="001A765B">
        <w:rPr>
          <w:bCs/>
        </w:rPr>
        <w:tab/>
      </w:r>
      <w:r w:rsidR="004C77F8" w:rsidRPr="001A765B">
        <w:rPr>
          <w:bCs/>
        </w:rPr>
        <w:t>Nous vous rappelons que, pour les ressortissants de certains pays, l</w:t>
      </w:r>
      <w:r w:rsidR="00133C7C" w:rsidRPr="001A765B">
        <w:rPr>
          <w:bCs/>
        </w:rPr>
        <w:t>'</w:t>
      </w:r>
      <w:r w:rsidR="004C77F8" w:rsidRPr="001A765B">
        <w:rPr>
          <w:bCs/>
        </w:rPr>
        <w:t>entrée et le séjour au Royaume d</w:t>
      </w:r>
      <w:r w:rsidR="00133C7C" w:rsidRPr="001A765B">
        <w:rPr>
          <w:bCs/>
        </w:rPr>
        <w:t>'</w:t>
      </w:r>
      <w:r w:rsidR="004C77F8" w:rsidRPr="001A765B">
        <w:rPr>
          <w:bCs/>
        </w:rPr>
        <w:t>Arabie saoudite sont soumis à l</w:t>
      </w:r>
      <w:r w:rsidR="00133C7C" w:rsidRPr="001A765B">
        <w:rPr>
          <w:bCs/>
        </w:rPr>
        <w:t>'</w:t>
      </w:r>
      <w:r w:rsidR="004C77F8" w:rsidRPr="001A765B">
        <w:rPr>
          <w:bCs/>
        </w:rPr>
        <w:t>obtention d</w:t>
      </w:r>
      <w:r w:rsidR="00133C7C" w:rsidRPr="001A765B">
        <w:rPr>
          <w:bCs/>
        </w:rPr>
        <w:t>'</w:t>
      </w:r>
      <w:r w:rsidR="004C77F8" w:rsidRPr="001A765B">
        <w:rPr>
          <w:bCs/>
        </w:rPr>
        <w:t xml:space="preserve">un visa. </w:t>
      </w:r>
      <w:r w:rsidRPr="001A765B">
        <w:rPr>
          <w:szCs w:val="24"/>
        </w:rPr>
        <w:t>Si vous avez besoin d</w:t>
      </w:r>
      <w:r w:rsidR="00133C7C" w:rsidRPr="001A765B">
        <w:rPr>
          <w:szCs w:val="24"/>
        </w:rPr>
        <w:t>'</w:t>
      </w:r>
      <w:r w:rsidRPr="001A765B">
        <w:rPr>
          <w:szCs w:val="24"/>
        </w:rPr>
        <w:t>un visa, celui</w:t>
      </w:r>
      <w:r w:rsidR="00F16077" w:rsidRPr="001A765B">
        <w:rPr>
          <w:szCs w:val="24"/>
        </w:rPr>
        <w:noBreakHyphen/>
      </w:r>
      <w:r w:rsidRPr="001A765B">
        <w:rPr>
          <w:szCs w:val="24"/>
        </w:rPr>
        <w:t>ci doit être demandé avant la date d</w:t>
      </w:r>
      <w:r w:rsidR="004C77F8" w:rsidRPr="001A765B">
        <w:rPr>
          <w:szCs w:val="24"/>
        </w:rPr>
        <w:t xml:space="preserve">e votre </w:t>
      </w:r>
      <w:r w:rsidRPr="001A765B">
        <w:rPr>
          <w:szCs w:val="24"/>
        </w:rPr>
        <w:t xml:space="preserve">arrivée auprès de la représentation de </w:t>
      </w:r>
      <w:r w:rsidR="004C77F8" w:rsidRPr="001A765B">
        <w:rPr>
          <w:szCs w:val="24"/>
        </w:rPr>
        <w:t>l</w:t>
      </w:r>
      <w:r w:rsidR="00133C7C" w:rsidRPr="001A765B">
        <w:rPr>
          <w:szCs w:val="24"/>
        </w:rPr>
        <w:t>'</w:t>
      </w:r>
      <w:r w:rsidR="004C77F8" w:rsidRPr="001A765B">
        <w:rPr>
          <w:szCs w:val="24"/>
        </w:rPr>
        <w:t>Arabie</w:t>
      </w:r>
      <w:r w:rsidR="00F16077" w:rsidRPr="001A765B">
        <w:rPr>
          <w:szCs w:val="24"/>
        </w:rPr>
        <w:t> </w:t>
      </w:r>
      <w:r w:rsidR="004C77F8" w:rsidRPr="001A765B">
        <w:rPr>
          <w:szCs w:val="24"/>
        </w:rPr>
        <w:t>saoudite</w:t>
      </w:r>
      <w:r w:rsidRPr="001A765B">
        <w:rPr>
          <w:szCs w:val="24"/>
        </w:rPr>
        <w:t xml:space="preserv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330D39D0" w14:textId="7E62E15E" w:rsidR="00912E84" w:rsidRPr="001A765B" w:rsidRDefault="00912E84" w:rsidP="00F16077">
      <w:pPr>
        <w:spacing w:after="240"/>
        <w:rPr>
          <w:bCs/>
        </w:rPr>
      </w:pPr>
      <w:r w:rsidRPr="001A765B">
        <w:rPr>
          <w:szCs w:val="24"/>
        </w:rPr>
        <w:t>Vous trouverez sur l</w:t>
      </w:r>
      <w:r w:rsidR="004C77F8" w:rsidRPr="001A765B">
        <w:rPr>
          <w:szCs w:val="24"/>
        </w:rPr>
        <w:t>a</w:t>
      </w:r>
      <w:r w:rsidRPr="001A765B">
        <w:rPr>
          <w:szCs w:val="24"/>
        </w:rPr>
        <w:t xml:space="preserve"> </w:t>
      </w:r>
      <w:hyperlink r:id="rId19" w:history="1">
        <w:r w:rsidR="004C77F8" w:rsidRPr="001A765B">
          <w:rPr>
            <w:rStyle w:val="Hyperlink"/>
            <w:szCs w:val="24"/>
          </w:rPr>
          <w:t>page d</w:t>
        </w:r>
        <w:r w:rsidR="00133C7C" w:rsidRPr="001A765B">
          <w:rPr>
            <w:rStyle w:val="Hyperlink"/>
            <w:szCs w:val="24"/>
          </w:rPr>
          <w:t>'</w:t>
        </w:r>
        <w:r w:rsidR="004C77F8" w:rsidRPr="001A765B">
          <w:rPr>
            <w:rStyle w:val="Hyperlink"/>
            <w:szCs w:val="24"/>
          </w:rPr>
          <w:t>accueil</w:t>
        </w:r>
        <w:r w:rsidRPr="001A765B">
          <w:rPr>
            <w:rStyle w:val="Hyperlink"/>
            <w:szCs w:val="24"/>
          </w:rPr>
          <w:t xml:space="preserve"> du Groupe FG-</w:t>
        </w:r>
        <w:r w:rsidR="004C77F8" w:rsidRPr="001A765B">
          <w:rPr>
            <w:rStyle w:val="Hyperlink"/>
            <w:szCs w:val="24"/>
          </w:rPr>
          <w:t>MV</w:t>
        </w:r>
      </w:hyperlink>
      <w:r w:rsidRPr="001A765B">
        <w:rPr>
          <w:szCs w:val="24"/>
        </w:rPr>
        <w:t>, dans le document d</w:t>
      </w:r>
      <w:r w:rsidR="00133C7C" w:rsidRPr="001A765B">
        <w:rPr>
          <w:szCs w:val="24"/>
        </w:rPr>
        <w:t>'</w:t>
      </w:r>
      <w:r w:rsidRPr="001A765B">
        <w:rPr>
          <w:szCs w:val="24"/>
        </w:rPr>
        <w:t>informations pratiques pour la réunion, des renseignements supplémentaires et les documents nécessaires pour le traitement des demandes de visas, le cas échéant.</w:t>
      </w:r>
    </w:p>
    <w:tbl>
      <w:tblPr>
        <w:tblStyle w:val="TableGrid"/>
        <w:tblW w:w="9918" w:type="dxa"/>
        <w:tblLook w:val="04A0" w:firstRow="1" w:lastRow="0" w:firstColumn="1" w:lastColumn="0" w:noHBand="0" w:noVBand="1"/>
      </w:tblPr>
      <w:tblGrid>
        <w:gridCol w:w="1696"/>
        <w:gridCol w:w="8222"/>
      </w:tblGrid>
      <w:tr w:rsidR="00912E84" w:rsidRPr="001A765B" w14:paraId="29A50845" w14:textId="77777777" w:rsidTr="001F77BF">
        <w:tc>
          <w:tcPr>
            <w:tcW w:w="1696" w:type="dxa"/>
            <w:vAlign w:val="center"/>
          </w:tcPr>
          <w:p w14:paraId="2841F44F" w14:textId="4637AE57" w:rsidR="00912E84" w:rsidRPr="001A765B" w:rsidRDefault="00912E84" w:rsidP="00F16077">
            <w:pPr>
              <w:pStyle w:val="TableText"/>
              <w:jc w:val="center"/>
              <w:rPr>
                <w:szCs w:val="22"/>
              </w:rPr>
            </w:pPr>
            <w:r w:rsidRPr="001A765B">
              <w:rPr>
                <w:szCs w:val="22"/>
              </w:rPr>
              <w:t>24 février 2023</w:t>
            </w:r>
          </w:p>
        </w:tc>
        <w:tc>
          <w:tcPr>
            <w:tcW w:w="8222" w:type="dxa"/>
            <w:vAlign w:val="center"/>
          </w:tcPr>
          <w:p w14:paraId="7503B0DD" w14:textId="1453D11A" w:rsidR="00912E84" w:rsidRPr="001A765B" w:rsidRDefault="00912E84" w:rsidP="002C09B1">
            <w:pPr>
              <w:pStyle w:val="TableText"/>
              <w:keepNext/>
              <w:ind w:left="284" w:hanging="284"/>
              <w:rPr>
                <w:szCs w:val="22"/>
              </w:rPr>
            </w:pPr>
            <w:r w:rsidRPr="001A765B">
              <w:rPr>
                <w:szCs w:val="22"/>
              </w:rPr>
              <w:t>–</w:t>
            </w:r>
            <w:r w:rsidRPr="001A765B">
              <w:rPr>
                <w:szCs w:val="22"/>
              </w:rPr>
              <w:tab/>
              <w:t>Soumission des contributions écrites (par courriel à l</w:t>
            </w:r>
            <w:r w:rsidR="00133C7C" w:rsidRPr="001A765B">
              <w:rPr>
                <w:szCs w:val="22"/>
              </w:rPr>
              <w:t>'</w:t>
            </w:r>
            <w:r w:rsidRPr="001A765B">
              <w:rPr>
                <w:szCs w:val="22"/>
              </w:rPr>
              <w:t>adresse</w:t>
            </w:r>
            <w:r w:rsidR="004C77F8" w:rsidRPr="001A765B">
              <w:rPr>
                <w:szCs w:val="22"/>
              </w:rPr>
              <w:t xml:space="preserve"> </w:t>
            </w:r>
            <w:hyperlink r:id="rId20" w:history="1">
              <w:r w:rsidR="004C77F8" w:rsidRPr="001A765B">
                <w:rPr>
                  <w:rStyle w:val="Hyperlink"/>
                  <w:szCs w:val="22"/>
                </w:rPr>
                <w:t>tsbfgmv@itu.int</w:t>
              </w:r>
            </w:hyperlink>
            <w:r w:rsidRPr="001A765B">
              <w:rPr>
                <w:szCs w:val="22"/>
              </w:rPr>
              <w:t>)</w:t>
            </w:r>
          </w:p>
        </w:tc>
      </w:tr>
      <w:tr w:rsidR="00912E84" w:rsidRPr="001A765B" w14:paraId="55012B36" w14:textId="77777777" w:rsidTr="00040C83">
        <w:tc>
          <w:tcPr>
            <w:tcW w:w="1696" w:type="dxa"/>
            <w:vAlign w:val="center"/>
          </w:tcPr>
          <w:p w14:paraId="3B3B0DD1" w14:textId="47BADCFA" w:rsidR="00912E84" w:rsidRPr="001A765B" w:rsidRDefault="00912E84" w:rsidP="00F16077">
            <w:pPr>
              <w:pStyle w:val="TableText"/>
              <w:jc w:val="center"/>
              <w:rPr>
                <w:szCs w:val="22"/>
              </w:rPr>
            </w:pPr>
            <w:r w:rsidRPr="001A765B">
              <w:rPr>
                <w:szCs w:val="22"/>
              </w:rPr>
              <w:t>6 mars 2023</w:t>
            </w:r>
          </w:p>
        </w:tc>
        <w:tc>
          <w:tcPr>
            <w:tcW w:w="8222" w:type="dxa"/>
            <w:vAlign w:val="center"/>
          </w:tcPr>
          <w:p w14:paraId="638DE117" w14:textId="2F70030D" w:rsidR="00912E84" w:rsidRPr="001A765B" w:rsidRDefault="00912E84" w:rsidP="002C09B1">
            <w:pPr>
              <w:pStyle w:val="TableText"/>
              <w:keepNext/>
              <w:ind w:left="284" w:hanging="284"/>
              <w:rPr>
                <w:szCs w:val="22"/>
              </w:rPr>
            </w:pPr>
            <w:r w:rsidRPr="001A765B">
              <w:rPr>
                <w:szCs w:val="22"/>
              </w:rPr>
              <w:t>–</w:t>
            </w:r>
            <w:r w:rsidRPr="001A765B">
              <w:rPr>
                <w:szCs w:val="22"/>
              </w:rPr>
              <w:tab/>
              <w:t xml:space="preserve">Inscription préalable (en ligne depuis la </w:t>
            </w:r>
            <w:hyperlink r:id="rId21" w:history="1">
              <w:r w:rsidRPr="001A765B">
                <w:rPr>
                  <w:rStyle w:val="Hyperlink"/>
                  <w:szCs w:val="22"/>
                </w:rPr>
                <w:t>page d</w:t>
              </w:r>
              <w:r w:rsidR="00133C7C" w:rsidRPr="001A765B">
                <w:rPr>
                  <w:rStyle w:val="Hyperlink"/>
                  <w:szCs w:val="22"/>
                </w:rPr>
                <w:t>'</w:t>
              </w:r>
              <w:r w:rsidRPr="001A765B">
                <w:rPr>
                  <w:rStyle w:val="Hyperlink"/>
                  <w:szCs w:val="22"/>
                </w:rPr>
                <w:t>accueil du Groupe FG-</w:t>
              </w:r>
              <w:r w:rsidR="004C77F8" w:rsidRPr="001A765B">
                <w:rPr>
                  <w:rStyle w:val="Hyperlink"/>
                  <w:szCs w:val="22"/>
                </w:rPr>
                <w:t>MV</w:t>
              </w:r>
            </w:hyperlink>
            <w:r w:rsidRPr="001A765B">
              <w:rPr>
                <w:rStyle w:val="Hyperlink"/>
                <w:color w:val="auto"/>
                <w:szCs w:val="22"/>
                <w:u w:val="none"/>
              </w:rPr>
              <w:t>)</w:t>
            </w:r>
          </w:p>
        </w:tc>
      </w:tr>
    </w:tbl>
    <w:p w14:paraId="2B3DDB2F" w14:textId="77777777" w:rsidR="00F16077" w:rsidRPr="001A765B" w:rsidRDefault="00F16077">
      <w:pPr>
        <w:tabs>
          <w:tab w:val="clear" w:pos="794"/>
          <w:tab w:val="clear" w:pos="1191"/>
          <w:tab w:val="clear" w:pos="1588"/>
          <w:tab w:val="clear" w:pos="1985"/>
        </w:tabs>
        <w:overflowPunct/>
        <w:autoSpaceDE/>
        <w:autoSpaceDN/>
        <w:adjustRightInd/>
        <w:spacing w:before="0"/>
        <w:textAlignment w:val="auto"/>
        <w:rPr>
          <w:bCs/>
        </w:rPr>
      </w:pPr>
      <w:r w:rsidRPr="001A765B">
        <w:rPr>
          <w:bCs/>
        </w:rPr>
        <w:br w:type="page"/>
      </w:r>
    </w:p>
    <w:p w14:paraId="03E1A663" w14:textId="306B9B9E" w:rsidR="001D0146" w:rsidRPr="001A765B" w:rsidRDefault="00912E84" w:rsidP="002C09B1">
      <w:pPr>
        <w:rPr>
          <w:bCs/>
        </w:rPr>
      </w:pPr>
      <w:r w:rsidRPr="001A765B">
        <w:rPr>
          <w:bCs/>
        </w:rPr>
        <w:lastRenderedPageBreak/>
        <w:t>Je vous souhaite une réunion constructive et agréable.</w:t>
      </w:r>
    </w:p>
    <w:p w14:paraId="21257CC9" w14:textId="4DAF371C" w:rsidR="00BD6ECF" w:rsidRPr="001A765B" w:rsidRDefault="00912E84" w:rsidP="002C09B1">
      <w:r w:rsidRPr="001A765B">
        <w:t>Veuillez agréer, Madame, Monsieur, l</w:t>
      </w:r>
      <w:r w:rsidR="00133C7C" w:rsidRPr="001A765B">
        <w:t>'</w:t>
      </w:r>
      <w:r w:rsidRPr="001A765B">
        <w:t>assurance de ma considération distinguée.</w:t>
      </w:r>
    </w:p>
    <w:p w14:paraId="3630E3AB" w14:textId="77777777" w:rsidR="00036F4F" w:rsidRPr="001A765B" w:rsidRDefault="00036F4F" w:rsidP="00F16077">
      <w:pPr>
        <w:spacing w:before="480" w:after="480"/>
        <w:rPr>
          <w:i/>
          <w:iCs/>
        </w:rPr>
      </w:pPr>
      <w:r w:rsidRPr="001A765B">
        <w:rPr>
          <w:i/>
          <w:iCs/>
        </w:rPr>
        <w:t>(signé)</w:t>
      </w:r>
    </w:p>
    <w:p w14:paraId="0C9AD6E3" w14:textId="68FB4A2E" w:rsidR="00517A03" w:rsidRPr="001A765B" w:rsidRDefault="00912E84" w:rsidP="00F16077">
      <w:pPr>
        <w:spacing w:before="360"/>
        <w:ind w:right="-284"/>
        <w:rPr>
          <w:b/>
        </w:rPr>
      </w:pPr>
      <w:r w:rsidRPr="001A765B">
        <w:t>Seizo Onoe</w:t>
      </w:r>
      <w:r w:rsidR="00036F4F" w:rsidRPr="001A765B">
        <w:br/>
        <w:t xml:space="preserve">Directeur du Bureau de la normalisation </w:t>
      </w:r>
      <w:r w:rsidR="00036F4F" w:rsidRPr="001A765B">
        <w:br/>
        <w:t>des télécommunications</w:t>
      </w:r>
    </w:p>
    <w:p w14:paraId="0B59B0F6" w14:textId="530A036E" w:rsidR="00912E84" w:rsidRPr="001A765B" w:rsidRDefault="00912E84" w:rsidP="00F16077">
      <w:pPr>
        <w:spacing w:before="360"/>
        <w:ind w:right="-284"/>
        <w:rPr>
          <w:b/>
        </w:rPr>
      </w:pPr>
      <w:r w:rsidRPr="001A765B">
        <w:rPr>
          <w:b/>
        </w:rPr>
        <w:t xml:space="preserve">Annexe: </w:t>
      </w:r>
      <w:r w:rsidRPr="001A765B">
        <w:rPr>
          <w:bCs/>
        </w:rPr>
        <w:t>1</w:t>
      </w:r>
    </w:p>
    <w:p w14:paraId="42327CAF" w14:textId="77777777" w:rsidR="00912E84" w:rsidRPr="001A765B" w:rsidRDefault="00912E84" w:rsidP="002C09B1">
      <w:pPr>
        <w:tabs>
          <w:tab w:val="clear" w:pos="794"/>
          <w:tab w:val="clear" w:pos="1191"/>
          <w:tab w:val="clear" w:pos="1588"/>
          <w:tab w:val="clear" w:pos="1985"/>
        </w:tabs>
        <w:overflowPunct/>
        <w:autoSpaceDE/>
        <w:autoSpaceDN/>
        <w:adjustRightInd/>
        <w:spacing w:before="0"/>
        <w:textAlignment w:val="auto"/>
        <w:rPr>
          <w:b/>
        </w:rPr>
      </w:pPr>
      <w:r w:rsidRPr="001A765B">
        <w:rPr>
          <w:b/>
        </w:rPr>
        <w:br w:type="page"/>
      </w:r>
    </w:p>
    <w:p w14:paraId="5A598F1B" w14:textId="77777777" w:rsidR="007D76AB" w:rsidRPr="001A765B" w:rsidRDefault="00093013" w:rsidP="002C09B1">
      <w:pPr>
        <w:pStyle w:val="AnnexTitle"/>
      </w:pPr>
      <w:r w:rsidRPr="001A765B">
        <w:lastRenderedPageBreak/>
        <w:t>ANNEX</w:t>
      </w:r>
      <w:r w:rsidR="007D76AB" w:rsidRPr="001A765B">
        <w:t>E</w:t>
      </w:r>
      <w:r w:rsidRPr="001A765B">
        <w:t xml:space="preserve"> 1:</w:t>
      </w:r>
    </w:p>
    <w:p w14:paraId="762A624C" w14:textId="330ED04B" w:rsidR="00912E84" w:rsidRPr="001A765B" w:rsidRDefault="004C77F8" w:rsidP="002C09B1">
      <w:pPr>
        <w:pStyle w:val="AnnexTitle"/>
      </w:pPr>
      <w:r w:rsidRPr="001A765B">
        <w:t>Mandat du Groupe spécialisé de l</w:t>
      </w:r>
      <w:r w:rsidR="00133C7C" w:rsidRPr="001A765B">
        <w:t>'</w:t>
      </w:r>
      <w:r w:rsidRPr="001A765B">
        <w:t>UIT-T sur la métavers</w:t>
      </w:r>
      <w:r w:rsidR="00093013" w:rsidRPr="001A765B">
        <w:t xml:space="preserve"> (FG-MV)</w:t>
      </w:r>
    </w:p>
    <w:p w14:paraId="025D68FE" w14:textId="3E65B717" w:rsidR="00093013" w:rsidRPr="001A765B" w:rsidRDefault="00093013" w:rsidP="002C09B1">
      <w:pPr>
        <w:pStyle w:val="Heading1"/>
      </w:pPr>
      <w:r w:rsidRPr="001A765B">
        <w:t>1</w:t>
      </w:r>
      <w:r w:rsidRPr="001A765B">
        <w:tab/>
        <w:t>Justification et domaine de compétence</w:t>
      </w:r>
    </w:p>
    <w:p w14:paraId="505F0864" w14:textId="7CD0AC0F" w:rsidR="00A84C38" w:rsidRPr="001A765B" w:rsidRDefault="00625F96" w:rsidP="00A84C38">
      <w:r w:rsidRPr="001A765B">
        <w:t>Depuis peu, le métavers est devenu un domaine d</w:t>
      </w:r>
      <w:r w:rsidR="00133C7C" w:rsidRPr="001A765B">
        <w:t>'</w:t>
      </w:r>
      <w:r w:rsidRPr="001A765B">
        <w:t xml:space="preserve">innovation révolutionnaire offrant un potentiel énorme pour changer notre économie, </w:t>
      </w:r>
      <w:r w:rsidR="00BB4A1C" w:rsidRPr="001A765B">
        <w:t>notre manière</w:t>
      </w:r>
      <w:r w:rsidRPr="001A765B">
        <w:t xml:space="preserve"> de vivre et de communiquer, ainsi que nos sociétés. Alors que le métavers n</w:t>
      </w:r>
      <w:r w:rsidR="00133C7C" w:rsidRPr="001A765B">
        <w:t>'</w:t>
      </w:r>
      <w:r w:rsidRPr="001A765B">
        <w:t>est encore qu</w:t>
      </w:r>
      <w:r w:rsidR="00133C7C" w:rsidRPr="001A765B">
        <w:t>'</w:t>
      </w:r>
      <w:r w:rsidRPr="001A765B">
        <w:t>à l</w:t>
      </w:r>
      <w:r w:rsidR="00133C7C" w:rsidRPr="001A765B">
        <w:t>'</w:t>
      </w:r>
      <w:r w:rsidRPr="001A765B">
        <w:t>état embryonnaire, le secteur ne s</w:t>
      </w:r>
      <w:r w:rsidR="00133C7C" w:rsidRPr="001A765B">
        <w:t>'</w:t>
      </w:r>
      <w:r w:rsidRPr="001A765B">
        <w:t xml:space="preserve">est pas encore </w:t>
      </w:r>
      <w:r w:rsidR="00BB4A1C" w:rsidRPr="001A765B">
        <w:t>accordé sur</w:t>
      </w:r>
      <w:r w:rsidRPr="001A765B">
        <w:t xml:space="preserve"> une terminologie et de</w:t>
      </w:r>
      <w:r w:rsidR="00BB4A1C" w:rsidRPr="001A765B">
        <w:t>s</w:t>
      </w:r>
      <w:r w:rsidRPr="001A765B">
        <w:t xml:space="preserve"> définitions communes. Le </w:t>
      </w:r>
      <w:r w:rsidR="00A84C38" w:rsidRPr="001A765B">
        <w:t>concept de métavers intéresse considérablement le public. Selon les analystes de Bloomberg</w:t>
      </w:r>
      <w:r w:rsidR="00093013" w:rsidRPr="001A765B">
        <w:rPr>
          <w:rStyle w:val="FootnoteReference"/>
        </w:rPr>
        <w:footnoteReference w:id="1"/>
      </w:r>
      <w:r w:rsidR="00A84C38" w:rsidRPr="001A765B">
        <w:t xml:space="preserve">, la valeur totale du marché du métavers en tant que </w:t>
      </w:r>
      <w:r w:rsidR="00F16077" w:rsidRPr="001A765B">
        <w:t>"</w:t>
      </w:r>
      <w:r w:rsidR="00A84C38" w:rsidRPr="001A765B">
        <w:t>prochaine grande plate-forme technologique</w:t>
      </w:r>
      <w:r w:rsidR="00F16077" w:rsidRPr="001A765B">
        <w:t>"</w:t>
      </w:r>
      <w:r w:rsidR="00A84C38" w:rsidRPr="001A765B">
        <w:t xml:space="preserve"> mondiale pourrait atteindre </w:t>
      </w:r>
      <w:r w:rsidR="00AD094C" w:rsidRPr="001A765B">
        <w:t>800 milliards USD d</w:t>
      </w:r>
      <w:r w:rsidR="00133C7C" w:rsidRPr="001A765B">
        <w:t>'</w:t>
      </w:r>
      <w:r w:rsidR="00AD094C" w:rsidRPr="001A765B">
        <w:t xml:space="preserve">ici à 2024, soit le double de sa valeur </w:t>
      </w:r>
      <w:r w:rsidR="00BE35D4" w:rsidRPr="001A765B">
        <w:t xml:space="preserve">envisagée </w:t>
      </w:r>
      <w:r w:rsidR="00AD094C" w:rsidRPr="001A765B">
        <w:t>en 2020.</w:t>
      </w:r>
    </w:p>
    <w:p w14:paraId="672D3027" w14:textId="17F08F6B" w:rsidR="00BE35D4" w:rsidRPr="001A765B" w:rsidRDefault="00BE35D4" w:rsidP="002C09B1">
      <w:r w:rsidRPr="001A765B">
        <w:t xml:space="preserve">Ce Groupe spécialisé offre un cadre de collaboration </w:t>
      </w:r>
      <w:r w:rsidR="00BB4A1C" w:rsidRPr="001A765B">
        <w:t>qui permettra d</w:t>
      </w:r>
      <w:r w:rsidR="00133C7C" w:rsidRPr="001A765B">
        <w:t>'</w:t>
      </w:r>
      <w:r w:rsidR="00BB4A1C" w:rsidRPr="001A765B">
        <w:t>échanger</w:t>
      </w:r>
      <w:r w:rsidRPr="001A765B">
        <w:t xml:space="preserve">, </w:t>
      </w:r>
      <w:r w:rsidR="00BB4A1C" w:rsidRPr="001A765B">
        <w:t>d</w:t>
      </w:r>
      <w:r w:rsidR="00133C7C" w:rsidRPr="001A765B">
        <w:t>'</w:t>
      </w:r>
      <w:r w:rsidR="00BB4A1C" w:rsidRPr="001A765B">
        <w:t>identifier les</w:t>
      </w:r>
      <w:r w:rsidRPr="001A765B">
        <w:t xml:space="preserve"> parties prenantes avec lesquelles l</w:t>
      </w:r>
      <w:r w:rsidR="00133C7C" w:rsidRPr="001A765B">
        <w:t>'</w:t>
      </w:r>
      <w:r w:rsidRPr="001A765B">
        <w:t xml:space="preserve">UIT-T pourrait collaborer et </w:t>
      </w:r>
      <w:r w:rsidR="00BB4A1C" w:rsidRPr="001A765B">
        <w:t>d</w:t>
      </w:r>
      <w:r w:rsidR="00133C7C" w:rsidRPr="001A765B">
        <w:t>'</w:t>
      </w:r>
      <w:r w:rsidR="00BB4A1C" w:rsidRPr="001A765B">
        <w:t>inclure les</w:t>
      </w:r>
      <w:r w:rsidRPr="001A765B">
        <w:t xml:space="preserve"> non-membres </w:t>
      </w:r>
      <w:r w:rsidR="00377E28" w:rsidRPr="001A765B">
        <w:t>pour qu</w:t>
      </w:r>
      <w:r w:rsidR="00133C7C" w:rsidRPr="001A765B">
        <w:t>'</w:t>
      </w:r>
      <w:r w:rsidR="00377E28" w:rsidRPr="001A765B">
        <w:t xml:space="preserve">ils contribuent aux </w:t>
      </w:r>
      <w:r w:rsidR="00683DB2" w:rsidRPr="001A765B">
        <w:t>travaux</w:t>
      </w:r>
      <w:r w:rsidR="00377E28" w:rsidRPr="001A765B">
        <w:t xml:space="preserve"> techniques</w:t>
      </w:r>
      <w:r w:rsidR="00683DB2" w:rsidRPr="001A765B">
        <w:t xml:space="preserve"> préalables</w:t>
      </w:r>
      <w:r w:rsidR="00377E28" w:rsidRPr="001A765B">
        <w:t xml:space="preserve"> nécessaires </w:t>
      </w:r>
      <w:r w:rsidR="00683DB2" w:rsidRPr="001A765B">
        <w:t>en vue de la</w:t>
      </w:r>
      <w:r w:rsidR="00377E28" w:rsidRPr="001A765B">
        <w:t xml:space="preserve"> normalisation.</w:t>
      </w:r>
      <w:r w:rsidR="004E3526" w:rsidRPr="001A765B">
        <w:t xml:space="preserve"> Les travaux du Groupe spécialisé </w:t>
      </w:r>
      <w:r w:rsidR="00BB4A1C" w:rsidRPr="001A765B">
        <w:t>profiteront de</w:t>
      </w:r>
      <w:r w:rsidR="004E3526" w:rsidRPr="001A765B">
        <w:t xml:space="preserve"> l</w:t>
      </w:r>
      <w:r w:rsidR="00133C7C" w:rsidRPr="001A765B">
        <w:t>'</w:t>
      </w:r>
      <w:r w:rsidR="004E3526" w:rsidRPr="001A765B">
        <w:t>identification des cas d</w:t>
      </w:r>
      <w:r w:rsidR="00133C7C" w:rsidRPr="001A765B">
        <w:t>'</w:t>
      </w:r>
      <w:r w:rsidR="004E3526" w:rsidRPr="001A765B">
        <w:t>utilisation pertinents.</w:t>
      </w:r>
    </w:p>
    <w:p w14:paraId="14D90BD9" w14:textId="2880F7FC" w:rsidR="004E3526" w:rsidRPr="001A765B" w:rsidRDefault="004E3526" w:rsidP="002C09B1">
      <w:r w:rsidRPr="001A765B">
        <w:t xml:space="preserve">Le Groupe spécialisé examinera les aspects suivants afin de mener les </w:t>
      </w:r>
      <w:r w:rsidR="00BB4A1C" w:rsidRPr="001A765B">
        <w:t>travaux</w:t>
      </w:r>
      <w:r w:rsidRPr="001A765B">
        <w:t xml:space="preserve"> préalables nécessaires </w:t>
      </w:r>
      <w:r w:rsidR="00BB4A1C" w:rsidRPr="001A765B">
        <w:t>en vue</w:t>
      </w:r>
      <w:r w:rsidRPr="001A765B">
        <w:t xml:space="preserve"> de</w:t>
      </w:r>
      <w:r w:rsidR="00BB4A1C" w:rsidRPr="001A765B">
        <w:t xml:space="preserve"> la</w:t>
      </w:r>
      <w:r w:rsidRPr="001A765B">
        <w:t xml:space="preserve"> normalisation du métavers:</w:t>
      </w:r>
    </w:p>
    <w:p w14:paraId="721070D8" w14:textId="63BCC5A8" w:rsidR="004E3526" w:rsidRPr="001A765B" w:rsidRDefault="00093013" w:rsidP="002C09B1">
      <w:pPr>
        <w:pStyle w:val="enumlev1"/>
      </w:pPr>
      <w:r w:rsidRPr="001A765B">
        <w:t>–</w:t>
      </w:r>
      <w:r w:rsidRPr="001A765B">
        <w:tab/>
      </w:r>
      <w:r w:rsidR="004E3526" w:rsidRPr="001A765B">
        <w:t>définitions et terminologie utilisées pour les travaux, concepts, vision, cas d</w:t>
      </w:r>
      <w:r w:rsidR="00133C7C" w:rsidRPr="001A765B">
        <w:t>'</w:t>
      </w:r>
      <w:r w:rsidR="004E3526" w:rsidRPr="001A765B">
        <w:t>utilisation et écosystème;</w:t>
      </w:r>
    </w:p>
    <w:p w14:paraId="6DBAA2F0" w14:textId="4C794DA4" w:rsidR="00093013" w:rsidRPr="001A765B" w:rsidRDefault="00093013" w:rsidP="002C09B1">
      <w:pPr>
        <w:pStyle w:val="enumlev1"/>
      </w:pPr>
      <w:r w:rsidRPr="001A765B">
        <w:t>–</w:t>
      </w:r>
      <w:r w:rsidRPr="001A765B">
        <w:tab/>
      </w:r>
      <w:r w:rsidR="004E3526" w:rsidRPr="001A765B">
        <w:t>exigences techniques</w:t>
      </w:r>
      <w:r w:rsidRPr="001A765B">
        <w:t>;</w:t>
      </w:r>
    </w:p>
    <w:p w14:paraId="2C09D630" w14:textId="4F92333E" w:rsidR="00093013" w:rsidRPr="001A765B" w:rsidRDefault="00093013" w:rsidP="004E3526">
      <w:pPr>
        <w:pStyle w:val="enumlev1"/>
      </w:pPr>
      <w:r w:rsidRPr="001A765B">
        <w:t>–</w:t>
      </w:r>
      <w:r w:rsidRPr="001A765B">
        <w:tab/>
      </w:r>
      <w:r w:rsidR="004E3526" w:rsidRPr="001A765B">
        <w:t>cadre et caractéristiques techniques, y compris identification des technologies sous</w:t>
      </w:r>
      <w:r w:rsidR="00F16077" w:rsidRPr="001A765B">
        <w:noBreakHyphen/>
      </w:r>
      <w:r w:rsidR="004E3526" w:rsidRPr="001A765B">
        <w:t>jacentes fondamentales</w:t>
      </w:r>
      <w:r w:rsidRPr="001A765B">
        <w:t>;</w:t>
      </w:r>
    </w:p>
    <w:p w14:paraId="106AB2CD" w14:textId="4613E5F7" w:rsidR="00093013" w:rsidRPr="001A765B" w:rsidRDefault="00093013" w:rsidP="004E3526">
      <w:pPr>
        <w:pStyle w:val="enumlev1"/>
      </w:pPr>
      <w:r w:rsidRPr="001A765B">
        <w:t>–</w:t>
      </w:r>
      <w:r w:rsidRPr="001A765B">
        <w:tab/>
      </w:r>
      <w:r w:rsidR="004E3526" w:rsidRPr="001A765B">
        <w:t>aspects liés à la sécurité et à la protection des informations d</w:t>
      </w:r>
      <w:r w:rsidR="00133C7C" w:rsidRPr="001A765B">
        <w:t>'</w:t>
      </w:r>
      <w:r w:rsidR="004E3526" w:rsidRPr="001A765B">
        <w:t>identification personnelle (PPI)</w:t>
      </w:r>
      <w:r w:rsidRPr="001A765B">
        <w:t>;</w:t>
      </w:r>
    </w:p>
    <w:p w14:paraId="685A2143" w14:textId="1F0E4EBE" w:rsidR="00093013" w:rsidRPr="001A765B" w:rsidRDefault="00093013" w:rsidP="004E3526">
      <w:pPr>
        <w:pStyle w:val="enumlev1"/>
      </w:pPr>
      <w:r w:rsidRPr="001A765B">
        <w:t>–</w:t>
      </w:r>
      <w:r w:rsidRPr="001A765B">
        <w:tab/>
      </w:r>
      <w:r w:rsidR="004E3526" w:rsidRPr="001A765B">
        <w:t>infrastructure de réseaux et connectivité</w:t>
      </w:r>
      <w:r w:rsidRPr="001A765B">
        <w:t>;</w:t>
      </w:r>
    </w:p>
    <w:p w14:paraId="64BAE96B" w14:textId="6BC8566B" w:rsidR="00093013" w:rsidRPr="001A765B" w:rsidRDefault="00093013" w:rsidP="002C09B1">
      <w:pPr>
        <w:pStyle w:val="enumlev1"/>
      </w:pPr>
      <w:r w:rsidRPr="001A765B">
        <w:t>–</w:t>
      </w:r>
      <w:r w:rsidRPr="001A765B">
        <w:tab/>
        <w:t>int</w:t>
      </w:r>
      <w:r w:rsidR="004E3526" w:rsidRPr="001A765B">
        <w:t>e</w:t>
      </w:r>
      <w:r w:rsidRPr="001A765B">
        <w:t>rop</w:t>
      </w:r>
      <w:r w:rsidR="004E3526" w:rsidRPr="001A765B">
        <w:t>é</w:t>
      </w:r>
      <w:r w:rsidRPr="001A765B">
        <w:t>rabilit</w:t>
      </w:r>
      <w:r w:rsidR="004E3526" w:rsidRPr="001A765B">
        <w:t>é</w:t>
      </w:r>
      <w:r w:rsidRPr="001A765B">
        <w:t>;</w:t>
      </w:r>
    </w:p>
    <w:p w14:paraId="7199A527" w14:textId="754D56BB" w:rsidR="00093013" w:rsidRPr="001A765B" w:rsidRDefault="00093013" w:rsidP="002C09B1">
      <w:pPr>
        <w:pStyle w:val="enumlev1"/>
      </w:pPr>
      <w:r w:rsidRPr="001A765B">
        <w:t>–</w:t>
      </w:r>
      <w:r w:rsidRPr="001A765B">
        <w:tab/>
      </w:r>
      <w:r w:rsidR="00683DB2" w:rsidRPr="001A765B">
        <w:t>interfaces d</w:t>
      </w:r>
      <w:r w:rsidR="00133C7C" w:rsidRPr="001A765B">
        <w:t>'</w:t>
      </w:r>
      <w:r w:rsidRPr="001A765B">
        <w:t>application;</w:t>
      </w:r>
    </w:p>
    <w:p w14:paraId="2E61CFF7" w14:textId="1133E609" w:rsidR="00093013" w:rsidRPr="001A765B" w:rsidRDefault="00093013" w:rsidP="004E3526">
      <w:pPr>
        <w:pStyle w:val="enumlev1"/>
      </w:pPr>
      <w:r w:rsidRPr="001A765B">
        <w:t>–</w:t>
      </w:r>
      <w:r w:rsidRPr="001A765B">
        <w:tab/>
      </w:r>
      <w:r w:rsidR="004E3526" w:rsidRPr="001A765B">
        <w:t>accessibilité y compris pour les personnes handicapées</w:t>
      </w:r>
      <w:r w:rsidRPr="001A765B">
        <w:t>;</w:t>
      </w:r>
    </w:p>
    <w:p w14:paraId="797407E0" w14:textId="6C6720A2" w:rsidR="00093013" w:rsidRPr="001A765B" w:rsidRDefault="00093013" w:rsidP="000C0082">
      <w:pPr>
        <w:pStyle w:val="enumlev1"/>
      </w:pPr>
      <w:r w:rsidRPr="001A765B">
        <w:t>–</w:t>
      </w:r>
      <w:r w:rsidRPr="001A765B">
        <w:tab/>
      </w:r>
      <w:r w:rsidR="00683DB2" w:rsidRPr="001A765B">
        <w:t>a</w:t>
      </w:r>
      <w:r w:rsidR="000C0082" w:rsidRPr="001A765B">
        <w:t xml:space="preserve">nalyse des </w:t>
      </w:r>
      <w:r w:rsidR="00683DB2" w:rsidRPr="001A765B">
        <w:t>aspects</w:t>
      </w:r>
      <w:r w:rsidR="000C0082" w:rsidRPr="001A765B">
        <w:t xml:space="preserve"> non étudiés dans le cadre des activités de normalisation </w:t>
      </w:r>
      <w:r w:rsidR="00683DB2" w:rsidRPr="001A765B">
        <w:t>menées par l</w:t>
      </w:r>
      <w:r w:rsidR="000C0082" w:rsidRPr="001A765B">
        <w:t>es autres organismes de normalisation, y compris la terminologie et les principes utilisés à l</w:t>
      </w:r>
      <w:r w:rsidR="00133C7C" w:rsidRPr="001A765B">
        <w:t>'</w:t>
      </w:r>
      <w:r w:rsidR="000C0082" w:rsidRPr="001A765B">
        <w:t>ISO et la CEI</w:t>
      </w:r>
      <w:r w:rsidRPr="001A765B">
        <w:t>;</w:t>
      </w:r>
    </w:p>
    <w:p w14:paraId="319976C8" w14:textId="0992DB7C" w:rsidR="000C0082" w:rsidRPr="001A765B" w:rsidRDefault="00093013" w:rsidP="002C09B1">
      <w:pPr>
        <w:pStyle w:val="enumlev1"/>
      </w:pPr>
      <w:r w:rsidRPr="001A765B">
        <w:t>–</w:t>
      </w:r>
      <w:r w:rsidRPr="001A765B">
        <w:tab/>
      </w:r>
      <w:r w:rsidR="000C0082" w:rsidRPr="001A765B">
        <w:t>aspects économiques et incidences réglementaires;</w:t>
      </w:r>
    </w:p>
    <w:p w14:paraId="5F2DBFDA" w14:textId="350E1382" w:rsidR="00093013" w:rsidRPr="001A765B" w:rsidRDefault="00093013" w:rsidP="002C09B1">
      <w:pPr>
        <w:pStyle w:val="enumlev1"/>
      </w:pPr>
      <w:r w:rsidRPr="001A765B">
        <w:t>–</w:t>
      </w:r>
      <w:r w:rsidRPr="001A765B">
        <w:tab/>
      </w:r>
      <w:r w:rsidR="00F16077" w:rsidRPr="001A765B">
        <w:t>d</w:t>
      </w:r>
      <w:r w:rsidR="000C0082" w:rsidRPr="001A765B">
        <w:t>urabilité environnementale</w:t>
      </w:r>
      <w:r w:rsidRPr="001A765B">
        <w:t>.</w:t>
      </w:r>
    </w:p>
    <w:p w14:paraId="79BC4AE7" w14:textId="59C128B0" w:rsidR="00093013" w:rsidRPr="001A765B" w:rsidRDefault="00093013" w:rsidP="002C09B1">
      <w:pPr>
        <w:pStyle w:val="Heading1"/>
      </w:pPr>
      <w:r w:rsidRPr="001A765B">
        <w:t>2</w:t>
      </w:r>
      <w:r w:rsidRPr="001A765B">
        <w:tab/>
        <w:t>Objectifs</w:t>
      </w:r>
    </w:p>
    <w:p w14:paraId="31BC2AC2" w14:textId="7124AF87" w:rsidR="00683DB2" w:rsidRPr="001A765B" w:rsidRDefault="00683DB2" w:rsidP="002C09B1">
      <w:r w:rsidRPr="001A765B">
        <w:t>L</w:t>
      </w:r>
      <w:r w:rsidR="00133C7C" w:rsidRPr="001A765B">
        <w:t>'</w:t>
      </w:r>
      <w:r w:rsidRPr="001A765B">
        <w:t>objectif du Groupe spécialisé est d</w:t>
      </w:r>
      <w:r w:rsidR="00133C7C" w:rsidRPr="001A765B">
        <w:t>'</w:t>
      </w:r>
      <w:r w:rsidRPr="001A765B">
        <w:t xml:space="preserve">appuyer les activités </w:t>
      </w:r>
      <w:r w:rsidR="00EF3319" w:rsidRPr="001A765B">
        <w:t xml:space="preserve">préalables </w:t>
      </w:r>
      <w:r w:rsidRPr="001A765B">
        <w:t>nécessaires avant le travail de normalisation, notamment:</w:t>
      </w:r>
    </w:p>
    <w:p w14:paraId="5F667A1D" w14:textId="2A725B95" w:rsidR="00093013" w:rsidRPr="001A765B" w:rsidRDefault="00093013" w:rsidP="00683DB2">
      <w:pPr>
        <w:pStyle w:val="enumlev1"/>
      </w:pPr>
      <w:r w:rsidRPr="001A765B">
        <w:t>a)</w:t>
      </w:r>
      <w:r w:rsidRPr="001A765B">
        <w:tab/>
      </w:r>
      <w:r w:rsidR="007D76AB" w:rsidRPr="001A765B">
        <w:t>é</w:t>
      </w:r>
      <w:r w:rsidR="00683DB2" w:rsidRPr="001A765B">
        <w:t>tudier la terminologie, les concepts, la vision et l</w:t>
      </w:r>
      <w:r w:rsidR="00133C7C" w:rsidRPr="001A765B">
        <w:t>'</w:t>
      </w:r>
      <w:r w:rsidR="00683DB2" w:rsidRPr="001A765B">
        <w:t>écosystème</w:t>
      </w:r>
      <w:r w:rsidR="007D76AB" w:rsidRPr="001A765B">
        <w:t>;</w:t>
      </w:r>
    </w:p>
    <w:p w14:paraId="445CAB92" w14:textId="31EE3858" w:rsidR="00683DB2" w:rsidRPr="001A765B" w:rsidRDefault="00093013" w:rsidP="002C09B1">
      <w:pPr>
        <w:pStyle w:val="enumlev1"/>
      </w:pPr>
      <w:r w:rsidRPr="001A765B">
        <w:lastRenderedPageBreak/>
        <w:t>b)</w:t>
      </w:r>
      <w:r w:rsidRPr="001A765B">
        <w:tab/>
      </w:r>
      <w:r w:rsidR="007D76AB" w:rsidRPr="001A765B">
        <w:t>i</w:t>
      </w:r>
      <w:r w:rsidR="00683DB2" w:rsidRPr="001A765B">
        <w:t>dentifier et étudier les technologies de base, leur évolution et les tâches essentielles aux fins de la normalisation, y compris dans les domaines du multimédia, de l</w:t>
      </w:r>
      <w:r w:rsidR="00133C7C" w:rsidRPr="001A765B">
        <w:t>'</w:t>
      </w:r>
      <w:r w:rsidR="00683DB2" w:rsidRPr="001A765B">
        <w:t>optimisation de réseau, de la connectivité, de l</w:t>
      </w:r>
      <w:r w:rsidR="00133C7C" w:rsidRPr="001A765B">
        <w:t>'</w:t>
      </w:r>
      <w:r w:rsidR="00683DB2" w:rsidRPr="001A765B">
        <w:t>interopérabilité des services et des applications, de la sécurité, de la protection des informations d</w:t>
      </w:r>
      <w:r w:rsidR="00133C7C" w:rsidRPr="001A765B">
        <w:t>'</w:t>
      </w:r>
      <w:r w:rsidR="00683DB2" w:rsidRPr="001A765B">
        <w:t>identification personnelle, de la qualité (y</w:t>
      </w:r>
      <w:r w:rsidR="00F16077" w:rsidRPr="001A765B">
        <w:t> </w:t>
      </w:r>
      <w:r w:rsidR="00683DB2" w:rsidRPr="001A765B">
        <w:t xml:space="preserve">compris la bande passante), des actifs numériques (par exemple, </w:t>
      </w:r>
      <w:r w:rsidR="00EF3319" w:rsidRPr="001A765B">
        <w:t xml:space="preserve">les </w:t>
      </w:r>
      <w:r w:rsidR="00683DB2" w:rsidRPr="001A765B">
        <w:t>monnaies numériques), de l</w:t>
      </w:r>
      <w:r w:rsidR="00133C7C" w:rsidRPr="001A765B">
        <w:t>'</w:t>
      </w:r>
      <w:r w:rsidR="00683DB2" w:rsidRPr="001A765B">
        <w:t>Internet des objets, de l</w:t>
      </w:r>
      <w:r w:rsidR="00133C7C" w:rsidRPr="001A765B">
        <w:t>'</w:t>
      </w:r>
      <w:r w:rsidR="00683DB2" w:rsidRPr="001A765B">
        <w:t>accessibilité, des jumeaux numériques et de la durabilité environnem</w:t>
      </w:r>
      <w:r w:rsidR="00EF3319" w:rsidRPr="001A765B">
        <w:t>e</w:t>
      </w:r>
      <w:r w:rsidR="00683DB2" w:rsidRPr="001A765B">
        <w:t>ntale</w:t>
      </w:r>
      <w:r w:rsidR="007D76AB" w:rsidRPr="001A765B">
        <w:t>;</w:t>
      </w:r>
    </w:p>
    <w:p w14:paraId="16007CCD" w14:textId="6B180ABE" w:rsidR="00EF3319" w:rsidRPr="001A765B" w:rsidRDefault="00093013" w:rsidP="002C09B1">
      <w:pPr>
        <w:pStyle w:val="enumlev1"/>
      </w:pPr>
      <w:r w:rsidRPr="001A765B">
        <w:t>c)</w:t>
      </w:r>
      <w:r w:rsidRPr="001A765B">
        <w:tab/>
      </w:r>
      <w:r w:rsidR="007D76AB" w:rsidRPr="001A765B">
        <w:t>é</w:t>
      </w:r>
      <w:r w:rsidR="00EF3319" w:rsidRPr="001A765B">
        <w:t>tudier et rassembler des informations afin d</w:t>
      </w:r>
      <w:r w:rsidR="00133C7C" w:rsidRPr="001A765B">
        <w:t>'</w:t>
      </w:r>
      <w:r w:rsidR="00EF3319" w:rsidRPr="001A765B">
        <w:t xml:space="preserve">établir une feuille de route </w:t>
      </w:r>
      <w:r w:rsidR="00450F83" w:rsidRPr="001A765B">
        <w:t>pour les activités à mener avant le travail de normalisation</w:t>
      </w:r>
      <w:r w:rsidR="007D76AB" w:rsidRPr="001A765B">
        <w:t>;</w:t>
      </w:r>
    </w:p>
    <w:p w14:paraId="13830EDB" w14:textId="2F574679" w:rsidR="00E26F9D" w:rsidRPr="001A765B" w:rsidRDefault="00093013" w:rsidP="002C09B1">
      <w:pPr>
        <w:pStyle w:val="enumlev1"/>
      </w:pPr>
      <w:r w:rsidRPr="001A765B">
        <w:t>d)</w:t>
      </w:r>
      <w:r w:rsidRPr="001A765B">
        <w:tab/>
      </w:r>
      <w:r w:rsidR="007D76AB" w:rsidRPr="001A765B">
        <w:t>c</w:t>
      </w:r>
      <w:r w:rsidR="00E26F9D" w:rsidRPr="001A765B">
        <w:t>réer une communauté de spécialistes et de professionnels pour uniformiser les concepts et parvenir à une compréhension commune, ce qui profitera non seulement à l</w:t>
      </w:r>
      <w:r w:rsidR="00133C7C" w:rsidRPr="001A765B">
        <w:t>'</w:t>
      </w:r>
      <w:r w:rsidR="00E26F9D" w:rsidRPr="001A765B">
        <w:t>UIT en tant que cadre de normalisation, mais aussi à la communauté dans son ensemble</w:t>
      </w:r>
      <w:r w:rsidR="007D76AB" w:rsidRPr="001A765B">
        <w:t>;</w:t>
      </w:r>
    </w:p>
    <w:p w14:paraId="3BD2B734" w14:textId="30FED907" w:rsidR="00093013" w:rsidRPr="001A765B" w:rsidRDefault="00093013" w:rsidP="001070D3">
      <w:pPr>
        <w:pStyle w:val="enumlev1"/>
      </w:pPr>
      <w:r w:rsidRPr="001A765B">
        <w:t>e)</w:t>
      </w:r>
      <w:r w:rsidRPr="001A765B">
        <w:tab/>
      </w:r>
      <w:r w:rsidR="007D76AB" w:rsidRPr="001A765B">
        <w:t>i</w:t>
      </w:r>
      <w:r w:rsidRPr="001A765B">
        <w:t>dentifier les parties prenantes avec lesquelles l</w:t>
      </w:r>
      <w:r w:rsidR="00133C7C" w:rsidRPr="001A765B">
        <w:t>'</w:t>
      </w:r>
      <w:r w:rsidRPr="001A765B">
        <w:t>UIT</w:t>
      </w:r>
      <w:r w:rsidR="007D76AB" w:rsidRPr="001A765B">
        <w:t>-</w:t>
      </w:r>
      <w:r w:rsidRPr="001A765B">
        <w:t xml:space="preserve">T pourrait </w:t>
      </w:r>
      <w:r w:rsidR="00E26F9D" w:rsidRPr="001A765B">
        <w:t>collaborer, établir une liaison et des relations avec d</w:t>
      </w:r>
      <w:r w:rsidR="00133C7C" w:rsidRPr="001A765B">
        <w:t>'</w:t>
      </w:r>
      <w:r w:rsidR="00E26F9D" w:rsidRPr="001A765B">
        <w:t xml:space="preserve">autres organisations susceptibles de contribuer aux activités à mener préalablement au travail de normalisation et </w:t>
      </w:r>
      <w:r w:rsidRPr="001A765B">
        <w:t>déterminer les activités qui pourraient être menées collectivement ainsi que les prochaines étapes</w:t>
      </w:r>
      <w:r w:rsidR="007D76AB" w:rsidRPr="001A765B">
        <w:t>;</w:t>
      </w:r>
    </w:p>
    <w:p w14:paraId="2FF046A6" w14:textId="1E3EB3A6" w:rsidR="001070D3" w:rsidRPr="001A765B" w:rsidRDefault="00093013" w:rsidP="002C09B1">
      <w:pPr>
        <w:pStyle w:val="enumlev1"/>
      </w:pPr>
      <w:r w:rsidRPr="001A765B">
        <w:t>f)</w:t>
      </w:r>
      <w:r w:rsidRPr="001A765B">
        <w:tab/>
      </w:r>
      <w:r w:rsidR="007D76AB" w:rsidRPr="001A765B">
        <w:t>d</w:t>
      </w:r>
      <w:r w:rsidR="001070D3" w:rsidRPr="001A765B">
        <w:t>ynamiser la collaboration internationale, partager des connaissances et des bonnes pratiques et étudier les perspectives et les défis liés à l</w:t>
      </w:r>
      <w:r w:rsidR="00133C7C" w:rsidRPr="001A765B">
        <w:t>'</w:t>
      </w:r>
      <w:r w:rsidR="001070D3" w:rsidRPr="001A765B">
        <w:t>interopérabilité</w:t>
      </w:r>
      <w:r w:rsidR="007D76AB" w:rsidRPr="001A765B">
        <w:t>;</w:t>
      </w:r>
    </w:p>
    <w:p w14:paraId="100559EC" w14:textId="23522D54" w:rsidR="00093013" w:rsidRPr="001A765B" w:rsidRDefault="00093013" w:rsidP="002C09B1">
      <w:pPr>
        <w:pStyle w:val="enumlev1"/>
      </w:pPr>
      <w:r w:rsidRPr="001A765B">
        <w:t>g)</w:t>
      </w:r>
      <w:r w:rsidRPr="001A765B">
        <w:tab/>
      </w:r>
      <w:r w:rsidR="007D76AB" w:rsidRPr="001A765B">
        <w:t>o</w:t>
      </w:r>
      <w:r w:rsidR="00F16077" w:rsidRPr="001A765B">
        <w:t xml:space="preserve">ffrir </w:t>
      </w:r>
      <w:r w:rsidRPr="001A765B">
        <w:t>un cadre pour échanger des conclusions et pour faciliter le dialogue sur les incidences</w:t>
      </w:r>
      <w:r w:rsidR="001070D3" w:rsidRPr="001A765B">
        <w:t xml:space="preserve"> économiques,</w:t>
      </w:r>
      <w:r w:rsidRPr="001A765B">
        <w:t xml:space="preserve"> politiques et réglementaires </w:t>
      </w:r>
      <w:r w:rsidR="001070D3" w:rsidRPr="001A765B">
        <w:t>du métavers en lien avec les télécommunications/TIC.</w:t>
      </w:r>
    </w:p>
    <w:p w14:paraId="0371E991" w14:textId="658BD31F" w:rsidR="00093013" w:rsidRPr="001A765B" w:rsidRDefault="00093013" w:rsidP="002C09B1">
      <w:pPr>
        <w:pStyle w:val="Heading1"/>
      </w:pPr>
      <w:r w:rsidRPr="001A765B">
        <w:t>3</w:t>
      </w:r>
      <w:r w:rsidRPr="001A765B">
        <w:tab/>
      </w:r>
      <w:r w:rsidR="001070D3" w:rsidRPr="001A765B">
        <w:t>Tâches spécifiques et produits</w:t>
      </w:r>
    </w:p>
    <w:p w14:paraId="6E1FEABB" w14:textId="69C70D02" w:rsidR="001070D3" w:rsidRPr="001A765B" w:rsidRDefault="001070D3" w:rsidP="002C09B1">
      <w:r w:rsidRPr="001A765B">
        <w:t>Le Groupe spécialisé devrait en principe transmettre les résultats de ses travaux au GCNT à temps pour qu</w:t>
      </w:r>
      <w:r w:rsidR="00133C7C" w:rsidRPr="001A765B">
        <w:t>'</w:t>
      </w:r>
      <w:r w:rsidRPr="001A765B">
        <w:t>il les examine à sa réunion de janvier 2024 et y donne suite, selon qu</w:t>
      </w:r>
      <w:r w:rsidR="00133C7C" w:rsidRPr="001A765B">
        <w:t>'</w:t>
      </w:r>
      <w:r w:rsidRPr="001A765B">
        <w:t>il conviendra (par</w:t>
      </w:r>
      <w:r w:rsidR="00F16077" w:rsidRPr="001A765B">
        <w:t> </w:t>
      </w:r>
      <w:r w:rsidRPr="001A765B">
        <w:t>exemple, transmission aux CE pour qu</w:t>
      </w:r>
      <w:r w:rsidR="00133C7C" w:rsidRPr="001A765B">
        <w:t>'</w:t>
      </w:r>
      <w:r w:rsidRPr="001A765B">
        <w:t>elles les en tiennent compte lorsqu</w:t>
      </w:r>
      <w:r w:rsidR="00133C7C" w:rsidRPr="001A765B">
        <w:t>'</w:t>
      </w:r>
      <w:r w:rsidRPr="001A765B">
        <w:t>elles commencent de nouveaux travaux).</w:t>
      </w:r>
    </w:p>
    <w:p w14:paraId="0BE238D3" w14:textId="6FD1AF70" w:rsidR="001070D3" w:rsidRPr="001A765B" w:rsidRDefault="00093013" w:rsidP="002C09B1">
      <w:pPr>
        <w:pStyle w:val="enumlev1"/>
      </w:pPr>
      <w:r w:rsidRPr="001A765B">
        <w:t>a)</w:t>
      </w:r>
      <w:r w:rsidRPr="001A765B">
        <w:tab/>
      </w:r>
      <w:r w:rsidR="001070D3" w:rsidRPr="001A765B">
        <w:t>Élaborer des produits portant sur les définitions et la terminologie utilisées pour les travaux, les cas d</w:t>
      </w:r>
      <w:r w:rsidR="00133C7C" w:rsidRPr="001A765B">
        <w:t>'</w:t>
      </w:r>
      <w:r w:rsidR="001070D3" w:rsidRPr="001A765B">
        <w:t>utilisation et les exigences</w:t>
      </w:r>
      <w:r w:rsidR="00450F83" w:rsidRPr="001A765B">
        <w:t>.</w:t>
      </w:r>
    </w:p>
    <w:p w14:paraId="6A0C4A2F" w14:textId="7B2C1379" w:rsidR="00093013" w:rsidRPr="001A765B" w:rsidRDefault="00093013" w:rsidP="00450F83">
      <w:pPr>
        <w:pStyle w:val="enumlev1"/>
      </w:pPr>
      <w:r w:rsidRPr="001A765B">
        <w:t>b)</w:t>
      </w:r>
      <w:r w:rsidRPr="001A765B">
        <w:tab/>
      </w:r>
      <w:r w:rsidR="00450F83" w:rsidRPr="001A765B">
        <w:t>Élaborer des produits comprenant des lignes directrices et des recueils de bonnes pratiques, y compris une analyse des lacunes et une feuille de route pour les activités à mener avant le travail de normalisation</w:t>
      </w:r>
      <w:r w:rsidRPr="001A765B">
        <w:t>.</w:t>
      </w:r>
    </w:p>
    <w:p w14:paraId="68ED6CF6" w14:textId="1F4E3146" w:rsidR="00450F83" w:rsidRPr="001A765B" w:rsidRDefault="00093013" w:rsidP="002C09B1">
      <w:pPr>
        <w:pStyle w:val="enumlev1"/>
      </w:pPr>
      <w:r w:rsidRPr="001A765B">
        <w:t>c)</w:t>
      </w:r>
      <w:r w:rsidRPr="001A765B">
        <w:tab/>
      </w:r>
      <w:r w:rsidR="00450F83" w:rsidRPr="001A765B">
        <w:t>Élaborer des produits portant les cadres techniques et l</w:t>
      </w:r>
      <w:r w:rsidR="00133C7C" w:rsidRPr="001A765B">
        <w:t>'</w:t>
      </w:r>
      <w:r w:rsidR="00450F83" w:rsidRPr="001A765B">
        <w:t>architecture, compte tenu des exigences et approches en matière de sécurité, de la protection des informations d</w:t>
      </w:r>
      <w:r w:rsidR="00133C7C" w:rsidRPr="001A765B">
        <w:t>'</w:t>
      </w:r>
      <w:r w:rsidR="00450F83" w:rsidRPr="001A765B">
        <w:t>identification personnelle et des principes de conception pour satisfaire aux exigences en matière d</w:t>
      </w:r>
      <w:r w:rsidR="00133C7C" w:rsidRPr="001A765B">
        <w:t>'</w:t>
      </w:r>
      <w:r w:rsidR="00450F83" w:rsidRPr="001A765B">
        <w:t>accessibilité.</w:t>
      </w:r>
    </w:p>
    <w:p w14:paraId="7A723C79" w14:textId="4310CAA6" w:rsidR="00450F83" w:rsidRPr="001A765B" w:rsidRDefault="00093013" w:rsidP="002C09B1">
      <w:pPr>
        <w:pStyle w:val="enumlev1"/>
      </w:pPr>
      <w:r w:rsidRPr="001A765B">
        <w:t>d)</w:t>
      </w:r>
      <w:r w:rsidRPr="001A765B">
        <w:tab/>
      </w:r>
      <w:r w:rsidR="00450F83" w:rsidRPr="001A765B">
        <w:t>Organiser et participer à des ateliers pour partager des connaissances et des données d</w:t>
      </w:r>
      <w:r w:rsidR="00133C7C" w:rsidRPr="001A765B">
        <w:t>'</w:t>
      </w:r>
      <w:r w:rsidR="00450F83" w:rsidRPr="001A765B">
        <w:t>expérience avec un large éventail de spécialistes et de parties prenantes et, également, profiter de leurs connaissances et de leur expérience.</w:t>
      </w:r>
    </w:p>
    <w:p w14:paraId="7ADCED57" w14:textId="19F09283" w:rsidR="00450F83" w:rsidRPr="001A765B" w:rsidRDefault="00093013" w:rsidP="002C09B1">
      <w:pPr>
        <w:pStyle w:val="enumlev1"/>
      </w:pPr>
      <w:r w:rsidRPr="001A765B">
        <w:t>e)</w:t>
      </w:r>
      <w:r w:rsidRPr="001A765B">
        <w:tab/>
      </w:r>
      <w:r w:rsidR="00450F83" w:rsidRPr="001A765B">
        <w:t>À la fin de son mandat, fournir un rapport final et un ensemble complet de produits au</w:t>
      </w:r>
      <w:r w:rsidR="00F16077" w:rsidRPr="001A765B">
        <w:t> </w:t>
      </w:r>
      <w:r w:rsidR="00450F83" w:rsidRPr="001A765B">
        <w:t>GCNT.</w:t>
      </w:r>
    </w:p>
    <w:p w14:paraId="5350CF02" w14:textId="2FDC3983" w:rsidR="00093013" w:rsidRPr="001A765B" w:rsidRDefault="00093013" w:rsidP="002C09B1">
      <w:pPr>
        <w:pStyle w:val="Heading1"/>
      </w:pPr>
      <w:r w:rsidRPr="001A765B">
        <w:lastRenderedPageBreak/>
        <w:t>4</w:t>
      </w:r>
      <w:r w:rsidRPr="001A765B">
        <w:tab/>
        <w:t>Relations</w:t>
      </w:r>
    </w:p>
    <w:p w14:paraId="13314A42" w14:textId="0B3AB882" w:rsidR="00093013" w:rsidRPr="001A765B" w:rsidRDefault="00093013" w:rsidP="005B7C9B">
      <w:r w:rsidRPr="001A765B">
        <w:t xml:space="preserve">Le Groupe </w:t>
      </w:r>
      <w:r w:rsidR="00450F83" w:rsidRPr="001A765B">
        <w:t>spécialisé</w:t>
      </w:r>
      <w:r w:rsidRPr="001A765B">
        <w:t xml:space="preserve"> </w:t>
      </w:r>
      <w:r w:rsidR="005B7C9B" w:rsidRPr="001A765B">
        <w:t>mènera ses travaux dans le cadre de réunions tenues en même temps et au même endroit que d</w:t>
      </w:r>
      <w:r w:rsidR="00133C7C" w:rsidRPr="001A765B">
        <w:t>'</w:t>
      </w:r>
      <w:r w:rsidR="005B7C9B" w:rsidRPr="001A765B">
        <w:t>autres réunions des commissions d</w:t>
      </w:r>
      <w:r w:rsidR="00133C7C" w:rsidRPr="001A765B">
        <w:t>'</w:t>
      </w:r>
      <w:r w:rsidR="005B7C9B" w:rsidRPr="001A765B">
        <w:t>études de l</w:t>
      </w:r>
      <w:r w:rsidR="00133C7C" w:rsidRPr="001A765B">
        <w:t>'</w:t>
      </w:r>
      <w:r w:rsidR="005B7C9B" w:rsidRPr="001A765B">
        <w:t>UIT-T concernées, dans la mesure du possible.</w:t>
      </w:r>
      <w:r w:rsidRPr="001A765B">
        <w:t xml:space="preserve"> </w:t>
      </w:r>
      <w:r w:rsidR="005B7C9B" w:rsidRPr="001A765B">
        <w:t>En outre, i</w:t>
      </w:r>
      <w:r w:rsidRPr="001A765B">
        <w:t>l établira et entretiendra des relations de collaboration en fonction des tâches avec d</w:t>
      </w:r>
      <w:r w:rsidR="00133C7C" w:rsidRPr="001A765B">
        <w:t>'</w:t>
      </w:r>
      <w:r w:rsidRPr="001A765B">
        <w:t xml:space="preserve">autres </w:t>
      </w:r>
      <w:r w:rsidR="005B7C9B" w:rsidRPr="001A765B">
        <w:t>partenaires.</w:t>
      </w:r>
    </w:p>
    <w:p w14:paraId="77FE09B7" w14:textId="5980D148" w:rsidR="00093013" w:rsidRPr="001A765B" w:rsidRDefault="00960F70" w:rsidP="002C09B1">
      <w:r w:rsidRPr="001A765B">
        <w:t xml:space="preserve">Ce Groupe spécialisé travaillera en collaboration </w:t>
      </w:r>
      <w:r w:rsidR="005B7C9B" w:rsidRPr="001A765B">
        <w:t>les entités suivantes:</w:t>
      </w:r>
    </w:p>
    <w:p w14:paraId="0F58BFFA" w14:textId="2A49BEA7" w:rsidR="00960F70" w:rsidRPr="001A765B" w:rsidRDefault="00960F70" w:rsidP="002C09B1">
      <w:pPr>
        <w:pStyle w:val="enumlev1"/>
      </w:pPr>
      <w:r w:rsidRPr="001A765B">
        <w:t>–</w:t>
      </w:r>
      <w:r w:rsidRPr="001A765B">
        <w:tab/>
        <w:t>CE 2 de l</w:t>
      </w:r>
      <w:r w:rsidR="00133C7C" w:rsidRPr="001A765B">
        <w:t>'</w:t>
      </w:r>
      <w:r w:rsidRPr="001A765B">
        <w:t>UIT-T – Aspects opérationnels</w:t>
      </w:r>
    </w:p>
    <w:p w14:paraId="020A851A" w14:textId="41E5E59F" w:rsidR="00960F70" w:rsidRPr="001A765B" w:rsidRDefault="00960F70" w:rsidP="002C09B1">
      <w:pPr>
        <w:pStyle w:val="enumlev1"/>
      </w:pPr>
      <w:r w:rsidRPr="001A765B">
        <w:t>–</w:t>
      </w:r>
      <w:r w:rsidRPr="001A765B">
        <w:tab/>
        <w:t>CE 3 de l</w:t>
      </w:r>
      <w:r w:rsidR="00133C7C" w:rsidRPr="001A765B">
        <w:t>'</w:t>
      </w:r>
      <w:r w:rsidRPr="001A765B">
        <w:t>UIT-T – Questions de politique générale et d</w:t>
      </w:r>
      <w:r w:rsidR="00133C7C" w:rsidRPr="001A765B">
        <w:t>'</w:t>
      </w:r>
      <w:r w:rsidRPr="001A765B">
        <w:t>économie</w:t>
      </w:r>
    </w:p>
    <w:p w14:paraId="024E9C7D" w14:textId="797DB260" w:rsidR="00960F70" w:rsidRPr="001A765B" w:rsidRDefault="00960F70" w:rsidP="002C09B1">
      <w:pPr>
        <w:pStyle w:val="enumlev1"/>
      </w:pPr>
      <w:r w:rsidRPr="001A765B">
        <w:t>–</w:t>
      </w:r>
      <w:r w:rsidRPr="001A765B">
        <w:tab/>
        <w:t>CE 5 de l</w:t>
      </w:r>
      <w:r w:rsidR="00133C7C" w:rsidRPr="001A765B">
        <w:t>'</w:t>
      </w:r>
      <w:r w:rsidRPr="001A765B">
        <w:t>UIT-T – Champs électromagnétiques, environnement, lutte contre les changements climatiques, passage durable au tout numérique et économie circulaire</w:t>
      </w:r>
    </w:p>
    <w:p w14:paraId="5B2E9B05" w14:textId="4F233DB7" w:rsidR="00960F70" w:rsidRPr="001A765B" w:rsidRDefault="00960F70" w:rsidP="002C09B1">
      <w:pPr>
        <w:pStyle w:val="enumlev1"/>
      </w:pPr>
      <w:r w:rsidRPr="001A765B">
        <w:t>–</w:t>
      </w:r>
      <w:r w:rsidRPr="001A765B">
        <w:tab/>
        <w:t>CE 9 de l</w:t>
      </w:r>
      <w:r w:rsidR="00133C7C" w:rsidRPr="001A765B">
        <w:t>'</w:t>
      </w:r>
      <w:r w:rsidRPr="001A765B">
        <w:t>UIT-T – Réseaux câblés à large bande et télévision</w:t>
      </w:r>
    </w:p>
    <w:p w14:paraId="1A62D4BB" w14:textId="66310FD9" w:rsidR="00960F70" w:rsidRPr="001A765B" w:rsidRDefault="00960F70" w:rsidP="002C09B1">
      <w:pPr>
        <w:pStyle w:val="enumlev1"/>
      </w:pPr>
      <w:r w:rsidRPr="001A765B">
        <w:t>–</w:t>
      </w:r>
      <w:r w:rsidRPr="001A765B">
        <w:tab/>
        <w:t>CE 11 de l</w:t>
      </w:r>
      <w:r w:rsidR="00133C7C" w:rsidRPr="001A765B">
        <w:t>'</w:t>
      </w:r>
      <w:r w:rsidRPr="001A765B">
        <w:t>UIT-T – Protocoles, tests et lutte contre la contrefaçon</w:t>
      </w:r>
    </w:p>
    <w:p w14:paraId="5ECD9310" w14:textId="1DB14DC9" w:rsidR="00960F70" w:rsidRPr="001A765B" w:rsidRDefault="00960F70" w:rsidP="002C09B1">
      <w:pPr>
        <w:pStyle w:val="enumlev1"/>
      </w:pPr>
      <w:r w:rsidRPr="001A765B">
        <w:t>–</w:t>
      </w:r>
      <w:r w:rsidRPr="001A765B">
        <w:tab/>
        <w:t>CE 12 de l</w:t>
      </w:r>
      <w:r w:rsidR="00133C7C" w:rsidRPr="001A765B">
        <w:t>'</w:t>
      </w:r>
      <w:r w:rsidRPr="001A765B">
        <w:t>UIT-T – Qualité de fonctionnement, qualité de service et qualité d</w:t>
      </w:r>
      <w:r w:rsidR="00133C7C" w:rsidRPr="001A765B">
        <w:t>'</w:t>
      </w:r>
      <w:r w:rsidRPr="001A765B">
        <w:t>expérience</w:t>
      </w:r>
    </w:p>
    <w:p w14:paraId="19FE0C89" w14:textId="72DEE71C" w:rsidR="00960F70" w:rsidRPr="001A765B" w:rsidRDefault="00960F70" w:rsidP="002C09B1">
      <w:pPr>
        <w:pStyle w:val="enumlev1"/>
      </w:pPr>
      <w:r w:rsidRPr="001A765B">
        <w:t>–</w:t>
      </w:r>
      <w:r w:rsidRPr="001A765B">
        <w:tab/>
        <w:t>CE 13 de l</w:t>
      </w:r>
      <w:r w:rsidR="00133C7C" w:rsidRPr="001A765B">
        <w:t>'</w:t>
      </w:r>
      <w:r w:rsidRPr="001A765B">
        <w:t>UIT-T – Réseaux futurs</w:t>
      </w:r>
    </w:p>
    <w:p w14:paraId="5012FF7F" w14:textId="63A8E375" w:rsidR="00960F70" w:rsidRPr="001A765B" w:rsidRDefault="00960F70" w:rsidP="002C09B1">
      <w:pPr>
        <w:pStyle w:val="enumlev1"/>
      </w:pPr>
      <w:r w:rsidRPr="001A765B">
        <w:t>–</w:t>
      </w:r>
      <w:r w:rsidRPr="001A765B">
        <w:tab/>
        <w:t>CE 15 de l</w:t>
      </w:r>
      <w:r w:rsidR="00133C7C" w:rsidRPr="001A765B">
        <w:t>'</w:t>
      </w:r>
      <w:r w:rsidRPr="001A765B">
        <w:t>UIT-T – Transport, accès et installations domestiques</w:t>
      </w:r>
    </w:p>
    <w:p w14:paraId="5ACCB4CA" w14:textId="47FFC72E" w:rsidR="00960F70" w:rsidRPr="001A765B" w:rsidRDefault="00960F70" w:rsidP="002C09B1">
      <w:pPr>
        <w:pStyle w:val="enumlev1"/>
      </w:pPr>
      <w:r w:rsidRPr="001A765B">
        <w:t>–</w:t>
      </w:r>
      <w:r w:rsidRPr="001A765B">
        <w:tab/>
        <w:t>CE 16 de l</w:t>
      </w:r>
      <w:r w:rsidR="00133C7C" w:rsidRPr="001A765B">
        <w:t>'</w:t>
      </w:r>
      <w:r w:rsidRPr="001A765B">
        <w:t>UIT-T – Multimédia et technologies numériques</w:t>
      </w:r>
    </w:p>
    <w:p w14:paraId="180552BC" w14:textId="33BF34BC" w:rsidR="00960F70" w:rsidRPr="001A765B" w:rsidRDefault="00960F70" w:rsidP="002C09B1">
      <w:pPr>
        <w:pStyle w:val="enumlev1"/>
      </w:pPr>
      <w:r w:rsidRPr="001A765B">
        <w:t>–</w:t>
      </w:r>
      <w:r w:rsidRPr="001A765B">
        <w:tab/>
        <w:t>CE 17 de l</w:t>
      </w:r>
      <w:r w:rsidR="00133C7C" w:rsidRPr="001A765B">
        <w:t>'</w:t>
      </w:r>
      <w:r w:rsidRPr="001A765B">
        <w:t>UIT-T – Sécurité</w:t>
      </w:r>
    </w:p>
    <w:p w14:paraId="717A0998" w14:textId="7460E430" w:rsidR="00093013" w:rsidRPr="001A765B" w:rsidRDefault="00960F70" w:rsidP="002C09B1">
      <w:pPr>
        <w:pStyle w:val="enumlev1"/>
      </w:pPr>
      <w:r w:rsidRPr="001A765B">
        <w:t>–</w:t>
      </w:r>
      <w:r w:rsidRPr="001A765B">
        <w:tab/>
        <w:t>CE 20 de l</w:t>
      </w:r>
      <w:r w:rsidR="00133C7C" w:rsidRPr="001A765B">
        <w:t>'</w:t>
      </w:r>
      <w:r w:rsidRPr="001A765B">
        <w:t>UIT-T – IoT, villes et communautés intelligentes</w:t>
      </w:r>
    </w:p>
    <w:p w14:paraId="2D0894FC" w14:textId="6C551894" w:rsidR="00093013" w:rsidRPr="001A765B" w:rsidRDefault="00960F70" w:rsidP="002C09B1">
      <w:r w:rsidRPr="001A765B">
        <w:t xml:space="preserve">Le Groupe </w:t>
      </w:r>
      <w:r w:rsidR="005B7C9B" w:rsidRPr="001A765B">
        <w:t>spécialisé</w:t>
      </w:r>
      <w:r w:rsidRPr="001A765B">
        <w:t xml:space="preserve"> travaillera également en collaboration (en fonction des besoins) avec d</w:t>
      </w:r>
      <w:r w:rsidR="00133C7C" w:rsidRPr="001A765B">
        <w:t>'</w:t>
      </w:r>
      <w:r w:rsidRPr="001A765B">
        <w:t>autres groupes et entités concernés, conformément à la Recommandation UIT-T A.7. Ces entités sont notamment les suivantes: gouvernements, organisations non gouvernementales (ONG), décideurs, organisations de normalisation, forums et consortiums du secteur privé, entreprises, établissements universitaires, instituts de recherche et autres organismes concernés</w:t>
      </w:r>
      <w:r w:rsidR="005B7C9B" w:rsidRPr="001A765B">
        <w:t>, au nombre desquelles:</w:t>
      </w:r>
    </w:p>
    <w:p w14:paraId="185A97DA" w14:textId="75FFCCB3" w:rsidR="00093013" w:rsidRPr="001A765B" w:rsidRDefault="00960F70" w:rsidP="002C09B1">
      <w:pPr>
        <w:pStyle w:val="enumlev1"/>
      </w:pPr>
      <w:r w:rsidRPr="001A765B">
        <w:t>–</w:t>
      </w:r>
      <w:r w:rsidRPr="001A765B">
        <w:tab/>
        <w:t>CE 5 de l</w:t>
      </w:r>
      <w:r w:rsidR="00133C7C" w:rsidRPr="001A765B">
        <w:t>'</w:t>
      </w:r>
      <w:r w:rsidRPr="001A765B">
        <w:t>UIT-R – Systèmes et réseaux pour les services fixe, mobile, de radiorepérage, d</w:t>
      </w:r>
      <w:r w:rsidR="00133C7C" w:rsidRPr="001A765B">
        <w:t>'</w:t>
      </w:r>
      <w:r w:rsidRPr="001A765B">
        <w:t>amateur et d</w:t>
      </w:r>
      <w:r w:rsidR="00133C7C" w:rsidRPr="001A765B">
        <w:t>'</w:t>
      </w:r>
      <w:r w:rsidRPr="001A765B">
        <w:t>amateur par satellite</w:t>
      </w:r>
    </w:p>
    <w:p w14:paraId="047E8A69" w14:textId="441F0B42" w:rsidR="00960F70" w:rsidRPr="001A765B" w:rsidRDefault="00960F70" w:rsidP="002C09B1">
      <w:pPr>
        <w:pStyle w:val="enumlev1"/>
      </w:pPr>
      <w:r w:rsidRPr="001A765B">
        <w:t>–</w:t>
      </w:r>
      <w:r w:rsidRPr="001A765B">
        <w:tab/>
        <w:t>CEI TC57 – Gestion des systèmes de puissance et échanges d</w:t>
      </w:r>
      <w:r w:rsidR="00133C7C" w:rsidRPr="001A765B">
        <w:t>'</w:t>
      </w:r>
      <w:r w:rsidRPr="001A765B">
        <w:t>informations associés – Sécurité des communications et des données – Partie 9: Gestion de clé de cybersécurité des équipements de système de puissance</w:t>
      </w:r>
    </w:p>
    <w:p w14:paraId="63396A3D" w14:textId="71F9A5E4" w:rsidR="00093013" w:rsidRPr="001A765B" w:rsidRDefault="004F29F5" w:rsidP="002C09B1">
      <w:r w:rsidRPr="001A765B">
        <w:t>–</w:t>
      </w:r>
      <w:r w:rsidRPr="001A765B">
        <w:tab/>
        <w:t>CEI TC65 – Mesure, commande et automation dans les processus industriels</w:t>
      </w:r>
    </w:p>
    <w:p w14:paraId="7C403313" w14:textId="29D56ADF" w:rsidR="004F29F5" w:rsidRPr="001A765B" w:rsidRDefault="004F29F5" w:rsidP="002C09B1">
      <w:pPr>
        <w:pStyle w:val="enumlev1"/>
      </w:pPr>
      <w:r w:rsidRPr="001A765B">
        <w:t>–</w:t>
      </w:r>
      <w:r w:rsidRPr="001A765B">
        <w:tab/>
        <w:t>CEI TC79 – Systèmes d</w:t>
      </w:r>
      <w:r w:rsidR="00133C7C" w:rsidRPr="001A765B">
        <w:t>'</w:t>
      </w:r>
      <w:r w:rsidRPr="001A765B">
        <w:t>alarme et de sécurité électroniques</w:t>
      </w:r>
    </w:p>
    <w:p w14:paraId="6790038F" w14:textId="3725BB2E" w:rsidR="004F29F5" w:rsidRPr="001A765B" w:rsidRDefault="004F29F5" w:rsidP="002C09B1">
      <w:pPr>
        <w:pStyle w:val="enumlev1"/>
      </w:pPr>
      <w:r w:rsidRPr="001A765B">
        <w:t>–</w:t>
      </w:r>
      <w:r w:rsidRPr="001A765B">
        <w:tab/>
        <w:t>CEI TC85 – Équipement de mesure des grandeurs électriques et électromagnétiques</w:t>
      </w:r>
    </w:p>
    <w:p w14:paraId="0144AE14" w14:textId="1A87B8A2" w:rsidR="004F29F5" w:rsidRPr="001A765B" w:rsidRDefault="004F29F5" w:rsidP="002C09B1">
      <w:pPr>
        <w:pStyle w:val="enumlev1"/>
      </w:pPr>
      <w:r w:rsidRPr="001A765B">
        <w:t>–</w:t>
      </w:r>
      <w:r w:rsidRPr="001A765B">
        <w:tab/>
        <w:t xml:space="preserve">CEI TC93 – </w:t>
      </w:r>
      <w:r w:rsidR="005B7C9B" w:rsidRPr="001A765B">
        <w:t>Automatisation de la conception</w:t>
      </w:r>
    </w:p>
    <w:p w14:paraId="2D3DFD53" w14:textId="5AA64021" w:rsidR="004F29F5" w:rsidRPr="001A765B" w:rsidRDefault="004F29F5" w:rsidP="002C09B1">
      <w:pPr>
        <w:pStyle w:val="enumlev1"/>
      </w:pPr>
      <w:r w:rsidRPr="001A765B">
        <w:t>–</w:t>
      </w:r>
      <w:r w:rsidRPr="001A765B">
        <w:tab/>
        <w:t>CEI TC100 – Systèmes et équipements audio, vidéo et services de données</w:t>
      </w:r>
    </w:p>
    <w:p w14:paraId="3AB73602" w14:textId="52C8DC2B" w:rsidR="004F29F5" w:rsidRPr="001A765B" w:rsidRDefault="004F29F5" w:rsidP="002C09B1">
      <w:pPr>
        <w:pStyle w:val="enumlev1"/>
      </w:pPr>
      <w:r w:rsidRPr="001A765B">
        <w:t>–</w:t>
      </w:r>
      <w:r w:rsidRPr="001A765B">
        <w:tab/>
        <w:t>CEI TC110 – Affichages électroniques</w:t>
      </w:r>
    </w:p>
    <w:p w14:paraId="51647343" w14:textId="79042EE1" w:rsidR="004F29F5" w:rsidRPr="001A765B" w:rsidRDefault="004F29F5" w:rsidP="002C09B1">
      <w:pPr>
        <w:pStyle w:val="enumlev1"/>
      </w:pPr>
      <w:r w:rsidRPr="001A765B">
        <w:t>–</w:t>
      </w:r>
      <w:r w:rsidRPr="001A765B">
        <w:tab/>
        <w:t>ISO/TC68/SC8 – Données de référence pour les services financiers</w:t>
      </w:r>
    </w:p>
    <w:p w14:paraId="077BEEAE" w14:textId="2E6E4666" w:rsidR="004F29F5" w:rsidRPr="001A765B" w:rsidRDefault="004F29F5" w:rsidP="002C09B1">
      <w:pPr>
        <w:pStyle w:val="enumlev1"/>
      </w:pPr>
      <w:r w:rsidRPr="001A765B">
        <w:t>–</w:t>
      </w:r>
      <w:r w:rsidRPr="001A765B">
        <w:tab/>
        <w:t>ISO/TC69 – Application des méthodes statistiques</w:t>
      </w:r>
    </w:p>
    <w:p w14:paraId="074BE572" w14:textId="13B6CBE3" w:rsidR="004F29F5" w:rsidRPr="001A765B" w:rsidRDefault="004F29F5" w:rsidP="002C09B1">
      <w:pPr>
        <w:pStyle w:val="enumlev1"/>
      </w:pPr>
      <w:r w:rsidRPr="001A765B">
        <w:t>–</w:t>
      </w:r>
      <w:r w:rsidRPr="001A765B">
        <w:tab/>
        <w:t xml:space="preserve">ISO/TC133 – Systèmes de tailles des vêtements – </w:t>
      </w:r>
      <w:r w:rsidR="000E718E" w:rsidRPr="001A765B">
        <w:t>D</w:t>
      </w:r>
      <w:r w:rsidRPr="001A765B">
        <w:t>ésignation des tailles, méthodes de mesure des tailles et essayage virtuel</w:t>
      </w:r>
    </w:p>
    <w:p w14:paraId="37311BCF" w14:textId="1F498A45" w:rsidR="004F29F5" w:rsidRPr="001A765B" w:rsidRDefault="004F29F5" w:rsidP="002C09B1">
      <w:pPr>
        <w:pStyle w:val="enumlev1"/>
      </w:pPr>
      <w:r w:rsidRPr="001A765B">
        <w:t>–</w:t>
      </w:r>
      <w:r w:rsidRPr="001A765B">
        <w:tab/>
        <w:t>ISO/TC184/SC4 – Données industrielles</w:t>
      </w:r>
    </w:p>
    <w:p w14:paraId="5BE10E8F" w14:textId="1574173E" w:rsidR="004F29F5" w:rsidRPr="001A765B" w:rsidRDefault="004F29F5" w:rsidP="002C09B1">
      <w:pPr>
        <w:pStyle w:val="enumlev1"/>
      </w:pPr>
      <w:r w:rsidRPr="001A765B">
        <w:t>–</w:t>
      </w:r>
      <w:r w:rsidRPr="001A765B">
        <w:tab/>
        <w:t>ISO/TC 307 –</w:t>
      </w:r>
      <w:r w:rsidR="00351805" w:rsidRPr="001A765B">
        <w:t xml:space="preserve"> C</w:t>
      </w:r>
      <w:r w:rsidRPr="001A765B">
        <w:t>haîne de blocs et technologies des registres distribués</w:t>
      </w:r>
    </w:p>
    <w:p w14:paraId="0D692D3B" w14:textId="73625561" w:rsidR="004F29F5" w:rsidRPr="001A765B" w:rsidRDefault="004F29F5" w:rsidP="002C09B1">
      <w:pPr>
        <w:pStyle w:val="enumlev1"/>
      </w:pPr>
      <w:r w:rsidRPr="001A765B">
        <w:lastRenderedPageBreak/>
        <w:t>–</w:t>
      </w:r>
      <w:r w:rsidRPr="001A765B">
        <w:tab/>
        <w:t>ISO/CEI JTC1</w:t>
      </w:r>
    </w:p>
    <w:p w14:paraId="5CD2B134" w14:textId="53D88E0B" w:rsidR="004F29F5" w:rsidRPr="001A765B" w:rsidRDefault="004F29F5" w:rsidP="002C09B1">
      <w:pPr>
        <w:pStyle w:val="enumlev1"/>
      </w:pPr>
      <w:r w:rsidRPr="001A765B">
        <w:t>–</w:t>
      </w:r>
      <w:r w:rsidRPr="001A765B">
        <w:tab/>
        <w:t>ISO/CEI JTC1/SC24/WG6 – Infographie, traitement de l</w:t>
      </w:r>
      <w:r w:rsidR="00133C7C" w:rsidRPr="001A765B">
        <w:t>'</w:t>
      </w:r>
      <w:r w:rsidRPr="001A765B">
        <w:t>image et représentation des données environnementales</w:t>
      </w:r>
    </w:p>
    <w:p w14:paraId="2850B92C" w14:textId="5441E0EB" w:rsidR="004F29F5" w:rsidRPr="001A765B" w:rsidRDefault="004F29F5" w:rsidP="002C09B1">
      <w:pPr>
        <w:pStyle w:val="enumlev1"/>
      </w:pPr>
      <w:r w:rsidRPr="001A765B">
        <w:t>–</w:t>
      </w:r>
      <w:r w:rsidRPr="001A765B">
        <w:tab/>
      </w:r>
      <w:r w:rsidR="00DF1055" w:rsidRPr="001A765B">
        <w:t xml:space="preserve">ISO/CEI </w:t>
      </w:r>
      <w:r w:rsidRPr="001A765B">
        <w:t>JTC1/SC27 –</w:t>
      </w:r>
      <w:r w:rsidR="00351805" w:rsidRPr="001A765B">
        <w:t xml:space="preserve"> S</w:t>
      </w:r>
      <w:r w:rsidR="00A75D66" w:rsidRPr="001A765B">
        <w:t>écurité de l</w:t>
      </w:r>
      <w:r w:rsidR="00133C7C" w:rsidRPr="001A765B">
        <w:t>'</w:t>
      </w:r>
      <w:r w:rsidR="00A75D66" w:rsidRPr="001A765B">
        <w:t>information, cybersécurité et protection de la vie privée</w:t>
      </w:r>
    </w:p>
    <w:p w14:paraId="3BDCA780" w14:textId="66ABE923" w:rsidR="004F29F5" w:rsidRPr="001A765B" w:rsidRDefault="004F29F5" w:rsidP="002C09B1">
      <w:pPr>
        <w:pStyle w:val="enumlev1"/>
      </w:pPr>
      <w:r w:rsidRPr="001A765B">
        <w:t>–</w:t>
      </w:r>
      <w:r w:rsidRPr="001A765B">
        <w:tab/>
      </w:r>
      <w:r w:rsidR="00DF1055" w:rsidRPr="001A765B">
        <w:t xml:space="preserve">ISO/CEI </w:t>
      </w:r>
      <w:r w:rsidRPr="001A765B">
        <w:t xml:space="preserve">JTC1/SC29 – </w:t>
      </w:r>
      <w:r w:rsidR="00A75D66" w:rsidRPr="001A765B">
        <w:t>Codage du son, de l</w:t>
      </w:r>
      <w:r w:rsidR="00133C7C" w:rsidRPr="001A765B">
        <w:t>'</w:t>
      </w:r>
      <w:r w:rsidR="00A75D66" w:rsidRPr="001A765B">
        <w:t>image, de l</w:t>
      </w:r>
      <w:r w:rsidR="00133C7C" w:rsidRPr="001A765B">
        <w:t>'</w:t>
      </w:r>
      <w:r w:rsidR="00A75D66" w:rsidRPr="001A765B">
        <w:t>information multimédia et hypermédia</w:t>
      </w:r>
    </w:p>
    <w:p w14:paraId="1B129D2A" w14:textId="4B322838" w:rsidR="004F29F5" w:rsidRPr="001A765B" w:rsidRDefault="004F29F5" w:rsidP="002C09B1">
      <w:pPr>
        <w:pStyle w:val="enumlev1"/>
      </w:pPr>
      <w:r w:rsidRPr="001A765B">
        <w:t>–</w:t>
      </w:r>
      <w:r w:rsidRPr="001A765B">
        <w:tab/>
      </w:r>
      <w:r w:rsidR="00DF1055" w:rsidRPr="001A765B">
        <w:t xml:space="preserve">ISO/CEI </w:t>
      </w:r>
      <w:r w:rsidRPr="001A765B">
        <w:t xml:space="preserve">JTC1/SC38 – </w:t>
      </w:r>
      <w:r w:rsidR="000E718E" w:rsidRPr="001A765B">
        <w:t>I</w:t>
      </w:r>
      <w:r w:rsidR="00A75D66" w:rsidRPr="001A765B">
        <w:t>nformatique en nuage dans le cadre des applications de cybergouvernance</w:t>
      </w:r>
    </w:p>
    <w:p w14:paraId="3424088F" w14:textId="58A79165" w:rsidR="004F29F5" w:rsidRPr="001A765B" w:rsidRDefault="004F29F5" w:rsidP="002C09B1">
      <w:pPr>
        <w:pStyle w:val="enumlev1"/>
      </w:pPr>
      <w:r w:rsidRPr="001A765B">
        <w:t>–</w:t>
      </w:r>
      <w:r w:rsidRPr="001A765B">
        <w:tab/>
      </w:r>
      <w:r w:rsidR="00DF1055" w:rsidRPr="001A765B">
        <w:t xml:space="preserve">ISO/CEI </w:t>
      </w:r>
      <w:r w:rsidRPr="001A765B">
        <w:t xml:space="preserve">JTC1/SC41 – </w:t>
      </w:r>
      <w:r w:rsidR="00A75D66" w:rsidRPr="001A765B">
        <w:t>Internet des objets et technologies connexes</w:t>
      </w:r>
    </w:p>
    <w:p w14:paraId="6569278B" w14:textId="47ADF4AA" w:rsidR="004F29F5" w:rsidRPr="001A765B" w:rsidRDefault="004F29F5" w:rsidP="002C09B1">
      <w:pPr>
        <w:pStyle w:val="enumlev1"/>
      </w:pPr>
      <w:r w:rsidRPr="001A765B">
        <w:t>–</w:t>
      </w:r>
      <w:r w:rsidRPr="001A765B">
        <w:tab/>
      </w:r>
      <w:r w:rsidR="00DF1055" w:rsidRPr="001A765B">
        <w:t xml:space="preserve">ISO/CEI </w:t>
      </w:r>
      <w:r w:rsidRPr="001A765B">
        <w:t xml:space="preserve">JTC1/SC42 – </w:t>
      </w:r>
      <w:r w:rsidR="00A75D66" w:rsidRPr="001A765B">
        <w:t>Intelligence artificielle</w:t>
      </w:r>
    </w:p>
    <w:p w14:paraId="4D4D2D5F" w14:textId="3998B009" w:rsidR="00C23216" w:rsidRPr="001A765B" w:rsidRDefault="004F29F5" w:rsidP="00C23216">
      <w:pPr>
        <w:pStyle w:val="enumlev1"/>
      </w:pPr>
      <w:r w:rsidRPr="001A765B">
        <w:t>–</w:t>
      </w:r>
      <w:r w:rsidRPr="001A765B">
        <w:tab/>
      </w:r>
      <w:r w:rsidR="00DF1055" w:rsidRPr="001A765B">
        <w:t xml:space="preserve">ISO/CEI </w:t>
      </w:r>
      <w:r w:rsidRPr="001A765B">
        <w:t xml:space="preserve">JTC1/SC43 – </w:t>
      </w:r>
      <w:r w:rsidR="00C23216" w:rsidRPr="001A765B">
        <w:t>Interfaces cerveau-ordinateur</w:t>
      </w:r>
    </w:p>
    <w:p w14:paraId="1398BB56" w14:textId="6EBAF1EA" w:rsidR="005B7C9B" w:rsidRPr="001A765B" w:rsidRDefault="004F29F5" w:rsidP="002C09B1">
      <w:pPr>
        <w:pStyle w:val="enumlev1"/>
      </w:pPr>
      <w:r w:rsidRPr="001A765B">
        <w:t>–</w:t>
      </w:r>
      <w:r w:rsidRPr="001A765B">
        <w:tab/>
      </w:r>
      <w:r w:rsidR="005B7C9B" w:rsidRPr="001A765B">
        <w:t>Groupe mixte ISO/CEI d</w:t>
      </w:r>
      <w:r w:rsidR="00133C7C" w:rsidRPr="001A765B">
        <w:t>'</w:t>
      </w:r>
      <w:r w:rsidR="005B7C9B" w:rsidRPr="001A765B">
        <w:t>évaluation de la normalisation (JSEG) sur le métavers</w:t>
      </w:r>
    </w:p>
    <w:p w14:paraId="7D3EDECE" w14:textId="069BEA3E" w:rsidR="00A75D66" w:rsidRPr="001A765B" w:rsidRDefault="00A75D66" w:rsidP="002C09B1">
      <w:pPr>
        <w:pStyle w:val="enumlev1"/>
      </w:pPr>
      <w:r w:rsidRPr="001A765B">
        <w:t>–</w:t>
      </w:r>
      <w:r w:rsidRPr="001A765B">
        <w:tab/>
      </w:r>
      <w:r w:rsidR="005B7C9B" w:rsidRPr="001A765B">
        <w:t>Commission IEEE-SA de normalisation du métavers</w:t>
      </w:r>
    </w:p>
    <w:p w14:paraId="6FF67D3E" w14:textId="1A28E94E" w:rsidR="00A75D66" w:rsidRPr="001A765B" w:rsidRDefault="00A75D66" w:rsidP="002C09B1">
      <w:pPr>
        <w:pStyle w:val="enumlev1"/>
      </w:pPr>
      <w:r w:rsidRPr="001A765B">
        <w:t>–</w:t>
      </w:r>
      <w:r w:rsidRPr="001A765B">
        <w:tab/>
      </w:r>
      <w:r w:rsidR="00A9533D" w:rsidRPr="001A765B">
        <w:t>Commission d</w:t>
      </w:r>
      <w:r w:rsidR="00133C7C" w:rsidRPr="001A765B">
        <w:t>'</w:t>
      </w:r>
      <w:r w:rsidR="00A9533D" w:rsidRPr="001A765B">
        <w:t>études sur le métavers (MSG) du Comité de la normalisation du Conseil sur les activités de normalisation de l</w:t>
      </w:r>
      <w:r w:rsidR="00133C7C" w:rsidRPr="001A765B">
        <w:t>'</w:t>
      </w:r>
      <w:r w:rsidRPr="001A765B">
        <w:t>IEEE Computer Society</w:t>
      </w:r>
    </w:p>
    <w:p w14:paraId="5E2FAFD4" w14:textId="5DB53291" w:rsidR="00A75D66" w:rsidRPr="001A765B" w:rsidRDefault="00A75D66" w:rsidP="002C09B1">
      <w:pPr>
        <w:pStyle w:val="enumlev1"/>
      </w:pPr>
      <w:r w:rsidRPr="001A765B">
        <w:t>–</w:t>
      </w:r>
      <w:r w:rsidRPr="001A765B">
        <w:tab/>
      </w:r>
      <w:r w:rsidR="00A9533D" w:rsidRPr="001A765B">
        <w:t xml:space="preserve">Communauté du </w:t>
      </w:r>
      <w:r w:rsidRPr="001A765B">
        <w:t xml:space="preserve">W3C </w:t>
      </w:r>
      <w:r w:rsidR="00A9533D" w:rsidRPr="001A765B">
        <w:t>sur l</w:t>
      </w:r>
      <w:r w:rsidR="00133C7C" w:rsidRPr="001A765B">
        <w:t>'</w:t>
      </w:r>
      <w:r w:rsidR="00A9533D" w:rsidRPr="001A765B">
        <w:t>interopérabilité du métavers (ouvert) (</w:t>
      </w:r>
      <w:r w:rsidRPr="001A765B">
        <w:t>OMI)</w:t>
      </w:r>
    </w:p>
    <w:p w14:paraId="66793F0A" w14:textId="77777777" w:rsidR="00A75D66" w:rsidRPr="001A765B" w:rsidRDefault="00A75D66" w:rsidP="002C09B1">
      <w:pPr>
        <w:pStyle w:val="enumlev1"/>
      </w:pPr>
      <w:r w:rsidRPr="001A765B">
        <w:t>–</w:t>
      </w:r>
      <w:r w:rsidRPr="001A765B">
        <w:tab/>
        <w:t>IETF</w:t>
      </w:r>
    </w:p>
    <w:p w14:paraId="54745978" w14:textId="1D34C339" w:rsidR="00A75D66" w:rsidRPr="001A765B" w:rsidRDefault="00A75D66" w:rsidP="002C09B1">
      <w:pPr>
        <w:pStyle w:val="enumlev1"/>
      </w:pPr>
      <w:r w:rsidRPr="001A765B">
        <w:t>–</w:t>
      </w:r>
      <w:r w:rsidRPr="001A765B">
        <w:tab/>
      </w:r>
      <w:r w:rsidR="006C283E" w:rsidRPr="001A765B">
        <w:t>Groupe ISG de l</w:t>
      </w:r>
      <w:r w:rsidR="00133C7C" w:rsidRPr="001A765B">
        <w:t>'</w:t>
      </w:r>
      <w:r w:rsidR="006C283E" w:rsidRPr="001A765B">
        <w:t>ETSI sur le cadre de réalité augmentée</w:t>
      </w:r>
    </w:p>
    <w:p w14:paraId="0E992D95" w14:textId="77777777" w:rsidR="00A75D66" w:rsidRPr="001A765B" w:rsidRDefault="00A75D66" w:rsidP="002C09B1">
      <w:pPr>
        <w:pStyle w:val="enumlev1"/>
      </w:pPr>
      <w:r w:rsidRPr="001A765B">
        <w:t>–</w:t>
      </w:r>
      <w:r w:rsidRPr="001A765B">
        <w:tab/>
        <w:t>3GPP SA</w:t>
      </w:r>
    </w:p>
    <w:p w14:paraId="6257AA70" w14:textId="35CAA57C" w:rsidR="004F29F5" w:rsidRPr="001A765B" w:rsidRDefault="00A75D66" w:rsidP="002C09B1">
      <w:pPr>
        <w:pStyle w:val="enumlev1"/>
      </w:pPr>
      <w:r w:rsidRPr="001A765B">
        <w:t>–</w:t>
      </w:r>
      <w:r w:rsidRPr="001A765B">
        <w:tab/>
      </w:r>
      <w:r w:rsidR="006C283E" w:rsidRPr="001A765B">
        <w:t>Forum de normalisation du métavers</w:t>
      </w:r>
      <w:r w:rsidRPr="001A765B">
        <w:t xml:space="preserve"> (MSF)</w:t>
      </w:r>
    </w:p>
    <w:p w14:paraId="30D283E6" w14:textId="77777777" w:rsidR="00A75D66" w:rsidRPr="001A765B" w:rsidRDefault="00A75D66" w:rsidP="002C09B1">
      <w:pPr>
        <w:pStyle w:val="Heading1"/>
      </w:pPr>
      <w:r w:rsidRPr="001A765B">
        <w:t>5</w:t>
      </w:r>
      <w:r w:rsidRPr="001A765B">
        <w:tab/>
        <w:t>Structure</w:t>
      </w:r>
    </w:p>
    <w:p w14:paraId="171AE374" w14:textId="4E24495E" w:rsidR="00A75D66" w:rsidRPr="001A765B" w:rsidRDefault="00A75D66" w:rsidP="002C09B1">
      <w:r w:rsidRPr="001A765B">
        <w:t>Le Groupe spécialisé peut, si nécessaire, mettre en place des sous</w:t>
      </w:r>
      <w:r w:rsidR="00250717" w:rsidRPr="001A765B">
        <w:t>-</w:t>
      </w:r>
      <w:r w:rsidRPr="001A765B">
        <w:t>groupes.</w:t>
      </w:r>
    </w:p>
    <w:p w14:paraId="7D9484E5" w14:textId="77777777" w:rsidR="00A75D66" w:rsidRPr="001A765B" w:rsidRDefault="00A75D66" w:rsidP="002C09B1">
      <w:pPr>
        <w:pStyle w:val="Heading1"/>
      </w:pPr>
      <w:r w:rsidRPr="001A765B">
        <w:t>6</w:t>
      </w:r>
      <w:r w:rsidRPr="001A765B">
        <w:tab/>
        <w:t>Entité de rattachement</w:t>
      </w:r>
    </w:p>
    <w:p w14:paraId="45BB4864" w14:textId="7AB0C33B" w:rsidR="00A75D66" w:rsidRPr="001A765B" w:rsidRDefault="00A75D66" w:rsidP="002C09B1">
      <w:r w:rsidRPr="001A765B">
        <w:t>L</w:t>
      </w:r>
      <w:r w:rsidR="00133C7C" w:rsidRPr="001A765B">
        <w:t>'</w:t>
      </w:r>
      <w:r w:rsidRPr="001A765B">
        <w:t xml:space="preserve">entité de rattachement du Groupe spécialisé est </w:t>
      </w:r>
      <w:r w:rsidR="00250717" w:rsidRPr="001A765B">
        <w:t>le GCNT</w:t>
      </w:r>
      <w:r w:rsidRPr="001A765B">
        <w:t>.</w:t>
      </w:r>
    </w:p>
    <w:p w14:paraId="3CD50044" w14:textId="77777777" w:rsidR="00A75D66" w:rsidRPr="001A765B" w:rsidRDefault="00A75D66" w:rsidP="002C09B1">
      <w:pPr>
        <w:pStyle w:val="Heading1"/>
      </w:pPr>
      <w:r w:rsidRPr="001A765B">
        <w:t>7</w:t>
      </w:r>
      <w:r w:rsidRPr="001A765B">
        <w:tab/>
        <w:t>Équipe de direction</w:t>
      </w:r>
    </w:p>
    <w:p w14:paraId="527805AC" w14:textId="77777777" w:rsidR="00A75D66" w:rsidRPr="001A765B" w:rsidRDefault="00A75D66" w:rsidP="002C09B1">
      <w:r w:rsidRPr="001A765B">
        <w:t>Voir le § 2.3 de la Recommandation UIT-T A.7.</w:t>
      </w:r>
    </w:p>
    <w:p w14:paraId="617E7093" w14:textId="77777777" w:rsidR="00A75D66" w:rsidRPr="001A765B" w:rsidRDefault="00A75D66" w:rsidP="002C09B1">
      <w:pPr>
        <w:pStyle w:val="Heading1"/>
      </w:pPr>
      <w:r w:rsidRPr="001A765B">
        <w:t>8</w:t>
      </w:r>
      <w:r w:rsidRPr="001A765B">
        <w:tab/>
        <w:t>Participation</w:t>
      </w:r>
    </w:p>
    <w:p w14:paraId="4AB1901E" w14:textId="018D973D" w:rsidR="00A75D66" w:rsidRPr="001A765B" w:rsidRDefault="00A75D66" w:rsidP="002C09B1">
      <w:r w:rsidRPr="001A765B">
        <w:t>Voir le § 3 de la Recommandation UIT-T A.7. Une liste des participants sera tenue à jour pour référence et transmise à l</w:t>
      </w:r>
      <w:r w:rsidR="00133C7C" w:rsidRPr="001A765B">
        <w:t>'</w:t>
      </w:r>
      <w:r w:rsidRPr="001A765B">
        <w:t>entité de rattachement.</w:t>
      </w:r>
    </w:p>
    <w:p w14:paraId="18F2AB23" w14:textId="77777777" w:rsidR="00A75D66" w:rsidRPr="001A765B" w:rsidRDefault="00A75D66" w:rsidP="002C09B1">
      <w:pPr>
        <w:pStyle w:val="Heading1"/>
      </w:pPr>
      <w:r w:rsidRPr="001A765B">
        <w:t>9</w:t>
      </w:r>
      <w:r w:rsidRPr="001A765B">
        <w:tab/>
        <w:t>Appui administratif</w:t>
      </w:r>
    </w:p>
    <w:p w14:paraId="309C2832" w14:textId="77777777" w:rsidR="00A75D66" w:rsidRPr="001A765B" w:rsidRDefault="00A75D66" w:rsidP="002C09B1">
      <w:r w:rsidRPr="001A765B">
        <w:t>Voir le § 5 de la Recommandation UIT-T A.7.</w:t>
      </w:r>
    </w:p>
    <w:p w14:paraId="71BECEC4" w14:textId="77777777" w:rsidR="00A75D66" w:rsidRPr="001A765B" w:rsidRDefault="00A75D66" w:rsidP="002C09B1">
      <w:pPr>
        <w:pStyle w:val="Heading1"/>
      </w:pPr>
      <w:r w:rsidRPr="001A765B">
        <w:t>10</w:t>
      </w:r>
      <w:r w:rsidRPr="001A765B">
        <w:tab/>
        <w:t>Aspects financiers généraux</w:t>
      </w:r>
    </w:p>
    <w:p w14:paraId="400F35C8" w14:textId="77777777" w:rsidR="00A75D66" w:rsidRPr="001A765B" w:rsidRDefault="00A75D66" w:rsidP="002C09B1">
      <w:r w:rsidRPr="001A765B">
        <w:t>Voir les § 4 et 10.2 de la Recommandation UIT-T A.7.</w:t>
      </w:r>
    </w:p>
    <w:p w14:paraId="228F07CF" w14:textId="77777777" w:rsidR="00A75D66" w:rsidRPr="001A765B" w:rsidRDefault="00A75D66" w:rsidP="002C09B1">
      <w:pPr>
        <w:pStyle w:val="Heading1"/>
      </w:pPr>
      <w:r w:rsidRPr="001A765B">
        <w:lastRenderedPageBreak/>
        <w:t>11</w:t>
      </w:r>
      <w:r w:rsidRPr="001A765B">
        <w:tab/>
        <w:t>Réunions</w:t>
      </w:r>
    </w:p>
    <w:p w14:paraId="642B54FB" w14:textId="179DCF63" w:rsidR="00A75D66" w:rsidRPr="001A765B" w:rsidRDefault="00A75D66" w:rsidP="002C09B1">
      <w:r w:rsidRPr="001A765B">
        <w:t>Le Groupe spécialisé tiendra des réunions régulières. La fréquence et le lieu des réunions seront déterminés par l</w:t>
      </w:r>
      <w:r w:rsidR="00133C7C" w:rsidRPr="001A765B">
        <w:t>'</w:t>
      </w:r>
      <w:r w:rsidRPr="001A765B">
        <w:t>équipe de direction du Groupe spécialisé. Le calendrier général des réunions sera annoncé après l</w:t>
      </w:r>
      <w:r w:rsidR="00133C7C" w:rsidRPr="001A765B">
        <w:t>'</w:t>
      </w:r>
      <w:r w:rsidRPr="001A765B">
        <w:t>approbation du mandat. Le Groupe spécialisé utilisera les outils de collaboration à distance dans la mesure du possible.</w:t>
      </w:r>
    </w:p>
    <w:p w14:paraId="6D6817A5" w14:textId="09D9E985" w:rsidR="00A75D66" w:rsidRPr="001A765B" w:rsidRDefault="00A75D66" w:rsidP="002C09B1">
      <w:r w:rsidRPr="001A765B">
        <w:t>Les dates des réunions seront annoncées par voie électronique (courrier électronique, site web, etc.) au moins quatre semaines à l</w:t>
      </w:r>
      <w:r w:rsidR="00133C7C" w:rsidRPr="001A765B">
        <w:t>'</w:t>
      </w:r>
      <w:r w:rsidRPr="001A765B">
        <w:t>avance.</w:t>
      </w:r>
    </w:p>
    <w:p w14:paraId="4D5FF573" w14:textId="77777777" w:rsidR="00A75D66" w:rsidRPr="001A765B" w:rsidRDefault="00A75D66" w:rsidP="002C09B1">
      <w:pPr>
        <w:pStyle w:val="Heading1"/>
      </w:pPr>
      <w:r w:rsidRPr="001A765B">
        <w:t>12</w:t>
      </w:r>
      <w:r w:rsidRPr="001A765B">
        <w:tab/>
        <w:t>Contributions techniques</w:t>
      </w:r>
    </w:p>
    <w:p w14:paraId="755814D1" w14:textId="77777777" w:rsidR="00A75D66" w:rsidRPr="001A765B" w:rsidRDefault="00A75D66" w:rsidP="002C09B1">
      <w:r w:rsidRPr="001A765B">
        <w:t>Voir le § 8 de la Recommandation UIT-T A.7.</w:t>
      </w:r>
    </w:p>
    <w:p w14:paraId="4F23802C" w14:textId="77777777" w:rsidR="00A75D66" w:rsidRPr="001A765B" w:rsidRDefault="00A75D66" w:rsidP="002C09B1">
      <w:pPr>
        <w:pStyle w:val="Heading1"/>
      </w:pPr>
      <w:r w:rsidRPr="001A765B">
        <w:t>13</w:t>
      </w:r>
      <w:r w:rsidRPr="001A765B">
        <w:tab/>
        <w:t>Langue de travail</w:t>
      </w:r>
    </w:p>
    <w:p w14:paraId="1FF907B4" w14:textId="451DB7EB" w:rsidR="00A75D66" w:rsidRPr="001A765B" w:rsidRDefault="00A75D66" w:rsidP="002C09B1">
      <w:r w:rsidRPr="001A765B">
        <w:t>La langue de travail est l</w:t>
      </w:r>
      <w:r w:rsidR="00133C7C" w:rsidRPr="001A765B">
        <w:t>'</w:t>
      </w:r>
      <w:r w:rsidRPr="001A765B">
        <w:t>anglais.</w:t>
      </w:r>
    </w:p>
    <w:p w14:paraId="2FA95790" w14:textId="77777777" w:rsidR="00A75D66" w:rsidRPr="001A765B" w:rsidRDefault="00A75D66" w:rsidP="002C09B1">
      <w:pPr>
        <w:pStyle w:val="Heading1"/>
      </w:pPr>
      <w:r w:rsidRPr="001A765B">
        <w:t>14</w:t>
      </w:r>
      <w:r w:rsidRPr="001A765B">
        <w:tab/>
        <w:t>Approbation des produits</w:t>
      </w:r>
    </w:p>
    <w:p w14:paraId="0E90FA9E" w14:textId="77777777" w:rsidR="00A75D66" w:rsidRPr="001A765B" w:rsidRDefault="00A75D66" w:rsidP="002C09B1">
      <w:r w:rsidRPr="001A765B">
        <w:t>Les produits doivent être approuvés par consensus.</w:t>
      </w:r>
    </w:p>
    <w:p w14:paraId="6AEB47ED" w14:textId="77777777" w:rsidR="00A75D66" w:rsidRPr="001A765B" w:rsidRDefault="00A75D66" w:rsidP="002C09B1">
      <w:pPr>
        <w:pStyle w:val="Heading1"/>
      </w:pPr>
      <w:r w:rsidRPr="001A765B">
        <w:t>15</w:t>
      </w:r>
      <w:r w:rsidRPr="001A765B">
        <w:tab/>
        <w:t>Lignes directrices de travail</w:t>
      </w:r>
    </w:p>
    <w:p w14:paraId="5F3348B4" w14:textId="5B82352F" w:rsidR="00A75D66" w:rsidRPr="001A765B" w:rsidRDefault="00A75D66" w:rsidP="002C09B1">
      <w:r w:rsidRPr="001A765B">
        <w:t>Les méthodes de travail seront conformes à celles des réunions des Groupes du Rapporteur. Aucune ligne directrice de travail supplémentaire n</w:t>
      </w:r>
      <w:r w:rsidR="00133C7C" w:rsidRPr="001A765B">
        <w:t>'</w:t>
      </w:r>
      <w:r w:rsidRPr="001A765B">
        <w:t>est définie.</w:t>
      </w:r>
    </w:p>
    <w:p w14:paraId="4D791A19" w14:textId="6F781BCF" w:rsidR="00A75D66" w:rsidRPr="001A765B" w:rsidRDefault="00A75D66" w:rsidP="002C09B1">
      <w:pPr>
        <w:pStyle w:val="Heading1"/>
      </w:pPr>
      <w:r w:rsidRPr="001A765B">
        <w:t>16</w:t>
      </w:r>
      <w:r w:rsidRPr="001A765B">
        <w:tab/>
        <w:t>Rapports d</w:t>
      </w:r>
      <w:r w:rsidR="00133C7C" w:rsidRPr="001A765B">
        <w:t>'</w:t>
      </w:r>
      <w:r w:rsidRPr="001A765B">
        <w:t>activité</w:t>
      </w:r>
    </w:p>
    <w:p w14:paraId="39EB22D3" w14:textId="77777777" w:rsidR="00A75D66" w:rsidRPr="001A765B" w:rsidRDefault="00A75D66" w:rsidP="002C09B1">
      <w:r w:rsidRPr="001A765B">
        <w:t>Voir le § 11 de la Recommandation UIT-T A.7.</w:t>
      </w:r>
    </w:p>
    <w:p w14:paraId="0CA3C828" w14:textId="77777777" w:rsidR="00A75D66" w:rsidRPr="001A765B" w:rsidRDefault="00A75D66" w:rsidP="002C09B1">
      <w:pPr>
        <w:pStyle w:val="Heading1"/>
      </w:pPr>
      <w:r w:rsidRPr="001A765B">
        <w:t>17</w:t>
      </w:r>
      <w:r w:rsidRPr="001A765B">
        <w:tab/>
        <w:t>Annonce de la création du Groupe spécialisé</w:t>
      </w:r>
    </w:p>
    <w:p w14:paraId="02424F4C" w14:textId="1862573D" w:rsidR="00A75D66" w:rsidRPr="001A765B" w:rsidRDefault="00A75D66" w:rsidP="002C09B1">
      <w:r w:rsidRPr="001A765B">
        <w:t>La création du Groupe spécialisé sera annoncée par l</w:t>
      </w:r>
      <w:r w:rsidR="00133C7C" w:rsidRPr="001A765B">
        <w:t>'</w:t>
      </w:r>
      <w:r w:rsidRPr="001A765B">
        <w:t>intermédiaire d</w:t>
      </w:r>
      <w:r w:rsidR="00133C7C" w:rsidRPr="001A765B">
        <w:t>'</w:t>
      </w:r>
      <w:r w:rsidRPr="001A765B">
        <w:t>une Circulaire du TSB adressée à l</w:t>
      </w:r>
      <w:r w:rsidR="00133C7C" w:rsidRPr="001A765B">
        <w:t>'</w:t>
      </w:r>
      <w:r w:rsidRPr="001A765B">
        <w:t>ensemble des membres de l</w:t>
      </w:r>
      <w:r w:rsidR="00133C7C" w:rsidRPr="001A765B">
        <w:t>'</w:t>
      </w:r>
      <w:r w:rsidRPr="001A765B">
        <w:t>UIT, dans le bulletin d</w:t>
      </w:r>
      <w:r w:rsidR="00133C7C" w:rsidRPr="001A765B">
        <w:t>'</w:t>
      </w:r>
      <w:r w:rsidRPr="001A765B">
        <w:t>actualités de l</w:t>
      </w:r>
      <w:r w:rsidR="00133C7C" w:rsidRPr="001A765B">
        <w:t>'</w:t>
      </w:r>
      <w:r w:rsidRPr="001A765B">
        <w:t>UIT-T, dans des communiqués de presse et par d</w:t>
      </w:r>
      <w:r w:rsidR="00133C7C" w:rsidRPr="001A765B">
        <w:t>'</w:t>
      </w:r>
      <w:r w:rsidRPr="001A765B">
        <w:t>autres moyens, y compris la communication avec les autres organisations concernées.</w:t>
      </w:r>
    </w:p>
    <w:p w14:paraId="44E8C2E4" w14:textId="77777777" w:rsidR="00A75D66" w:rsidRPr="001A765B" w:rsidRDefault="00A75D66" w:rsidP="002C09B1">
      <w:pPr>
        <w:pStyle w:val="Heading1"/>
      </w:pPr>
      <w:r w:rsidRPr="001A765B">
        <w:t>18</w:t>
      </w:r>
      <w:r w:rsidRPr="001A765B">
        <w:tab/>
        <w:t>Échéances et durée du mandat du Groupe spécialisé</w:t>
      </w:r>
    </w:p>
    <w:p w14:paraId="30898C15" w14:textId="57C050C6" w:rsidR="00A75D66" w:rsidRPr="001A765B" w:rsidRDefault="00A75D66" w:rsidP="002C09B1">
      <w:r w:rsidRPr="001A765B">
        <w:t>La durée du mandat du Groupe spécialisé est d</w:t>
      </w:r>
      <w:r w:rsidR="00133C7C" w:rsidRPr="001A765B">
        <w:t>'</w:t>
      </w:r>
      <w:r w:rsidRPr="001A765B">
        <w:t>un an à compter de la première réunion du Groupe, avec possibilité de prolongation.</w:t>
      </w:r>
    </w:p>
    <w:p w14:paraId="13FAC1F0" w14:textId="29A6D89E" w:rsidR="00250717" w:rsidRPr="001A765B" w:rsidRDefault="00250717" w:rsidP="002C09B1">
      <w:r w:rsidRPr="001A765B">
        <w:t xml:space="preserve">Toute extension au-delà de la durée indiquée ci-dessus </w:t>
      </w:r>
      <w:r w:rsidR="00790BE5" w:rsidRPr="001A765B">
        <w:t>doit faire l</w:t>
      </w:r>
      <w:r w:rsidR="00133C7C" w:rsidRPr="001A765B">
        <w:t>'</w:t>
      </w:r>
      <w:r w:rsidR="00790BE5" w:rsidRPr="001A765B">
        <w:t>objet d</w:t>
      </w:r>
      <w:r w:rsidR="00133C7C" w:rsidRPr="001A765B">
        <w:t>'</w:t>
      </w:r>
      <w:r w:rsidR="00790BE5" w:rsidRPr="001A765B">
        <w:t>une décision du GCNT, conformément à la Recommandation UIT-T A.7.</w:t>
      </w:r>
    </w:p>
    <w:p w14:paraId="27CFD7A6" w14:textId="77777777" w:rsidR="00A75D66" w:rsidRPr="001A765B" w:rsidRDefault="00A75D66" w:rsidP="002C09B1">
      <w:pPr>
        <w:pStyle w:val="Heading1"/>
      </w:pPr>
      <w:r w:rsidRPr="001A765B">
        <w:t>19</w:t>
      </w:r>
      <w:r w:rsidRPr="001A765B">
        <w:tab/>
        <w:t>Politique en matière de brevets</w:t>
      </w:r>
    </w:p>
    <w:p w14:paraId="742C283C" w14:textId="77777777" w:rsidR="00A75D66" w:rsidRPr="001A765B" w:rsidRDefault="00A75D66" w:rsidP="002C09B1">
      <w:r w:rsidRPr="001A765B">
        <w:t>Voir le § 9 de la Recommandation UIT-T A.7.</w:t>
      </w:r>
    </w:p>
    <w:p w14:paraId="6B90C2DC" w14:textId="0CDF2537" w:rsidR="00A75D66" w:rsidRPr="001A765B" w:rsidRDefault="00A75D66" w:rsidP="002C09B1">
      <w:pPr>
        <w:jc w:val="center"/>
      </w:pPr>
      <w:r w:rsidRPr="001A765B">
        <w:t>______________</w:t>
      </w:r>
    </w:p>
    <w:sectPr w:rsidR="00A75D66" w:rsidRPr="001A765B" w:rsidSect="00A15179">
      <w:headerReference w:type="even" r:id="rId22"/>
      <w:headerReference w:type="default" r:id="rId23"/>
      <w:footerReference w:type="even" r:id="rId24"/>
      <w:footerReference w:type="default" r:id="rId25"/>
      <w:headerReference w:type="first" r:id="rId26"/>
      <w:footerReference w:type="first" r:id="rId2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CA59" w14:textId="77777777" w:rsidR="001D0146" w:rsidRDefault="001D0146">
      <w:r>
        <w:separator/>
      </w:r>
    </w:p>
  </w:endnote>
  <w:endnote w:type="continuationSeparator" w:id="0">
    <w:p w14:paraId="6F201759" w14:textId="77777777" w:rsidR="001D0146" w:rsidRDefault="001D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3B99" w14:textId="77777777" w:rsidR="004C2797" w:rsidRDefault="004C2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211A" w14:textId="51C9A2D0" w:rsidR="00697BC1" w:rsidRPr="00795679" w:rsidRDefault="00697BC1" w:rsidP="00093013">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DB26"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19D8" w14:textId="77777777" w:rsidR="001D0146" w:rsidRDefault="001D0146">
      <w:r>
        <w:t>____________________</w:t>
      </w:r>
    </w:p>
  </w:footnote>
  <w:footnote w:type="continuationSeparator" w:id="0">
    <w:p w14:paraId="23F2BD4F" w14:textId="77777777" w:rsidR="001D0146" w:rsidRDefault="001D0146">
      <w:r>
        <w:continuationSeparator/>
      </w:r>
    </w:p>
  </w:footnote>
  <w:footnote w:id="1">
    <w:p w14:paraId="430B1A6D" w14:textId="45D066DD" w:rsidR="00093013" w:rsidRDefault="00093013" w:rsidP="00F16077">
      <w:pPr>
        <w:pStyle w:val="FootnoteText"/>
      </w:pPr>
      <w:r>
        <w:rPr>
          <w:rStyle w:val="FootnoteReference"/>
        </w:rPr>
        <w:footnoteRef/>
      </w:r>
      <w:r>
        <w:tab/>
      </w:r>
      <w:hyperlink r:id="rId1" w:history="1">
        <w:r w:rsidRPr="00A41D5D">
          <w:rPr>
            <w:rStyle w:val="Hyperlink"/>
          </w:rPr>
          <w:t>https://www.bloomberg.com/professional/blog/metaverse-may-be-800-billion-market-next-tech-platform/</w:t>
        </w:r>
      </w:hyperlink>
      <w:r w:rsidRPr="0009301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F117" w14:textId="77777777" w:rsidR="004C2797" w:rsidRDefault="004C2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DF74" w14:textId="378D5C2C" w:rsidR="00697BC1" w:rsidRDefault="00FF5A10"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4515CF5D" w14:textId="073B55D6" w:rsidR="00093013" w:rsidRPr="00697BC1" w:rsidRDefault="00093013" w:rsidP="00697BC1">
    <w:pPr>
      <w:pStyle w:val="Header"/>
      <w:rPr>
        <w:sz w:val="18"/>
        <w:szCs w:val="16"/>
      </w:rPr>
    </w:pPr>
    <w:r>
      <w:rPr>
        <w:noProof/>
        <w:sz w:val="18"/>
        <w:szCs w:val="16"/>
      </w:rPr>
      <w:t>Circulaire TSB 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65E3" w14:textId="77777777" w:rsidR="004C2797" w:rsidRDefault="004C2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B7A4B96"/>
    <w:multiLevelType w:val="hybridMultilevel"/>
    <w:tmpl w:val="0F0C93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1990206">
    <w:abstractNumId w:val="1"/>
  </w:num>
  <w:num w:numId="2" w16cid:durableId="1904220253">
    <w:abstractNumId w:val="4"/>
  </w:num>
  <w:num w:numId="3" w16cid:durableId="1287811903">
    <w:abstractNumId w:val="3"/>
  </w:num>
  <w:num w:numId="4" w16cid:durableId="665280219">
    <w:abstractNumId w:val="0"/>
  </w:num>
  <w:num w:numId="5" w16cid:durableId="1386487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0MjYxMDAxNzOwNDVR0lEKTi0uzszPAykwrAUA7/ANEywAAAA="/>
  </w:docVars>
  <w:rsids>
    <w:rsidRoot w:val="001D0146"/>
    <w:rsid w:val="000039EE"/>
    <w:rsid w:val="00005622"/>
    <w:rsid w:val="0002519E"/>
    <w:rsid w:val="00035B43"/>
    <w:rsid w:val="00036F4F"/>
    <w:rsid w:val="00043F10"/>
    <w:rsid w:val="000758B3"/>
    <w:rsid w:val="00085F5A"/>
    <w:rsid w:val="00093013"/>
    <w:rsid w:val="000B0D96"/>
    <w:rsid w:val="000B59D8"/>
    <w:rsid w:val="000C0082"/>
    <w:rsid w:val="000C1F6B"/>
    <w:rsid w:val="000C25CC"/>
    <w:rsid w:val="000C56BE"/>
    <w:rsid w:val="000E718E"/>
    <w:rsid w:val="001026FD"/>
    <w:rsid w:val="001070D3"/>
    <w:rsid w:val="001077FD"/>
    <w:rsid w:val="00115DD7"/>
    <w:rsid w:val="00133C7C"/>
    <w:rsid w:val="00167472"/>
    <w:rsid w:val="00167F92"/>
    <w:rsid w:val="00173738"/>
    <w:rsid w:val="001A765B"/>
    <w:rsid w:val="001B79A3"/>
    <w:rsid w:val="001D0146"/>
    <w:rsid w:val="002152A3"/>
    <w:rsid w:val="002300AB"/>
    <w:rsid w:val="00250717"/>
    <w:rsid w:val="002C09B1"/>
    <w:rsid w:val="002E395D"/>
    <w:rsid w:val="003131F0"/>
    <w:rsid w:val="00333A80"/>
    <w:rsid w:val="00341117"/>
    <w:rsid w:val="00350A22"/>
    <w:rsid w:val="00351805"/>
    <w:rsid w:val="00364E95"/>
    <w:rsid w:val="00372875"/>
    <w:rsid w:val="00377E28"/>
    <w:rsid w:val="003B1E80"/>
    <w:rsid w:val="003B66E8"/>
    <w:rsid w:val="003E66AD"/>
    <w:rsid w:val="004033F1"/>
    <w:rsid w:val="00414B0C"/>
    <w:rsid w:val="00423C21"/>
    <w:rsid w:val="004257AC"/>
    <w:rsid w:val="0043711B"/>
    <w:rsid w:val="00450F83"/>
    <w:rsid w:val="004977C9"/>
    <w:rsid w:val="004B732E"/>
    <w:rsid w:val="004C2797"/>
    <w:rsid w:val="004C77F8"/>
    <w:rsid w:val="004D51F4"/>
    <w:rsid w:val="004D64E0"/>
    <w:rsid w:val="004E3526"/>
    <w:rsid w:val="004F29F5"/>
    <w:rsid w:val="005120A2"/>
    <w:rsid w:val="0051210D"/>
    <w:rsid w:val="005136D2"/>
    <w:rsid w:val="00517A03"/>
    <w:rsid w:val="00587AB1"/>
    <w:rsid w:val="00596FE2"/>
    <w:rsid w:val="005A3DD9"/>
    <w:rsid w:val="005B1DFC"/>
    <w:rsid w:val="005B7C9B"/>
    <w:rsid w:val="005C39A1"/>
    <w:rsid w:val="00601682"/>
    <w:rsid w:val="00603470"/>
    <w:rsid w:val="00605B17"/>
    <w:rsid w:val="00625E79"/>
    <w:rsid w:val="00625F96"/>
    <w:rsid w:val="006333F7"/>
    <w:rsid w:val="006427A1"/>
    <w:rsid w:val="00644741"/>
    <w:rsid w:val="006814A6"/>
    <w:rsid w:val="00683DB2"/>
    <w:rsid w:val="00697BC1"/>
    <w:rsid w:val="006A6FFE"/>
    <w:rsid w:val="006C283E"/>
    <w:rsid w:val="006C5A91"/>
    <w:rsid w:val="00716BBC"/>
    <w:rsid w:val="007321BC"/>
    <w:rsid w:val="00760063"/>
    <w:rsid w:val="00775E4B"/>
    <w:rsid w:val="00790BE5"/>
    <w:rsid w:val="0079553B"/>
    <w:rsid w:val="00795679"/>
    <w:rsid w:val="007A40FE"/>
    <w:rsid w:val="007D76AB"/>
    <w:rsid w:val="00810105"/>
    <w:rsid w:val="008157E0"/>
    <w:rsid w:val="00816859"/>
    <w:rsid w:val="00850477"/>
    <w:rsid w:val="00854E1D"/>
    <w:rsid w:val="00887FA6"/>
    <w:rsid w:val="008B7539"/>
    <w:rsid w:val="008C4397"/>
    <w:rsid w:val="008C465A"/>
    <w:rsid w:val="008F2C9B"/>
    <w:rsid w:val="00912E84"/>
    <w:rsid w:val="00923CD6"/>
    <w:rsid w:val="00935AA8"/>
    <w:rsid w:val="00960F70"/>
    <w:rsid w:val="00971C9A"/>
    <w:rsid w:val="009C630F"/>
    <w:rsid w:val="009D51FA"/>
    <w:rsid w:val="009F1E23"/>
    <w:rsid w:val="00A15179"/>
    <w:rsid w:val="00A51537"/>
    <w:rsid w:val="00A5280F"/>
    <w:rsid w:val="00A5645A"/>
    <w:rsid w:val="00A60FC1"/>
    <w:rsid w:val="00A61DBB"/>
    <w:rsid w:val="00A75D66"/>
    <w:rsid w:val="00A84C38"/>
    <w:rsid w:val="00A9533D"/>
    <w:rsid w:val="00A97C37"/>
    <w:rsid w:val="00AA131B"/>
    <w:rsid w:val="00AC37B5"/>
    <w:rsid w:val="00AD094C"/>
    <w:rsid w:val="00AD752F"/>
    <w:rsid w:val="00AF08A4"/>
    <w:rsid w:val="00B27B41"/>
    <w:rsid w:val="00B42659"/>
    <w:rsid w:val="00B8573E"/>
    <w:rsid w:val="00BB24C0"/>
    <w:rsid w:val="00BB4A1C"/>
    <w:rsid w:val="00BD6ECF"/>
    <w:rsid w:val="00BE35D4"/>
    <w:rsid w:val="00C23216"/>
    <w:rsid w:val="00C26F2E"/>
    <w:rsid w:val="00C302E3"/>
    <w:rsid w:val="00C45376"/>
    <w:rsid w:val="00C9028F"/>
    <w:rsid w:val="00CA0416"/>
    <w:rsid w:val="00CB1125"/>
    <w:rsid w:val="00CB6B7F"/>
    <w:rsid w:val="00CD042E"/>
    <w:rsid w:val="00CF2560"/>
    <w:rsid w:val="00CF5B46"/>
    <w:rsid w:val="00D46B68"/>
    <w:rsid w:val="00D542A5"/>
    <w:rsid w:val="00DC3D47"/>
    <w:rsid w:val="00DD77DA"/>
    <w:rsid w:val="00DF1055"/>
    <w:rsid w:val="00E06C61"/>
    <w:rsid w:val="00E13DB3"/>
    <w:rsid w:val="00E2408B"/>
    <w:rsid w:val="00E26F9D"/>
    <w:rsid w:val="00E62CEA"/>
    <w:rsid w:val="00E72AE1"/>
    <w:rsid w:val="00ED5ECF"/>
    <w:rsid w:val="00ED6A7A"/>
    <w:rsid w:val="00EE4C36"/>
    <w:rsid w:val="00EF3319"/>
    <w:rsid w:val="00F16077"/>
    <w:rsid w:val="00F346CE"/>
    <w:rsid w:val="00F34F98"/>
    <w:rsid w:val="00F40540"/>
    <w:rsid w:val="00F44BCD"/>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28FA1"/>
  <w15:docId w15:val="{03A97B5F-12EB-438D-A18F-A4505C45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CEO_Hyperlink,Style 58,超????,超?级链,超级链接,超链接1,하이퍼링크2"/>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1D0146"/>
    <w:rPr>
      <w:color w:val="605E5C"/>
      <w:shd w:val="clear" w:color="auto" w:fill="E1DFDD"/>
    </w:rPr>
  </w:style>
  <w:style w:type="table" w:styleId="TableGrid">
    <w:name w:val="Table Grid"/>
    <w:basedOn w:val="TableNormal"/>
    <w:rsid w:val="00912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93013"/>
    <w:rPr>
      <w:color w:val="800080" w:themeColor="followedHyperlink"/>
      <w:u w:val="single"/>
    </w:rPr>
  </w:style>
  <w:style w:type="paragraph" w:customStyle="1" w:styleId="Reasons">
    <w:name w:val="Reasons"/>
    <w:basedOn w:val="Normal"/>
    <w:qFormat/>
    <w:rsid w:val="00A75D6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ListParagraph">
    <w:name w:val="List Paragraph"/>
    <w:basedOn w:val="Normal"/>
    <w:uiPriority w:val="34"/>
    <w:qFormat/>
    <w:rsid w:val="009C6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sc/Pages/1st-forum-metaverse.aspx" TargetMode="External"/><Relationship Id="rId18" Type="http://schemas.openxmlformats.org/officeDocument/2006/relationships/hyperlink" Target="http://www.itu.int/go/fgmv"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go/fgmv" TargetMode="External"/><Relationship Id="rId7" Type="http://schemas.openxmlformats.org/officeDocument/2006/relationships/endnotes" Target="endnotes.xml"/><Relationship Id="rId12" Type="http://schemas.openxmlformats.org/officeDocument/2006/relationships/hyperlink" Target="https://www.itu.int/rec/T-REC-A.7/fr" TargetMode="External"/><Relationship Id="rId17" Type="http://schemas.openxmlformats.org/officeDocument/2006/relationships/hyperlink" Target="http://www.itu.int/go/fgm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go/fgmv" TargetMode="External"/><Relationship Id="rId20" Type="http://schemas.openxmlformats.org/officeDocument/2006/relationships/hyperlink" Target="mailto:tsbfgmv@itu.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mv/Pages/reg.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go/fgm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itu.int/go/fgmv" TargetMode="External"/><Relationship Id="rId19" Type="http://schemas.openxmlformats.org/officeDocument/2006/relationships/hyperlink" Target="http://www.itu.int/go/fgmv" TargetMode="External"/><Relationship Id="rId4" Type="http://schemas.openxmlformats.org/officeDocument/2006/relationships/settings" Target="settings.xml"/><Relationship Id="rId9" Type="http://schemas.openxmlformats.org/officeDocument/2006/relationships/hyperlink" Target="mailto:tsbfgmv@itu.int" TargetMode="External"/><Relationship Id="rId14" Type="http://schemas.openxmlformats.org/officeDocument/2006/relationships/hyperlink" Target="mailto:tsbfgmv@itu.int"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oomberg.com/professional/blog/metaverse-may-be-800-billion-market-next-tech-plat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0</TotalTime>
  <Pages>8</Pages>
  <Words>2485</Words>
  <Characters>15350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17800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Maguire, Mairéad</cp:lastModifiedBy>
  <cp:revision>2</cp:revision>
  <cp:lastPrinted>2011-04-15T08:01:00Z</cp:lastPrinted>
  <dcterms:created xsi:type="dcterms:W3CDTF">2023-01-26T10:30:00Z</dcterms:created>
  <dcterms:modified xsi:type="dcterms:W3CDTF">2023-01-26T10:30:00Z</dcterms:modified>
</cp:coreProperties>
</file>